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8D" w:rsidRPr="00221EFF" w:rsidRDefault="00D92F8D" w:rsidP="00D92F8D">
      <w:pPr>
        <w:widowControl/>
        <w:spacing w:line="480" w:lineRule="auto"/>
        <w:jc w:val="left"/>
        <w:rPr>
          <w:rFonts w:ascii="Times New Roman" w:hAnsi="Times New Roman"/>
          <w:b/>
          <w:sz w:val="24"/>
        </w:rPr>
      </w:pPr>
      <w:r w:rsidRPr="00221EFF">
        <w:rPr>
          <w:rFonts w:ascii="Times New Roman" w:hAnsi="Times New Roman"/>
          <w:b/>
          <w:sz w:val="24"/>
        </w:rPr>
        <w:t>Supporting Informa</w:t>
      </w:r>
      <w:r>
        <w:rPr>
          <w:rFonts w:ascii="Times New Roman" w:hAnsi="Times New Roman" w:hint="eastAsia"/>
          <w:b/>
          <w:sz w:val="24"/>
        </w:rPr>
        <w:t>t</w:t>
      </w:r>
      <w:r w:rsidRPr="00221EFF">
        <w:rPr>
          <w:rFonts w:ascii="Times New Roman" w:hAnsi="Times New Roman"/>
          <w:b/>
          <w:sz w:val="24"/>
        </w:rPr>
        <w:t>ion</w:t>
      </w:r>
    </w:p>
    <w:p w:rsidR="00D92F8D" w:rsidRPr="00221EFF" w:rsidRDefault="00D92F8D" w:rsidP="00D92F8D">
      <w:pPr>
        <w:widowControl/>
        <w:spacing w:line="480" w:lineRule="auto"/>
        <w:jc w:val="left"/>
        <w:rPr>
          <w:rFonts w:ascii="Times New Roman" w:hAnsi="Times New Roman"/>
          <w:b/>
          <w:sz w:val="24"/>
        </w:rPr>
      </w:pPr>
    </w:p>
    <w:p w:rsidR="00D92F8D" w:rsidRPr="00221EFF" w:rsidRDefault="00D92F8D" w:rsidP="005A41A6">
      <w:pPr>
        <w:widowControl/>
        <w:spacing w:line="480" w:lineRule="auto"/>
        <w:jc w:val="left"/>
        <w:rPr>
          <w:rFonts w:ascii="Times New Roman" w:hAnsi="Times New Roman"/>
          <w:i/>
          <w:sz w:val="24"/>
        </w:rPr>
      </w:pPr>
      <w:r w:rsidRPr="00221EFF">
        <w:rPr>
          <w:rFonts w:ascii="Times New Roman" w:hAnsi="Times New Roman"/>
          <w:b/>
          <w:sz w:val="24"/>
        </w:rPr>
        <w:t>Supporting Methods</w:t>
      </w:r>
    </w:p>
    <w:p w:rsidR="00D92F8D" w:rsidRPr="00221EFF" w:rsidRDefault="00D92F8D" w:rsidP="004A7370">
      <w:pPr>
        <w:pStyle w:val="a5"/>
        <w:spacing w:line="480" w:lineRule="auto"/>
        <w:rPr>
          <w:rFonts w:ascii="Times New Roman" w:eastAsia="MS Mincho" w:hAnsi="Times New Roman"/>
          <w:sz w:val="24"/>
          <w:szCs w:val="24"/>
        </w:rPr>
      </w:pPr>
      <w:r w:rsidRPr="00221EFF">
        <w:rPr>
          <w:rFonts w:ascii="Times New Roman" w:hAnsi="Times New Roman"/>
          <w:i/>
          <w:sz w:val="24"/>
          <w:szCs w:val="24"/>
        </w:rPr>
        <w:t>Real-time quantitative reverse transcriptase PCR (RT-PCR) in the whole tissue of the ileu</w:t>
      </w:r>
      <w:r w:rsidRPr="00221EFF">
        <w:rPr>
          <w:rFonts w:ascii="Times New Roman" w:eastAsia="MS Mincho" w:hAnsi="Times New Roman"/>
          <w:i/>
          <w:sz w:val="24"/>
          <w:szCs w:val="24"/>
        </w:rPr>
        <w:t>m</w:t>
      </w:r>
    </w:p>
    <w:p w:rsidR="00D92F8D" w:rsidRPr="00221EFF" w:rsidRDefault="00D92F8D" w:rsidP="004A7370">
      <w:pPr>
        <w:spacing w:line="480" w:lineRule="auto"/>
        <w:rPr>
          <w:rFonts w:ascii="Times New Roman" w:hAnsi="Times New Roman"/>
          <w:sz w:val="24"/>
        </w:rPr>
      </w:pPr>
      <w:r w:rsidRPr="00221EFF">
        <w:rPr>
          <w:rFonts w:ascii="Times New Roman" w:hAnsi="Times New Roman"/>
          <w:sz w:val="24"/>
        </w:rPr>
        <w:t>Mice were asphyxiated with CO</w:t>
      </w:r>
      <w:r w:rsidRPr="00221EFF">
        <w:rPr>
          <w:rFonts w:ascii="Times New Roman" w:hAnsi="Times New Roman"/>
          <w:sz w:val="24"/>
          <w:vertAlign w:val="subscript"/>
        </w:rPr>
        <w:t>2</w:t>
      </w:r>
      <w:r w:rsidRPr="00221EFF">
        <w:rPr>
          <w:rFonts w:ascii="Times New Roman" w:hAnsi="Times New Roman"/>
          <w:sz w:val="24"/>
        </w:rPr>
        <w:t xml:space="preserve"> gas and immediately exsanguinated following bloodletting. Ileal segments were immediately placed in Allprotect reagent </w:t>
      </w:r>
      <w:r>
        <w:rPr>
          <w:rFonts w:ascii="Times New Roman" w:hAnsi="Times New Roman"/>
          <w:sz w:val="24"/>
        </w:rPr>
        <w:t>(QIAGEN, Tokyo, Japan)</w:t>
      </w:r>
      <w:r w:rsidRPr="00221EFF">
        <w:rPr>
          <w:rFonts w:ascii="Times New Roman" w:hAnsi="Times New Roman"/>
          <w:sz w:val="24"/>
        </w:rPr>
        <w:t xml:space="preserve"> and stored at -80</w:t>
      </w:r>
      <w:r w:rsidR="005B28A0">
        <w:rPr>
          <w:rFonts w:ascii="Times New Roman" w:hAnsi="Times New Roman" w:hint="eastAsia"/>
          <w:sz w:val="24"/>
        </w:rPr>
        <w:t xml:space="preserve"> </w:t>
      </w:r>
      <w:r w:rsidRPr="00221EFF">
        <w:rPr>
          <w:rFonts w:ascii="Times New Roman" w:hAnsi="Times New Roman"/>
          <w:color w:val="000000"/>
          <w:sz w:val="24"/>
        </w:rPr>
        <w:t>°C</w:t>
      </w:r>
      <w:r w:rsidRPr="00221EFF">
        <w:rPr>
          <w:rFonts w:ascii="Times New Roman" w:hAnsi="Times New Roman"/>
          <w:sz w:val="24"/>
        </w:rPr>
        <w:t xml:space="preserve"> until their use following overnight refrigeration</w:t>
      </w:r>
      <w:r>
        <w:rPr>
          <w:rFonts w:ascii="Times New Roman" w:hAnsi="Times New Roman"/>
          <w:sz w:val="24"/>
        </w:rPr>
        <w:t>. Total RNA was purified using</w:t>
      </w:r>
      <w:r w:rsidRPr="00221EFF">
        <w:rPr>
          <w:rFonts w:ascii="Times New Roman" w:hAnsi="Times New Roman"/>
          <w:sz w:val="24"/>
        </w:rPr>
        <w:t xml:space="preserve"> QuickGene RNA tissue kit S (FUJIFILM, Tokyo, Japan) and </w:t>
      </w:r>
      <w:r>
        <w:rPr>
          <w:rFonts w:ascii="Times New Roman" w:hAnsi="Times New Roman" w:hint="eastAsia"/>
          <w:sz w:val="24"/>
        </w:rPr>
        <w:t xml:space="preserve">the </w:t>
      </w:r>
      <w:r w:rsidRPr="00221EFF">
        <w:rPr>
          <w:rFonts w:ascii="Times New Roman" w:hAnsi="Times New Roman"/>
          <w:sz w:val="24"/>
        </w:rPr>
        <w:t>RNase-free DNase set (TaKaRa, Shiga, Japan) with the nucleic acid isolation system QuickGene-810 (FUJIFILM, Tokyo, Japan) according to the manufacturer</w:t>
      </w:r>
      <w:r w:rsidR="005B28A0">
        <w:rPr>
          <w:rFonts w:ascii="Times New Roman" w:hAnsi="Times New Roman"/>
          <w:sz w:val="24"/>
        </w:rPr>
        <w:t>’s</w:t>
      </w:r>
      <w:r w:rsidRPr="00221EFF">
        <w:rPr>
          <w:rFonts w:ascii="Times New Roman" w:hAnsi="Times New Roman"/>
          <w:sz w:val="24"/>
        </w:rPr>
        <w:t xml:space="preserve"> instructions. The synthesis of cDNA (240 ng of total RNA per 20 </w:t>
      </w:r>
      <w:r w:rsidRPr="00221EFF">
        <w:rPr>
          <w:rFonts w:ascii="Symbol" w:hAnsi="Symbol"/>
          <w:sz w:val="24"/>
        </w:rPr>
        <w:t></w:t>
      </w:r>
      <w:r w:rsidRPr="00221EFF">
        <w:rPr>
          <w:rFonts w:ascii="Times New Roman" w:hAnsi="Times New Roman"/>
          <w:sz w:val="24"/>
        </w:rPr>
        <w:t xml:space="preserve">L reaction mixture) was performed using the Prime Script RT reagent kit (Perfect Real Time) RR037A (TaKaRa) according to the manufacturer’s instructions. Real-time quantitative PCR was performed using ABI 7300 (Life Technologies, Carlsbad, CA, USA). The expression of the housekeeping gene, </w:t>
      </w:r>
      <w:r w:rsidRPr="00221EFF">
        <w:rPr>
          <w:rFonts w:ascii="Symbol" w:hAnsi="Symbol"/>
          <w:sz w:val="24"/>
        </w:rPr>
        <w:t></w:t>
      </w:r>
      <w:r w:rsidRPr="00221EFF">
        <w:rPr>
          <w:rFonts w:ascii="Times New Roman" w:hAnsi="Times New Roman"/>
          <w:sz w:val="24"/>
        </w:rPr>
        <w:t xml:space="preserve"> actin, was assessed as a control. In our preliminary study</w:t>
      </w:r>
      <w:r>
        <w:rPr>
          <w:rFonts w:ascii="Times New Roman" w:hAnsi="Times New Roman"/>
          <w:sz w:val="24"/>
        </w:rPr>
        <w:t>, the relative expression level</w:t>
      </w:r>
      <w:r w:rsidRPr="00221EFF">
        <w:rPr>
          <w:rFonts w:ascii="Times New Roman" w:hAnsi="Times New Roman"/>
          <w:sz w:val="24"/>
        </w:rPr>
        <w:t xml:space="preserve"> of the other housekeeping gene, </w:t>
      </w:r>
      <w:r>
        <w:rPr>
          <w:rFonts w:ascii="Times New Roman" w:hAnsi="Times New Roman"/>
          <w:sz w:val="24"/>
        </w:rPr>
        <w:t>glyceraldehyde</w:t>
      </w:r>
      <w:r w:rsidRPr="00221EFF">
        <w:rPr>
          <w:rFonts w:ascii="Times New Roman" w:hAnsi="Times New Roman"/>
          <w:sz w:val="24"/>
        </w:rPr>
        <w:t xml:space="preserve">-3-phosphate dehydrogenase (GAPDH), was approximately equal to that of </w:t>
      </w:r>
      <w:r w:rsidRPr="00221EFF">
        <w:rPr>
          <w:rFonts w:ascii="Symbol" w:hAnsi="Symbol"/>
          <w:sz w:val="24"/>
        </w:rPr>
        <w:t></w:t>
      </w:r>
      <w:r w:rsidRPr="00221EFF">
        <w:rPr>
          <w:rFonts w:ascii="Times New Roman" w:hAnsi="Times New Roman"/>
          <w:sz w:val="24"/>
        </w:rPr>
        <w:t xml:space="preserve"> actin in the ileum. </w:t>
      </w:r>
      <w:proofErr w:type="spellStart"/>
      <w:r w:rsidRPr="00221EFF">
        <w:rPr>
          <w:rFonts w:ascii="Times New Roman" w:hAnsi="Times New Roman"/>
          <w:sz w:val="24"/>
        </w:rPr>
        <w:lastRenderedPageBreak/>
        <w:t>TaqMan</w:t>
      </w:r>
      <w:proofErr w:type="spellEnd"/>
      <w:r w:rsidRPr="00221EFF">
        <w:rPr>
          <w:rFonts w:ascii="Times New Roman" w:hAnsi="Times New Roman"/>
          <w:sz w:val="24"/>
        </w:rPr>
        <w:t xml:space="preserve"> primer and probe sets for each gene</w:t>
      </w:r>
      <w:r w:rsidR="00F2173E">
        <w:rPr>
          <w:rFonts w:ascii="Times New Roman" w:hAnsi="Times New Roman" w:hint="eastAsia"/>
          <w:sz w:val="24"/>
        </w:rPr>
        <w:t xml:space="preserve"> (</w:t>
      </w:r>
      <w:proofErr w:type="spellStart"/>
      <w:r w:rsidR="00F2173E">
        <w:rPr>
          <w:rFonts w:ascii="Times New Roman" w:hAnsi="Times New Roman" w:hint="eastAsia"/>
          <w:sz w:val="24"/>
        </w:rPr>
        <w:t>choline</w:t>
      </w:r>
      <w:proofErr w:type="spellEnd"/>
      <w:r w:rsidR="00F2173E">
        <w:rPr>
          <w:rFonts w:ascii="Times New Roman" w:hAnsi="Times New Roman" w:hint="eastAsia"/>
          <w:sz w:val="24"/>
        </w:rPr>
        <w:t xml:space="preserve"> </w:t>
      </w:r>
      <w:proofErr w:type="spellStart"/>
      <w:r w:rsidR="009E06F4">
        <w:rPr>
          <w:rFonts w:ascii="Times New Roman" w:hAnsi="Times New Roman" w:hint="eastAsia"/>
          <w:sz w:val="24"/>
        </w:rPr>
        <w:t>acetyltransferase</w:t>
      </w:r>
      <w:proofErr w:type="spellEnd"/>
      <w:r w:rsidR="009E06F4">
        <w:rPr>
          <w:rFonts w:ascii="Times New Roman" w:hAnsi="Times New Roman" w:hint="eastAsia"/>
          <w:sz w:val="24"/>
        </w:rPr>
        <w:t xml:space="preserve">; NM_009891: GPR43; NM_146187.3: </w:t>
      </w:r>
      <w:r w:rsidR="009E06F4" w:rsidRPr="00221EFF">
        <w:rPr>
          <w:rFonts w:ascii="Symbol" w:hAnsi="Symbol"/>
          <w:sz w:val="24"/>
        </w:rPr>
        <w:t></w:t>
      </w:r>
      <w:r w:rsidR="009E06F4" w:rsidRPr="00221EFF">
        <w:rPr>
          <w:rFonts w:ascii="Times New Roman" w:hAnsi="Times New Roman"/>
          <w:sz w:val="24"/>
        </w:rPr>
        <w:t xml:space="preserve"> </w:t>
      </w:r>
      <w:proofErr w:type="spellStart"/>
      <w:r w:rsidR="009E06F4" w:rsidRPr="00221EFF">
        <w:rPr>
          <w:rFonts w:ascii="Times New Roman" w:hAnsi="Times New Roman"/>
          <w:sz w:val="24"/>
        </w:rPr>
        <w:t>actin</w:t>
      </w:r>
      <w:proofErr w:type="spellEnd"/>
      <w:r w:rsidR="009E06F4">
        <w:rPr>
          <w:rFonts w:ascii="Times New Roman" w:hAnsi="Times New Roman" w:hint="eastAsia"/>
          <w:sz w:val="24"/>
        </w:rPr>
        <w:t xml:space="preserve">; </w:t>
      </w:r>
      <w:r w:rsidR="009E06F4" w:rsidRPr="00221EFF">
        <w:rPr>
          <w:rFonts w:ascii="Times New Roman" w:hAnsi="Times New Roman"/>
          <w:sz w:val="24"/>
        </w:rPr>
        <w:t>NM_007393)</w:t>
      </w:r>
      <w:r w:rsidRPr="00221EFF">
        <w:rPr>
          <w:rFonts w:ascii="Times New Roman" w:hAnsi="Times New Roman"/>
          <w:sz w:val="24"/>
        </w:rPr>
        <w:t xml:space="preserve"> were </w:t>
      </w:r>
      <w:r w:rsidR="0062553A">
        <w:rPr>
          <w:rFonts w:ascii="Times New Roman" w:hAnsi="Times New Roman" w:hint="eastAsia"/>
          <w:sz w:val="24"/>
        </w:rPr>
        <w:t>purchased from</w:t>
      </w:r>
      <w:r w:rsidRPr="00221EFF">
        <w:rPr>
          <w:rFonts w:ascii="Times New Roman" w:hAnsi="Times New Roman"/>
          <w:sz w:val="24"/>
        </w:rPr>
        <w:t xml:space="preserve"> </w:t>
      </w:r>
      <w:proofErr w:type="spellStart"/>
      <w:r w:rsidRPr="00221EFF">
        <w:rPr>
          <w:rFonts w:ascii="Times New Roman" w:hAnsi="Times New Roman"/>
          <w:sz w:val="24"/>
        </w:rPr>
        <w:t>Biosearch</w:t>
      </w:r>
      <w:proofErr w:type="spellEnd"/>
      <w:r w:rsidRPr="00221EFF">
        <w:rPr>
          <w:rFonts w:ascii="Times New Roman" w:hAnsi="Times New Roman"/>
          <w:sz w:val="24"/>
        </w:rPr>
        <w:t xml:space="preserve"> Technologies Japan (Tokyo, Japan). All reactions were conducted with Premix Ex Taq Perfect Real Time RR039A (TaKaRa) according to the manufacturer’s instructions. The relative expression level of mRNA was calculated using the comparative Ct method by subtracting the Ct value of </w:t>
      </w:r>
      <w:r w:rsidRPr="00221EFF">
        <w:rPr>
          <w:rFonts w:ascii="Symbol" w:hAnsi="Symbol"/>
          <w:sz w:val="24"/>
        </w:rPr>
        <w:t></w:t>
      </w:r>
      <w:r w:rsidRPr="00221EFF">
        <w:rPr>
          <w:rFonts w:ascii="Times New Roman" w:hAnsi="Times New Roman"/>
          <w:sz w:val="24"/>
        </w:rPr>
        <w:t xml:space="preserve"> actin mRNA from the Ct value of the target mRNA. </w:t>
      </w:r>
    </w:p>
    <w:p w:rsidR="00D92F8D" w:rsidRPr="00221EFF" w:rsidRDefault="00D92F8D" w:rsidP="00D92F8D">
      <w:pPr>
        <w:pStyle w:val="a5"/>
        <w:spacing w:line="480" w:lineRule="auto"/>
        <w:jc w:val="both"/>
        <w:rPr>
          <w:rFonts w:ascii="Times New Roman" w:hAnsi="Times New Roman"/>
          <w:sz w:val="24"/>
          <w:szCs w:val="24"/>
        </w:rPr>
      </w:pPr>
    </w:p>
    <w:p w:rsidR="00D92F8D" w:rsidRPr="00221EFF" w:rsidRDefault="00D92F8D" w:rsidP="004A7370">
      <w:pPr>
        <w:spacing w:line="480" w:lineRule="auto"/>
        <w:rPr>
          <w:rFonts w:ascii="Times New Roman" w:hAnsi="Times New Roman"/>
          <w:i/>
          <w:color w:val="000000"/>
          <w:sz w:val="24"/>
        </w:rPr>
      </w:pPr>
      <w:r w:rsidRPr="00CC0F33">
        <w:rPr>
          <w:rFonts w:ascii="Times New Roman" w:hAnsi="Times New Roman"/>
          <w:color w:val="000000"/>
          <w:sz w:val="24"/>
        </w:rPr>
        <w:t>In situ</w:t>
      </w:r>
      <w:r w:rsidRPr="004A7370">
        <w:rPr>
          <w:rFonts w:ascii="Times New Roman" w:hAnsi="Times New Roman"/>
          <w:i/>
          <w:color w:val="000000"/>
          <w:sz w:val="24"/>
        </w:rPr>
        <w:t xml:space="preserve"> </w:t>
      </w:r>
      <w:r w:rsidRPr="00221EFF">
        <w:rPr>
          <w:rFonts w:ascii="Times New Roman" w:hAnsi="Times New Roman"/>
          <w:i/>
          <w:color w:val="000000"/>
          <w:sz w:val="24"/>
        </w:rPr>
        <w:t xml:space="preserve">hybridization of choline transporter-like protein 4 in </w:t>
      </w:r>
      <w:r>
        <w:rPr>
          <w:rFonts w:ascii="Times New Roman" w:hAnsi="Times New Roman" w:hint="eastAsia"/>
          <w:i/>
          <w:color w:val="000000"/>
          <w:sz w:val="24"/>
        </w:rPr>
        <w:t xml:space="preserve">the </w:t>
      </w:r>
      <w:r w:rsidRPr="00221EFF">
        <w:rPr>
          <w:rFonts w:ascii="Times New Roman" w:hAnsi="Times New Roman"/>
          <w:i/>
          <w:color w:val="000000"/>
          <w:sz w:val="24"/>
        </w:rPr>
        <w:t>ileum</w:t>
      </w:r>
    </w:p>
    <w:p w:rsidR="00A26794" w:rsidRPr="005A41A6" w:rsidRDefault="00D92F8D" w:rsidP="005A41A6">
      <w:pPr>
        <w:pStyle w:val="a7"/>
        <w:spacing w:line="480" w:lineRule="auto"/>
      </w:pPr>
      <w:r w:rsidRPr="00221EFF">
        <w:rPr>
          <w:sz w:val="24"/>
          <w:szCs w:val="24"/>
        </w:rPr>
        <w:t xml:space="preserve">Two non-overlapping antisense oligonucleotide DNA probes were designed for the mRNA of mouse choline transporter-like protein 4 (CTL4): 841–885 and 1501–1545 of CTL4 mRNA (accession number: NM_023557).  These probes were labeled with </w:t>
      </w:r>
      <w:r w:rsidRPr="00221EFF">
        <w:rPr>
          <w:sz w:val="24"/>
          <w:szCs w:val="24"/>
          <w:vertAlign w:val="superscript"/>
        </w:rPr>
        <w:t>33</w:t>
      </w:r>
      <w:r w:rsidRPr="00221EFF">
        <w:rPr>
          <w:sz w:val="24"/>
          <w:szCs w:val="24"/>
        </w:rPr>
        <w:t>P-dATP using terminal deoxynucleotidyl transferase (Invitrogen, Carlsbad, CA).  Fresh</w:t>
      </w:r>
      <w:r>
        <w:rPr>
          <w:rFonts w:hint="eastAsia"/>
          <w:sz w:val="24"/>
          <w:szCs w:val="24"/>
        </w:rPr>
        <w:t>ly</w:t>
      </w:r>
      <w:r w:rsidRPr="00221EFF">
        <w:rPr>
          <w:sz w:val="24"/>
          <w:szCs w:val="24"/>
        </w:rPr>
        <w:t xml:space="preserve"> frozen 14-</w:t>
      </w:r>
      <w:r w:rsidRPr="00221EFF">
        <w:rPr>
          <w:rFonts w:ascii="Symbol" w:hAnsi="Symbol"/>
          <w:sz w:val="24"/>
          <w:szCs w:val="24"/>
        </w:rPr>
        <w:t></w:t>
      </w:r>
      <w:r w:rsidRPr="00221EFF">
        <w:rPr>
          <w:sz w:val="24"/>
          <w:szCs w:val="24"/>
        </w:rPr>
        <w:t>m-thick sections were fixed with 4% paraformaldehyde in 0.1 M phosphate buffer for 15 min and then acetylated with 0.25% acetic anhydride in 0.1 M triethanolamine-HCl (pH 8.0) for 10 min.  Hybridization was performed at 42</w:t>
      </w:r>
      <w:r w:rsidR="00A26794" w:rsidRPr="00221EFF">
        <w:rPr>
          <w:sz w:val="24"/>
        </w:rPr>
        <w:t>°C</w:t>
      </w:r>
      <w:r w:rsidRPr="00221EFF">
        <w:rPr>
          <w:sz w:val="24"/>
          <w:szCs w:val="24"/>
        </w:rPr>
        <w:t xml:space="preserve"> for 10 hrs with a hybridization buffer containing </w:t>
      </w:r>
      <w:r w:rsidRPr="00221EFF">
        <w:rPr>
          <w:sz w:val="24"/>
          <w:szCs w:val="24"/>
          <w:vertAlign w:val="superscript"/>
        </w:rPr>
        <w:t>33</w:t>
      </w:r>
      <w:r w:rsidRPr="00221EFF">
        <w:rPr>
          <w:sz w:val="24"/>
          <w:szCs w:val="24"/>
        </w:rPr>
        <w:t xml:space="preserve">P-labeled oligonucleotide probes (10,000 cpm </w:t>
      </w:r>
      <w:r w:rsidRPr="00221EFF">
        <w:rPr>
          <w:rFonts w:ascii="Symbol" w:hAnsi="Symbol"/>
          <w:sz w:val="24"/>
          <w:szCs w:val="24"/>
        </w:rPr>
        <w:t></w:t>
      </w:r>
      <w:r w:rsidRPr="00221EFF">
        <w:rPr>
          <w:sz w:val="24"/>
          <w:szCs w:val="24"/>
        </w:rPr>
        <w:t>L</w:t>
      </w:r>
      <w:r w:rsidRPr="00221EFF">
        <w:rPr>
          <w:sz w:val="24"/>
          <w:szCs w:val="24"/>
          <w:vertAlign w:val="superscript"/>
        </w:rPr>
        <w:t>-1</w:t>
      </w:r>
      <w:r w:rsidRPr="00221EFF">
        <w:rPr>
          <w:sz w:val="24"/>
          <w:szCs w:val="24"/>
        </w:rPr>
        <w:t>).  The hybridized sections were dipped in an autoradiographic emulsion</w:t>
      </w:r>
      <w:r w:rsidR="00D90735">
        <w:rPr>
          <w:rFonts w:hint="eastAsia"/>
          <w:sz w:val="24"/>
          <w:szCs w:val="24"/>
        </w:rPr>
        <w:t xml:space="preserve"> </w:t>
      </w:r>
      <w:r w:rsidRPr="00221EFF">
        <w:rPr>
          <w:sz w:val="24"/>
          <w:szCs w:val="24"/>
        </w:rPr>
        <w:t>(NTB-2; Kodak) at 4</w:t>
      </w:r>
      <w:r w:rsidR="00A26794" w:rsidRPr="00221EFF">
        <w:rPr>
          <w:sz w:val="24"/>
        </w:rPr>
        <w:t>°C</w:t>
      </w:r>
      <w:r w:rsidRPr="00221EFF">
        <w:rPr>
          <w:sz w:val="24"/>
          <w:szCs w:val="24"/>
        </w:rPr>
        <w:t xml:space="preserve"> for 8-10 weeks.  </w:t>
      </w:r>
    </w:p>
    <w:p w:rsidR="00D92F8D" w:rsidRPr="00A26794" w:rsidRDefault="00A26794" w:rsidP="00A26794">
      <w:pPr>
        <w:widowControl/>
        <w:spacing w:line="480" w:lineRule="auto"/>
        <w:jc w:val="left"/>
        <w:rPr>
          <w:rFonts w:ascii="Times New Roman" w:hAnsi="Times New Roman"/>
          <w:b/>
          <w:color w:val="000000"/>
          <w:sz w:val="24"/>
        </w:rPr>
      </w:pPr>
      <w:r w:rsidRPr="00A26794">
        <w:rPr>
          <w:rFonts w:ascii="Times New Roman" w:hAnsi="Times New Roman"/>
          <w:b/>
          <w:color w:val="000000"/>
          <w:sz w:val="24"/>
        </w:rPr>
        <w:lastRenderedPageBreak/>
        <w:t xml:space="preserve">Supporting </w:t>
      </w:r>
      <w:r w:rsidR="00D92F8D" w:rsidRPr="00A26794">
        <w:rPr>
          <w:rFonts w:ascii="Times New Roman" w:hAnsi="Times New Roman"/>
          <w:b/>
          <w:color w:val="000000"/>
          <w:sz w:val="24"/>
        </w:rPr>
        <w:t>Figure L</w:t>
      </w:r>
      <w:bookmarkStart w:id="0" w:name="_GoBack"/>
      <w:r w:rsidR="00D92F8D" w:rsidRPr="00A26794">
        <w:rPr>
          <w:rFonts w:ascii="Times New Roman" w:hAnsi="Times New Roman"/>
          <w:b/>
          <w:color w:val="000000"/>
          <w:sz w:val="24"/>
        </w:rPr>
        <w:t>e</w:t>
      </w:r>
      <w:bookmarkEnd w:id="0"/>
      <w:r w:rsidR="00D92F8D" w:rsidRPr="00A26794">
        <w:rPr>
          <w:rFonts w:ascii="Times New Roman" w:hAnsi="Times New Roman"/>
          <w:b/>
          <w:color w:val="000000"/>
          <w:sz w:val="24"/>
        </w:rPr>
        <w:t>gends</w:t>
      </w:r>
    </w:p>
    <w:p w:rsidR="007B5DCD" w:rsidRPr="002E0005" w:rsidRDefault="004E6597" w:rsidP="00D92F8D">
      <w:pPr>
        <w:spacing w:line="480" w:lineRule="auto"/>
        <w:rPr>
          <w:rFonts w:ascii="Times New Roman" w:hAnsi="Times New Roman"/>
          <w:color w:val="000000"/>
          <w:sz w:val="24"/>
        </w:rPr>
      </w:pPr>
      <w:r>
        <w:rPr>
          <w:rFonts w:ascii="Times New Roman" w:hAnsi="Times New Roman" w:hint="eastAsia"/>
          <w:color w:val="000000"/>
          <w:sz w:val="24"/>
        </w:rPr>
        <w:t xml:space="preserve">Supporting Figure 1. </w:t>
      </w:r>
      <w:r w:rsidR="00BC557C">
        <w:rPr>
          <w:rFonts w:ascii="Times New Roman" w:hAnsi="Times New Roman" w:hint="eastAsia"/>
          <w:color w:val="000000"/>
          <w:sz w:val="24"/>
        </w:rPr>
        <w:t xml:space="preserve">Age-dependent changes </w:t>
      </w:r>
      <w:r w:rsidR="00CC0F33">
        <w:rPr>
          <w:rFonts w:ascii="Times New Roman" w:hAnsi="Times New Roman" w:hint="eastAsia"/>
          <w:color w:val="000000"/>
          <w:sz w:val="24"/>
        </w:rPr>
        <w:t>in</w:t>
      </w:r>
      <w:r w:rsidR="00BC557C">
        <w:rPr>
          <w:rFonts w:ascii="Times New Roman" w:hAnsi="Times New Roman" w:hint="eastAsia"/>
          <w:color w:val="000000"/>
          <w:sz w:val="24"/>
        </w:rPr>
        <w:t xml:space="preserve"> </w:t>
      </w:r>
      <w:r w:rsidR="00E06A40">
        <w:rPr>
          <w:rFonts w:ascii="Times New Roman" w:hAnsi="Times New Roman" w:hint="eastAsia"/>
          <w:color w:val="000000"/>
          <w:sz w:val="24"/>
        </w:rPr>
        <w:t xml:space="preserve">ileal </w:t>
      </w:r>
      <w:r w:rsidR="00BC557C">
        <w:rPr>
          <w:rFonts w:ascii="Times New Roman" w:hAnsi="Times New Roman" w:hint="eastAsia"/>
          <w:color w:val="000000"/>
          <w:sz w:val="24"/>
        </w:rPr>
        <w:t>mRNA</w:t>
      </w:r>
      <w:r w:rsidR="00E06A40">
        <w:rPr>
          <w:rFonts w:ascii="Times New Roman" w:hAnsi="Times New Roman" w:hint="eastAsia"/>
          <w:color w:val="000000"/>
          <w:sz w:val="24"/>
        </w:rPr>
        <w:t xml:space="preserve"> expression </w:t>
      </w:r>
      <w:r w:rsidR="00CC0F33">
        <w:rPr>
          <w:rFonts w:ascii="Times New Roman" w:hAnsi="Times New Roman" w:hint="eastAsia"/>
          <w:color w:val="000000"/>
          <w:sz w:val="24"/>
        </w:rPr>
        <w:t xml:space="preserve">levels </w:t>
      </w:r>
      <w:r w:rsidR="00E06A40">
        <w:rPr>
          <w:rFonts w:ascii="Times New Roman" w:hAnsi="Times New Roman" w:hint="eastAsia"/>
          <w:color w:val="000000"/>
          <w:sz w:val="24"/>
        </w:rPr>
        <w:t xml:space="preserve">in mice; </w:t>
      </w:r>
      <w:r w:rsidR="00E06A40" w:rsidRPr="000A13C9">
        <w:rPr>
          <w:rFonts w:ascii="Times New Roman" w:hAnsi="Times New Roman" w:hint="eastAsia"/>
          <w:color w:val="000000"/>
          <w:sz w:val="24"/>
        </w:rPr>
        <w:t>choline-acetyl transporter (Chat) and short-chain fatty acid receptor GPR43.</w:t>
      </w:r>
      <w:r w:rsidR="00B30420" w:rsidRPr="000A13C9">
        <w:rPr>
          <w:rFonts w:ascii="Times New Roman" w:hAnsi="Times New Roman"/>
          <w:sz w:val="24"/>
        </w:rPr>
        <w:t xml:space="preserve"> The relative expression level of mRNA was calculated using the comparative Ct method by</w:t>
      </w:r>
      <w:r w:rsidR="00B30420" w:rsidRPr="00221EFF">
        <w:rPr>
          <w:rFonts w:ascii="Times New Roman" w:hAnsi="Times New Roman"/>
          <w:sz w:val="24"/>
        </w:rPr>
        <w:t xml:space="preserve"> subtracting the Ct value of </w:t>
      </w:r>
      <w:r w:rsidR="00B30420" w:rsidRPr="00221EFF">
        <w:rPr>
          <w:rFonts w:ascii="Symbol" w:hAnsi="Symbol"/>
          <w:sz w:val="24"/>
        </w:rPr>
        <w:t></w:t>
      </w:r>
      <w:r w:rsidR="00B30420" w:rsidRPr="00221EFF">
        <w:rPr>
          <w:rFonts w:ascii="Times New Roman" w:hAnsi="Times New Roman"/>
          <w:sz w:val="24"/>
        </w:rPr>
        <w:t xml:space="preserve"> actin </w:t>
      </w:r>
      <w:r w:rsidR="00B30420" w:rsidRPr="002E0005">
        <w:rPr>
          <w:rFonts w:ascii="Times New Roman" w:hAnsi="Times New Roman"/>
          <w:sz w:val="24"/>
        </w:rPr>
        <w:t xml:space="preserve">mRNA from </w:t>
      </w:r>
      <w:r w:rsidR="00CC0F33" w:rsidRPr="002E0005">
        <w:rPr>
          <w:rFonts w:ascii="Times New Roman" w:hAnsi="Times New Roman"/>
          <w:sz w:val="24"/>
        </w:rPr>
        <w:t>that</w:t>
      </w:r>
      <w:r w:rsidR="00B30420" w:rsidRPr="002E0005">
        <w:rPr>
          <w:rFonts w:ascii="Times New Roman" w:hAnsi="Times New Roman"/>
          <w:sz w:val="24"/>
        </w:rPr>
        <w:t xml:space="preserve"> of the target mRNA.</w:t>
      </w:r>
      <w:r w:rsidR="00E06A40" w:rsidRPr="002E0005">
        <w:rPr>
          <w:rFonts w:ascii="Times New Roman" w:hAnsi="Times New Roman"/>
          <w:color w:val="000000"/>
          <w:sz w:val="24"/>
        </w:rPr>
        <w:t xml:space="preserve"> (a) </w:t>
      </w:r>
      <w:r w:rsidR="001040E3" w:rsidRPr="002E0005">
        <w:rPr>
          <w:rFonts w:ascii="Times New Roman" w:hAnsi="Times New Roman"/>
          <w:sz w:val="24"/>
        </w:rPr>
        <w:t>C</w:t>
      </w:r>
      <w:r w:rsidR="00B30420" w:rsidRPr="002E0005">
        <w:rPr>
          <w:rFonts w:ascii="Times New Roman" w:hAnsi="Times New Roman"/>
          <w:sz w:val="24"/>
        </w:rPr>
        <w:t>h</w:t>
      </w:r>
      <w:r w:rsidR="007B5DCD" w:rsidRPr="002E0005">
        <w:rPr>
          <w:rFonts w:ascii="Times New Roman" w:hAnsi="Times New Roman"/>
          <w:sz w:val="24"/>
        </w:rPr>
        <w:t>ange</w:t>
      </w:r>
      <w:r w:rsidR="00CC0F33" w:rsidRPr="002E0005">
        <w:rPr>
          <w:rFonts w:ascii="Times New Roman" w:hAnsi="Times New Roman"/>
          <w:sz w:val="24"/>
        </w:rPr>
        <w:t>s</w:t>
      </w:r>
      <w:r w:rsidR="001040E3" w:rsidRPr="002E0005">
        <w:rPr>
          <w:rFonts w:ascii="Times New Roman" w:hAnsi="Times New Roman"/>
          <w:sz w:val="24"/>
        </w:rPr>
        <w:t xml:space="preserve"> </w:t>
      </w:r>
      <w:r w:rsidR="00CC0F33" w:rsidRPr="002E0005">
        <w:rPr>
          <w:rFonts w:ascii="Times New Roman" w:hAnsi="Times New Roman"/>
          <w:sz w:val="24"/>
        </w:rPr>
        <w:t xml:space="preserve">in </w:t>
      </w:r>
      <w:r w:rsidR="007B5DCD" w:rsidRPr="002E0005">
        <w:rPr>
          <w:rFonts w:ascii="Times New Roman" w:hAnsi="Times New Roman"/>
          <w:sz w:val="24"/>
        </w:rPr>
        <w:t>the mRNA expression level</w:t>
      </w:r>
      <w:r w:rsidR="00CC0F33" w:rsidRPr="002E0005">
        <w:rPr>
          <w:rFonts w:ascii="Times New Roman" w:hAnsi="Times New Roman"/>
          <w:sz w:val="24"/>
        </w:rPr>
        <w:t>s</w:t>
      </w:r>
      <w:r w:rsidR="001040E3" w:rsidRPr="002E0005">
        <w:rPr>
          <w:rFonts w:ascii="Times New Roman" w:hAnsi="Times New Roman"/>
          <w:sz w:val="24"/>
        </w:rPr>
        <w:t xml:space="preserve"> of </w:t>
      </w:r>
      <w:r w:rsidR="007B5DCD" w:rsidRPr="002E0005">
        <w:rPr>
          <w:rFonts w:ascii="Times New Roman" w:hAnsi="Times New Roman"/>
          <w:sz w:val="24"/>
        </w:rPr>
        <w:t xml:space="preserve">(a) </w:t>
      </w:r>
      <w:r w:rsidR="001040E3" w:rsidRPr="002E0005">
        <w:rPr>
          <w:rFonts w:ascii="Times New Roman" w:hAnsi="Times New Roman"/>
          <w:sz w:val="24"/>
        </w:rPr>
        <w:t>Chat</w:t>
      </w:r>
      <w:r w:rsidR="007B5DCD" w:rsidRPr="002E0005">
        <w:rPr>
          <w:rFonts w:ascii="Times New Roman" w:hAnsi="Times New Roman"/>
          <w:sz w:val="24"/>
        </w:rPr>
        <w:t xml:space="preserve"> and (b) GPR43</w:t>
      </w:r>
      <w:r w:rsidR="001040E3" w:rsidRPr="002E0005">
        <w:rPr>
          <w:rFonts w:ascii="Times New Roman" w:hAnsi="Times New Roman"/>
          <w:sz w:val="24"/>
        </w:rPr>
        <w:t xml:space="preserve"> in the ileum of </w:t>
      </w:r>
      <w:r w:rsidR="00BF3C12" w:rsidRPr="002E0005">
        <w:rPr>
          <w:rFonts w:ascii="Times New Roman" w:hAnsi="Times New Roman"/>
          <w:sz w:val="24"/>
        </w:rPr>
        <w:t>1-day</w:t>
      </w:r>
      <w:r w:rsidR="00CC0F33" w:rsidRPr="002E0005">
        <w:rPr>
          <w:rFonts w:ascii="Times New Roman" w:hAnsi="Times New Roman"/>
          <w:sz w:val="24"/>
        </w:rPr>
        <w:t>-old</w:t>
      </w:r>
      <w:r w:rsidR="00BF3C12" w:rsidRPr="002E0005">
        <w:rPr>
          <w:rFonts w:ascii="Times New Roman" w:hAnsi="Times New Roman"/>
          <w:sz w:val="24"/>
        </w:rPr>
        <w:t>, 15-day</w:t>
      </w:r>
      <w:r w:rsidR="00CC0F33" w:rsidRPr="002E0005">
        <w:rPr>
          <w:rFonts w:ascii="Times New Roman" w:hAnsi="Times New Roman"/>
          <w:sz w:val="24"/>
        </w:rPr>
        <w:t>-old</w:t>
      </w:r>
      <w:r w:rsidR="00BF3C12" w:rsidRPr="002E0005">
        <w:rPr>
          <w:rFonts w:ascii="Times New Roman" w:hAnsi="Times New Roman"/>
          <w:sz w:val="24"/>
        </w:rPr>
        <w:t>, 3-week</w:t>
      </w:r>
      <w:r w:rsidR="00CC0F33" w:rsidRPr="002E0005">
        <w:rPr>
          <w:rFonts w:ascii="Times New Roman" w:hAnsi="Times New Roman"/>
          <w:sz w:val="24"/>
        </w:rPr>
        <w:t>-old</w:t>
      </w:r>
      <w:r w:rsidR="00BF3C12" w:rsidRPr="002E0005">
        <w:rPr>
          <w:rFonts w:ascii="Times New Roman" w:hAnsi="Times New Roman"/>
          <w:sz w:val="24"/>
        </w:rPr>
        <w:t>, 5-week</w:t>
      </w:r>
      <w:r w:rsidR="00CC0F33" w:rsidRPr="002E0005">
        <w:rPr>
          <w:rFonts w:ascii="Times New Roman" w:hAnsi="Times New Roman"/>
          <w:sz w:val="24"/>
        </w:rPr>
        <w:t>-old, and 7-week-</w:t>
      </w:r>
      <w:r w:rsidR="007B5DCD" w:rsidRPr="002E0005">
        <w:rPr>
          <w:rFonts w:ascii="Times New Roman" w:hAnsi="Times New Roman"/>
          <w:sz w:val="24"/>
        </w:rPr>
        <w:t>old</w:t>
      </w:r>
      <w:r w:rsidR="00BF3C12" w:rsidRPr="002E0005">
        <w:rPr>
          <w:rFonts w:ascii="Times New Roman" w:hAnsi="Times New Roman"/>
          <w:sz w:val="24"/>
        </w:rPr>
        <w:t xml:space="preserve"> </w:t>
      </w:r>
      <w:r w:rsidR="002E0005">
        <w:rPr>
          <w:rFonts w:ascii="Times New Roman" w:hAnsi="Times New Roman" w:hint="eastAsia"/>
          <w:sz w:val="24"/>
        </w:rPr>
        <w:t>animals</w:t>
      </w:r>
      <w:r w:rsidR="00BF3C12" w:rsidRPr="002E0005">
        <w:rPr>
          <w:rFonts w:ascii="Times New Roman" w:hAnsi="Times New Roman"/>
          <w:sz w:val="24"/>
        </w:rPr>
        <w:t xml:space="preserve"> (n=3-4, </w:t>
      </w:r>
      <w:r w:rsidR="00BF3C12" w:rsidRPr="002E0005">
        <w:rPr>
          <w:rFonts w:ascii="Times New Roman" w:hAnsi="Times New Roman"/>
          <w:i/>
          <w:sz w:val="24"/>
        </w:rPr>
        <w:t>P</w:t>
      </w:r>
      <w:r w:rsidR="00BF3C12" w:rsidRPr="002E0005">
        <w:rPr>
          <w:rFonts w:ascii="Times New Roman" w:hAnsi="Times New Roman"/>
          <w:sz w:val="24"/>
        </w:rPr>
        <w:t>&lt;0.05).</w:t>
      </w:r>
      <w:r w:rsidR="00B30420" w:rsidRPr="002E0005">
        <w:rPr>
          <w:rFonts w:ascii="Times New Roman" w:hAnsi="Times New Roman"/>
          <w:sz w:val="24"/>
        </w:rPr>
        <w:t xml:space="preserve"> </w:t>
      </w:r>
      <w:r w:rsidR="001040E3" w:rsidRPr="002E0005">
        <w:rPr>
          <w:rFonts w:ascii="Times New Roman" w:hAnsi="Times New Roman"/>
          <w:sz w:val="24"/>
        </w:rPr>
        <w:t xml:space="preserve"> </w:t>
      </w:r>
      <w:r w:rsidR="00CC0F33" w:rsidRPr="002E0005">
        <w:rPr>
          <w:rFonts w:ascii="Times New Roman" w:hAnsi="Times New Roman"/>
          <w:color w:val="000000"/>
          <w:sz w:val="24"/>
        </w:rPr>
        <w:t>E</w:t>
      </w:r>
      <w:r w:rsidR="00BF3C12" w:rsidRPr="002E0005">
        <w:rPr>
          <w:rFonts w:ascii="Times New Roman" w:hAnsi="Times New Roman"/>
          <w:color w:val="000000"/>
          <w:sz w:val="24"/>
        </w:rPr>
        <w:t>xpression level</w:t>
      </w:r>
      <w:r w:rsidR="00CC0F33" w:rsidRPr="002E0005">
        <w:rPr>
          <w:rFonts w:ascii="Times New Roman" w:hAnsi="Times New Roman"/>
          <w:color w:val="000000"/>
          <w:sz w:val="24"/>
        </w:rPr>
        <w:t>s</w:t>
      </w:r>
      <w:r w:rsidR="00BF3C12" w:rsidRPr="002E0005">
        <w:rPr>
          <w:rFonts w:ascii="Times New Roman" w:hAnsi="Times New Roman"/>
          <w:color w:val="000000"/>
          <w:sz w:val="24"/>
        </w:rPr>
        <w:t xml:space="preserve"> gradually </w:t>
      </w:r>
      <w:r w:rsidR="00CC0F33" w:rsidRPr="002E0005">
        <w:rPr>
          <w:rFonts w:ascii="Times New Roman" w:hAnsi="Times New Roman"/>
          <w:color w:val="000000"/>
          <w:sz w:val="24"/>
        </w:rPr>
        <w:t xml:space="preserve">decreased </w:t>
      </w:r>
      <w:r w:rsidR="007B5DCD" w:rsidRPr="002E0005">
        <w:rPr>
          <w:rFonts w:ascii="Times New Roman" w:hAnsi="Times New Roman"/>
          <w:color w:val="000000"/>
          <w:sz w:val="24"/>
        </w:rPr>
        <w:t>with age to 20% that of 1-day</w:t>
      </w:r>
      <w:r w:rsidR="00CC0F33" w:rsidRPr="002E0005">
        <w:rPr>
          <w:rFonts w:ascii="Times New Roman" w:hAnsi="Times New Roman"/>
          <w:color w:val="000000"/>
          <w:sz w:val="24"/>
        </w:rPr>
        <w:t>-</w:t>
      </w:r>
      <w:r w:rsidR="007B5DCD" w:rsidRPr="002E0005">
        <w:rPr>
          <w:rFonts w:ascii="Times New Roman" w:hAnsi="Times New Roman"/>
          <w:color w:val="000000"/>
          <w:sz w:val="24"/>
        </w:rPr>
        <w:t>old</w:t>
      </w:r>
      <w:r w:rsidR="00CC0F33" w:rsidRPr="002E0005">
        <w:rPr>
          <w:rFonts w:ascii="Times New Roman" w:hAnsi="Times New Roman"/>
          <w:color w:val="000000"/>
          <w:sz w:val="24"/>
        </w:rPr>
        <w:t xml:space="preserve"> pups</w:t>
      </w:r>
      <w:r w:rsidR="007B5DCD" w:rsidRPr="002E0005">
        <w:rPr>
          <w:rFonts w:ascii="Times New Roman" w:hAnsi="Times New Roman"/>
          <w:color w:val="000000"/>
          <w:sz w:val="24"/>
        </w:rPr>
        <w:t xml:space="preserve">. </w:t>
      </w:r>
    </w:p>
    <w:p w:rsidR="00D92F8D" w:rsidRPr="002E0005" w:rsidRDefault="00D92F8D" w:rsidP="00D92F8D">
      <w:pPr>
        <w:widowControl/>
        <w:spacing w:line="480" w:lineRule="auto"/>
        <w:jc w:val="left"/>
        <w:rPr>
          <w:rFonts w:ascii="Times New Roman" w:hAnsi="Times New Roman"/>
          <w:color w:val="000000"/>
          <w:sz w:val="24"/>
        </w:rPr>
      </w:pPr>
    </w:p>
    <w:p w:rsidR="00D92F8D" w:rsidRPr="00B30420" w:rsidRDefault="00D92F8D" w:rsidP="00B30420">
      <w:pPr>
        <w:pStyle w:val="a7"/>
        <w:spacing w:line="480" w:lineRule="auto"/>
      </w:pPr>
      <w:r w:rsidRPr="002E0005">
        <w:rPr>
          <w:sz w:val="24"/>
          <w:szCs w:val="24"/>
        </w:rPr>
        <w:t xml:space="preserve">Supporting Figure </w:t>
      </w:r>
      <w:r w:rsidR="004A7370" w:rsidRPr="002E0005">
        <w:rPr>
          <w:sz w:val="24"/>
          <w:szCs w:val="24"/>
        </w:rPr>
        <w:t>2</w:t>
      </w:r>
      <w:r w:rsidRPr="002E0005">
        <w:rPr>
          <w:sz w:val="24"/>
          <w:szCs w:val="24"/>
        </w:rPr>
        <w:t xml:space="preserve">. </w:t>
      </w:r>
      <w:r w:rsidRPr="002E0005">
        <w:rPr>
          <w:i/>
          <w:sz w:val="24"/>
          <w:szCs w:val="24"/>
        </w:rPr>
        <w:t>In situ</w:t>
      </w:r>
      <w:r w:rsidRPr="002E0005">
        <w:rPr>
          <w:sz w:val="24"/>
          <w:szCs w:val="24"/>
        </w:rPr>
        <w:t xml:space="preserve"> hybridization of </w:t>
      </w:r>
      <w:r w:rsidR="002F1703" w:rsidRPr="002E0005">
        <w:rPr>
          <w:sz w:val="24"/>
          <w:szCs w:val="24"/>
        </w:rPr>
        <w:t>choline</w:t>
      </w:r>
      <w:r w:rsidRPr="002E0005">
        <w:rPr>
          <w:sz w:val="24"/>
          <w:szCs w:val="24"/>
        </w:rPr>
        <w:t xml:space="preserve"> transporter-like protein 4 (CTL4) mRNA.</w:t>
      </w:r>
      <w:r w:rsidR="00B30420" w:rsidRPr="002E0005">
        <w:rPr>
          <w:sz w:val="24"/>
          <w:szCs w:val="24"/>
        </w:rPr>
        <w:t xml:space="preserve"> Two non-overlapping antisense oligonucleotide DNA probes were designed for the mRNA of mouse choline transporter-like protein 4 (CTL4). These probes were labeled with </w:t>
      </w:r>
      <w:r w:rsidR="00B30420" w:rsidRPr="002E0005">
        <w:rPr>
          <w:sz w:val="24"/>
          <w:szCs w:val="24"/>
          <w:vertAlign w:val="superscript"/>
        </w:rPr>
        <w:t>33</w:t>
      </w:r>
      <w:r w:rsidR="00B30420" w:rsidRPr="002E0005">
        <w:rPr>
          <w:sz w:val="24"/>
          <w:szCs w:val="24"/>
        </w:rPr>
        <w:t>P-dATP using terminal deoxynucleotidyl transf</w:t>
      </w:r>
      <w:r w:rsidR="00B30420" w:rsidRPr="00221EFF">
        <w:rPr>
          <w:sz w:val="24"/>
          <w:szCs w:val="24"/>
        </w:rPr>
        <w:t>erase. Hybridization was performed at 42</w:t>
      </w:r>
      <w:r w:rsidR="00B30420" w:rsidRPr="00221EFF">
        <w:rPr>
          <w:sz w:val="24"/>
        </w:rPr>
        <w:t>°C</w:t>
      </w:r>
      <w:r w:rsidR="00B30420" w:rsidRPr="00221EFF">
        <w:rPr>
          <w:sz w:val="24"/>
          <w:szCs w:val="24"/>
        </w:rPr>
        <w:t xml:space="preserve"> for 10 hrs with a hybridization buffer containing </w:t>
      </w:r>
      <w:r w:rsidR="00B30420" w:rsidRPr="00221EFF">
        <w:rPr>
          <w:sz w:val="24"/>
          <w:szCs w:val="24"/>
          <w:vertAlign w:val="superscript"/>
        </w:rPr>
        <w:t>33</w:t>
      </w:r>
      <w:r w:rsidR="00B30420" w:rsidRPr="00221EFF">
        <w:rPr>
          <w:sz w:val="24"/>
          <w:szCs w:val="24"/>
        </w:rPr>
        <w:t xml:space="preserve">P-labeled oligonucleotide probes (10,000 cpm </w:t>
      </w:r>
      <w:r w:rsidR="00B30420" w:rsidRPr="00221EFF">
        <w:rPr>
          <w:rFonts w:ascii="Symbol" w:hAnsi="Symbol"/>
          <w:sz w:val="24"/>
          <w:szCs w:val="24"/>
        </w:rPr>
        <w:t></w:t>
      </w:r>
      <w:r w:rsidR="00B30420" w:rsidRPr="00221EFF">
        <w:rPr>
          <w:sz w:val="24"/>
          <w:szCs w:val="24"/>
        </w:rPr>
        <w:t>L</w:t>
      </w:r>
      <w:r w:rsidR="00B30420" w:rsidRPr="00221EFF">
        <w:rPr>
          <w:sz w:val="24"/>
          <w:szCs w:val="24"/>
          <w:vertAlign w:val="superscript"/>
        </w:rPr>
        <w:t>-1</w:t>
      </w:r>
      <w:r w:rsidR="00B30420" w:rsidRPr="00221EFF">
        <w:rPr>
          <w:sz w:val="24"/>
          <w:szCs w:val="24"/>
        </w:rPr>
        <w:t>).  The hybridized sections were dipped in an autoradiographic emulsion</w:t>
      </w:r>
      <w:r w:rsidR="00B30420">
        <w:rPr>
          <w:rFonts w:hint="eastAsia"/>
          <w:sz w:val="24"/>
          <w:szCs w:val="24"/>
        </w:rPr>
        <w:t xml:space="preserve"> </w:t>
      </w:r>
      <w:r w:rsidR="00B30420" w:rsidRPr="00221EFF">
        <w:rPr>
          <w:sz w:val="24"/>
          <w:szCs w:val="24"/>
        </w:rPr>
        <w:t>(NTB-2; Kodak) at 4</w:t>
      </w:r>
      <w:r w:rsidR="00B30420" w:rsidRPr="00221EFF">
        <w:rPr>
          <w:sz w:val="24"/>
        </w:rPr>
        <w:t>°C</w:t>
      </w:r>
      <w:r w:rsidR="00B30420" w:rsidRPr="00221EFF">
        <w:rPr>
          <w:sz w:val="24"/>
          <w:szCs w:val="24"/>
        </w:rPr>
        <w:t xml:space="preserve"> for 8-10 weeks.  </w:t>
      </w:r>
      <w:r w:rsidRPr="00221EFF">
        <w:rPr>
          <w:sz w:val="24"/>
        </w:rPr>
        <w:t xml:space="preserve">CTL4 mRNA was not detected in </w:t>
      </w:r>
      <w:r w:rsidR="00B30420">
        <w:rPr>
          <w:rFonts w:hint="eastAsia"/>
          <w:sz w:val="24"/>
        </w:rPr>
        <w:t xml:space="preserve">the ileum of </w:t>
      </w:r>
      <w:r w:rsidRPr="00221EFF">
        <w:rPr>
          <w:sz w:val="24"/>
        </w:rPr>
        <w:t xml:space="preserve">15-day-old </w:t>
      </w:r>
      <w:r w:rsidR="002E0005">
        <w:rPr>
          <w:rFonts w:hint="eastAsia"/>
          <w:sz w:val="24"/>
        </w:rPr>
        <w:t>pups</w:t>
      </w:r>
      <w:r w:rsidRPr="00221EFF">
        <w:rPr>
          <w:sz w:val="24"/>
        </w:rPr>
        <w:t xml:space="preserve"> (the left panel), but was strongly detected in the epithelial layers of the terminal ileum of adult mice (the right panel).</w:t>
      </w:r>
    </w:p>
    <w:sectPr w:rsidR="00D92F8D" w:rsidRPr="00B30420" w:rsidSect="006E2EA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C2" w:rsidRDefault="00141BC2">
      <w:r>
        <w:separator/>
      </w:r>
    </w:p>
  </w:endnote>
  <w:endnote w:type="continuationSeparator" w:id="0">
    <w:p w:rsidR="00141BC2" w:rsidRDefault="00141B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13716"/>
      <w:docPartObj>
        <w:docPartGallery w:val="Page Numbers (Bottom of Page)"/>
        <w:docPartUnique/>
      </w:docPartObj>
    </w:sdtPr>
    <w:sdtContent>
      <w:p w:rsidR="002E57D9" w:rsidRDefault="00BF4FBB" w:rsidP="00FB398D">
        <w:pPr>
          <w:pStyle w:val="a3"/>
          <w:jc w:val="center"/>
        </w:pPr>
        <w:r w:rsidRPr="00BF4FBB">
          <w:fldChar w:fldCharType="begin"/>
        </w:r>
        <w:r w:rsidR="00D92F8D">
          <w:instrText>PAGE   \* MERGEFORMAT</w:instrText>
        </w:r>
        <w:r w:rsidRPr="00BF4FBB">
          <w:fldChar w:fldCharType="separate"/>
        </w:r>
        <w:r w:rsidR="005A41A6" w:rsidRPr="005A41A6">
          <w:rPr>
            <w:noProof/>
            <w:lang w:val="ja-JP"/>
          </w:rPr>
          <w:t>3</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C2" w:rsidRDefault="00141BC2">
      <w:r>
        <w:separator/>
      </w:r>
    </w:p>
  </w:footnote>
  <w:footnote w:type="continuationSeparator" w:id="0">
    <w:p w:rsidR="00141BC2" w:rsidRDefault="00141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F8D"/>
    <w:rsid w:val="000419F7"/>
    <w:rsid w:val="0004435F"/>
    <w:rsid w:val="00092FF8"/>
    <w:rsid w:val="000A13C9"/>
    <w:rsid w:val="001040E3"/>
    <w:rsid w:val="00141BC2"/>
    <w:rsid w:val="00174059"/>
    <w:rsid w:val="001913B0"/>
    <w:rsid w:val="001C5E00"/>
    <w:rsid w:val="002021A9"/>
    <w:rsid w:val="00216ED4"/>
    <w:rsid w:val="002735FB"/>
    <w:rsid w:val="002B71CD"/>
    <w:rsid w:val="002C1F80"/>
    <w:rsid w:val="002E0005"/>
    <w:rsid w:val="002F1703"/>
    <w:rsid w:val="00311070"/>
    <w:rsid w:val="00357E5F"/>
    <w:rsid w:val="003C5A17"/>
    <w:rsid w:val="004A7370"/>
    <w:rsid w:val="004B0060"/>
    <w:rsid w:val="004E6597"/>
    <w:rsid w:val="00561CC3"/>
    <w:rsid w:val="00580C4D"/>
    <w:rsid w:val="005A0E75"/>
    <w:rsid w:val="005A41A6"/>
    <w:rsid w:val="005B28A0"/>
    <w:rsid w:val="005C28CE"/>
    <w:rsid w:val="005E0D8C"/>
    <w:rsid w:val="00623790"/>
    <w:rsid w:val="0062553A"/>
    <w:rsid w:val="006605F9"/>
    <w:rsid w:val="00690B2A"/>
    <w:rsid w:val="006B6745"/>
    <w:rsid w:val="007B5DCD"/>
    <w:rsid w:val="007D1E07"/>
    <w:rsid w:val="0080115F"/>
    <w:rsid w:val="008038A7"/>
    <w:rsid w:val="00833FD4"/>
    <w:rsid w:val="00852484"/>
    <w:rsid w:val="0087385C"/>
    <w:rsid w:val="00876B06"/>
    <w:rsid w:val="008920F2"/>
    <w:rsid w:val="009E06F4"/>
    <w:rsid w:val="009E4C15"/>
    <w:rsid w:val="009F2475"/>
    <w:rsid w:val="00A0420F"/>
    <w:rsid w:val="00A157C0"/>
    <w:rsid w:val="00A26794"/>
    <w:rsid w:val="00AA34CD"/>
    <w:rsid w:val="00AB6FEF"/>
    <w:rsid w:val="00AD7619"/>
    <w:rsid w:val="00B16627"/>
    <w:rsid w:val="00B30420"/>
    <w:rsid w:val="00B731C6"/>
    <w:rsid w:val="00B815F6"/>
    <w:rsid w:val="00BB7970"/>
    <w:rsid w:val="00BC557C"/>
    <w:rsid w:val="00BE4C1A"/>
    <w:rsid w:val="00BF3C12"/>
    <w:rsid w:val="00BF4FBB"/>
    <w:rsid w:val="00C66E72"/>
    <w:rsid w:val="00C716F2"/>
    <w:rsid w:val="00CC0F33"/>
    <w:rsid w:val="00CD4D13"/>
    <w:rsid w:val="00D16DD1"/>
    <w:rsid w:val="00D620A6"/>
    <w:rsid w:val="00D8052E"/>
    <w:rsid w:val="00D90735"/>
    <w:rsid w:val="00D92F8D"/>
    <w:rsid w:val="00DB1278"/>
    <w:rsid w:val="00DB4055"/>
    <w:rsid w:val="00E06A40"/>
    <w:rsid w:val="00E76FD2"/>
    <w:rsid w:val="00EC56EE"/>
    <w:rsid w:val="00F2173E"/>
    <w:rsid w:val="00F7070A"/>
    <w:rsid w:val="00F82F71"/>
    <w:rsid w:val="00F840FE"/>
    <w:rsid w:val="00F917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8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2F8D"/>
    <w:pPr>
      <w:tabs>
        <w:tab w:val="center" w:pos="4252"/>
        <w:tab w:val="right" w:pos="8504"/>
      </w:tabs>
      <w:snapToGrid w:val="0"/>
    </w:pPr>
  </w:style>
  <w:style w:type="character" w:customStyle="1" w:styleId="a4">
    <w:name w:val="フッター (文字)"/>
    <w:basedOn w:val="a0"/>
    <w:link w:val="a3"/>
    <w:uiPriority w:val="99"/>
    <w:rsid w:val="00D92F8D"/>
    <w:rPr>
      <w:rFonts w:ascii="Century" w:hAnsi="Century" w:cs="Times New Roman"/>
      <w:szCs w:val="24"/>
    </w:rPr>
  </w:style>
  <w:style w:type="paragraph" w:styleId="a5">
    <w:name w:val="Plain Text"/>
    <w:basedOn w:val="a"/>
    <w:link w:val="a6"/>
    <w:uiPriority w:val="99"/>
    <w:unhideWhenUsed/>
    <w:rsid w:val="00D92F8D"/>
    <w:pPr>
      <w:spacing w:line="240" w:lineRule="atLeast"/>
      <w:jc w:val="left"/>
    </w:pPr>
    <w:rPr>
      <w:rFonts w:ascii="MS Gothic" w:eastAsia="MS Gothic" w:hAnsi="Courier New" w:cs="Courier New"/>
      <w:sz w:val="20"/>
      <w:szCs w:val="21"/>
    </w:rPr>
  </w:style>
  <w:style w:type="character" w:customStyle="1" w:styleId="a6">
    <w:name w:val="書式なし (文字)"/>
    <w:basedOn w:val="a0"/>
    <w:link w:val="a5"/>
    <w:uiPriority w:val="99"/>
    <w:rsid w:val="00D92F8D"/>
    <w:rPr>
      <w:rFonts w:ascii="MS Gothic" w:eastAsia="MS Gothic" w:hAnsi="Courier New" w:cs="Courier New"/>
      <w:sz w:val="20"/>
      <w:szCs w:val="21"/>
    </w:rPr>
  </w:style>
  <w:style w:type="paragraph" w:styleId="a7">
    <w:name w:val="Date"/>
    <w:basedOn w:val="a"/>
    <w:next w:val="a"/>
    <w:link w:val="a8"/>
    <w:uiPriority w:val="99"/>
    <w:unhideWhenUsed/>
    <w:rsid w:val="00D92F8D"/>
    <w:rPr>
      <w:rFonts w:ascii="Times New Roman" w:hAnsi="Times New Roman"/>
      <w:color w:val="000000"/>
      <w:sz w:val="28"/>
      <w:szCs w:val="28"/>
    </w:rPr>
  </w:style>
  <w:style w:type="character" w:customStyle="1" w:styleId="a8">
    <w:name w:val="日付 (文字)"/>
    <w:basedOn w:val="a0"/>
    <w:link w:val="a7"/>
    <w:uiPriority w:val="99"/>
    <w:rsid w:val="00D92F8D"/>
    <w:rPr>
      <w:rFonts w:ascii="Times New Roman" w:hAnsi="Times New Roman" w:cs="Times New Roman"/>
      <w:color w:val="000000"/>
      <w:sz w:val="28"/>
      <w:szCs w:val="28"/>
    </w:rPr>
  </w:style>
  <w:style w:type="paragraph" w:styleId="a9">
    <w:name w:val="header"/>
    <w:basedOn w:val="a"/>
    <w:link w:val="aa"/>
    <w:uiPriority w:val="99"/>
    <w:unhideWhenUsed/>
    <w:rsid w:val="00876B06"/>
    <w:pPr>
      <w:tabs>
        <w:tab w:val="center" w:pos="4252"/>
        <w:tab w:val="right" w:pos="8504"/>
      </w:tabs>
      <w:snapToGrid w:val="0"/>
    </w:pPr>
  </w:style>
  <w:style w:type="character" w:customStyle="1" w:styleId="aa">
    <w:name w:val="ヘッダー (文字)"/>
    <w:basedOn w:val="a0"/>
    <w:link w:val="a9"/>
    <w:uiPriority w:val="99"/>
    <w:rsid w:val="00876B06"/>
    <w:rPr>
      <w:rFonts w:ascii="Century" w:hAnsi="Century"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8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2F8D"/>
    <w:pPr>
      <w:tabs>
        <w:tab w:val="center" w:pos="4252"/>
        <w:tab w:val="right" w:pos="8504"/>
      </w:tabs>
      <w:snapToGrid w:val="0"/>
    </w:pPr>
  </w:style>
  <w:style w:type="character" w:customStyle="1" w:styleId="a4">
    <w:name w:val="フッター (文字)"/>
    <w:basedOn w:val="a0"/>
    <w:link w:val="a3"/>
    <w:uiPriority w:val="99"/>
    <w:rsid w:val="00D92F8D"/>
    <w:rPr>
      <w:rFonts w:ascii="Century" w:hAnsi="Century" w:cs="Times New Roman"/>
      <w:szCs w:val="24"/>
    </w:rPr>
  </w:style>
  <w:style w:type="paragraph" w:styleId="a5">
    <w:name w:val="Plain Text"/>
    <w:basedOn w:val="a"/>
    <w:link w:val="a6"/>
    <w:uiPriority w:val="99"/>
    <w:unhideWhenUsed/>
    <w:rsid w:val="00D92F8D"/>
    <w:pPr>
      <w:spacing w:line="240" w:lineRule="atLeast"/>
      <w:jc w:val="left"/>
    </w:pPr>
    <w:rPr>
      <w:rFonts w:ascii="MS Gothic" w:eastAsia="MS Gothic" w:hAnsi="Courier New" w:cs="Courier New"/>
      <w:sz w:val="20"/>
      <w:szCs w:val="21"/>
    </w:rPr>
  </w:style>
  <w:style w:type="character" w:customStyle="1" w:styleId="a6">
    <w:name w:val="書式なし (文字)"/>
    <w:basedOn w:val="a0"/>
    <w:link w:val="a5"/>
    <w:uiPriority w:val="99"/>
    <w:rsid w:val="00D92F8D"/>
    <w:rPr>
      <w:rFonts w:ascii="MS Gothic" w:eastAsia="MS Gothic" w:hAnsi="Courier New" w:cs="Courier New"/>
      <w:sz w:val="20"/>
      <w:szCs w:val="21"/>
    </w:rPr>
  </w:style>
  <w:style w:type="paragraph" w:styleId="a7">
    <w:name w:val="Date"/>
    <w:basedOn w:val="a"/>
    <w:next w:val="a"/>
    <w:link w:val="a8"/>
    <w:uiPriority w:val="99"/>
    <w:unhideWhenUsed/>
    <w:rsid w:val="00D92F8D"/>
    <w:rPr>
      <w:rFonts w:ascii="Times New Roman" w:hAnsi="Times New Roman"/>
      <w:color w:val="000000"/>
      <w:sz w:val="28"/>
      <w:szCs w:val="28"/>
    </w:rPr>
  </w:style>
  <w:style w:type="character" w:customStyle="1" w:styleId="a8">
    <w:name w:val="日付 (文字)"/>
    <w:basedOn w:val="a0"/>
    <w:link w:val="a7"/>
    <w:uiPriority w:val="99"/>
    <w:rsid w:val="00D92F8D"/>
    <w:rPr>
      <w:rFonts w:ascii="Times New Roman" w:hAnsi="Times New Roman" w:cs="Times New Roman"/>
      <w:color w:val="000000"/>
      <w:sz w:val="28"/>
      <w:szCs w:val="28"/>
    </w:rPr>
  </w:style>
  <w:style w:type="paragraph" w:styleId="a9">
    <w:name w:val="header"/>
    <w:basedOn w:val="a"/>
    <w:link w:val="aa"/>
    <w:uiPriority w:val="99"/>
    <w:unhideWhenUsed/>
    <w:rsid w:val="00876B06"/>
    <w:pPr>
      <w:tabs>
        <w:tab w:val="center" w:pos="4252"/>
        <w:tab w:val="right" w:pos="8504"/>
      </w:tabs>
      <w:snapToGrid w:val="0"/>
    </w:pPr>
  </w:style>
  <w:style w:type="character" w:customStyle="1" w:styleId="aa">
    <w:name w:val="ヘッダー (文字)"/>
    <w:basedOn w:val="a0"/>
    <w:link w:val="a9"/>
    <w:uiPriority w:val="99"/>
    <w:rsid w:val="00876B06"/>
    <w:rPr>
      <w:rFonts w:ascii="Century"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English Service</dc:creator>
  <cp:lastModifiedBy>Masako Yajima</cp:lastModifiedBy>
  <cp:revision>2</cp:revision>
  <dcterms:created xsi:type="dcterms:W3CDTF">2016-01-25T13:36:00Z</dcterms:created>
  <dcterms:modified xsi:type="dcterms:W3CDTF">2016-01-25T13:36:00Z</dcterms:modified>
</cp:coreProperties>
</file>