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D2" w:rsidRDefault="002F10D2" w:rsidP="002F10D2">
      <w:pPr>
        <w:spacing w:line="480" w:lineRule="auto"/>
        <w:jc w:val="left"/>
        <w:rPr>
          <w:rFonts w:ascii="Times New Roman" w:eastAsia="TimesNewRomanPSMT" w:hAnsi="Times New Roman"/>
          <w:b/>
          <w:sz w:val="22"/>
        </w:rPr>
      </w:pPr>
      <w:r>
        <w:rPr>
          <w:rFonts w:ascii="Times New Roman" w:eastAsia="TimesNewRomanPSMT" w:hAnsi="Times New Roman"/>
          <w:b/>
          <w:sz w:val="22"/>
        </w:rPr>
        <w:t>Supplementary Figure legend</w:t>
      </w:r>
    </w:p>
    <w:p w:rsidR="003335AE" w:rsidRDefault="003335AE" w:rsidP="002F10D2">
      <w:pPr>
        <w:spacing w:line="480" w:lineRule="auto"/>
        <w:jc w:val="left"/>
        <w:rPr>
          <w:rFonts w:ascii="Times New Roman" w:eastAsia="TimesNewRomanPSMT" w:hAnsi="Times New Roman" w:hint="eastAsia"/>
          <w:b/>
          <w:sz w:val="22"/>
        </w:rPr>
      </w:pPr>
      <w:r>
        <w:rPr>
          <w:rFonts w:ascii="Times New Roman" w:eastAsia="TimesNewRomanPSMT" w:hAnsi="Times New Roman" w:hint="eastAsia"/>
          <w:b/>
          <w:sz w:val="22"/>
        </w:rPr>
        <w:t>Supplementary Figure A1. The serum chemokine levels of DEB patients and controls</w:t>
      </w:r>
    </w:p>
    <w:p w:rsidR="003335AE" w:rsidRPr="00CC1697" w:rsidRDefault="003335AE" w:rsidP="003335AE">
      <w:pPr>
        <w:spacing w:line="480" w:lineRule="auto"/>
        <w:jc w:val="left"/>
        <w:rPr>
          <w:rFonts w:ascii="Times New Roman" w:hAnsi="Times New Roman"/>
          <w:b/>
          <w:sz w:val="22"/>
        </w:rPr>
      </w:pPr>
      <w:r w:rsidRPr="00CC1697">
        <w:rPr>
          <w:rFonts w:ascii="Times New Roman" w:hAnsi="Times New Roman"/>
          <w:sz w:val="22"/>
        </w:rPr>
        <w:t xml:space="preserve">The serum chemokine levels were measured by ELISAs: </w:t>
      </w:r>
      <w:r w:rsidRPr="00CC1697">
        <w:rPr>
          <w:rFonts w:ascii="Times New Roman" w:hAnsi="Times New Roman"/>
          <w:b/>
          <w:sz w:val="22"/>
        </w:rPr>
        <w:t xml:space="preserve">(a) </w:t>
      </w:r>
      <w:r w:rsidRPr="00CC1697">
        <w:rPr>
          <w:rFonts w:ascii="Times New Roman" w:hAnsi="Times New Roman"/>
          <w:sz w:val="22"/>
        </w:rPr>
        <w:t xml:space="preserve">HMGB1 (patients, n = </w:t>
      </w:r>
      <w:r>
        <w:rPr>
          <w:rFonts w:ascii="Times New Roman" w:hAnsi="Times New Roman"/>
          <w:sz w:val="22"/>
        </w:rPr>
        <w:t>30</w:t>
      </w:r>
      <w:r w:rsidRPr="00CC1697">
        <w:rPr>
          <w:rFonts w:ascii="Times New Roman" w:hAnsi="Times New Roman"/>
          <w:sz w:val="22"/>
        </w:rPr>
        <w:t xml:space="preserve">; controls, n = 18); </w:t>
      </w:r>
      <w:r w:rsidRPr="00CC1697">
        <w:rPr>
          <w:rFonts w:ascii="Times New Roman" w:hAnsi="Times New Roman"/>
          <w:b/>
          <w:sz w:val="22"/>
        </w:rPr>
        <w:t xml:space="preserve">(b) </w:t>
      </w:r>
      <w:r w:rsidRPr="00CC1697">
        <w:rPr>
          <w:rFonts w:ascii="Times New Roman" w:hAnsi="Times New Roman"/>
          <w:sz w:val="22"/>
        </w:rPr>
        <w:t xml:space="preserve">CXCL12 (EB patients, n = </w:t>
      </w:r>
      <w:r>
        <w:rPr>
          <w:rFonts w:ascii="Times New Roman" w:hAnsi="Times New Roman"/>
          <w:sz w:val="22"/>
        </w:rPr>
        <w:t>28</w:t>
      </w:r>
      <w:r w:rsidRPr="00CC1697">
        <w:rPr>
          <w:rFonts w:ascii="Times New Roman" w:hAnsi="Times New Roman"/>
          <w:sz w:val="22"/>
        </w:rPr>
        <w:t>; controls, n = 15);</w:t>
      </w:r>
      <w:r w:rsidRPr="00CC1697">
        <w:rPr>
          <w:rFonts w:ascii="Times New Roman" w:hAnsi="Times New Roman"/>
          <w:b/>
          <w:sz w:val="22"/>
        </w:rPr>
        <w:t xml:space="preserve"> (c)</w:t>
      </w:r>
      <w:r w:rsidRPr="00CC1697">
        <w:rPr>
          <w:rFonts w:ascii="Times New Roman" w:hAnsi="Times New Roman"/>
          <w:sz w:val="22"/>
        </w:rPr>
        <w:t xml:space="preserve"> CCL21 (EB patients, </w:t>
      </w:r>
      <w:bookmarkStart w:id="0" w:name="_GoBack"/>
      <w:bookmarkEnd w:id="0"/>
      <w:r w:rsidRPr="00CC1697">
        <w:rPr>
          <w:rFonts w:ascii="Times New Roman" w:hAnsi="Times New Roman"/>
          <w:sz w:val="22"/>
        </w:rPr>
        <w:t xml:space="preserve">n = </w:t>
      </w:r>
      <w:r>
        <w:rPr>
          <w:rFonts w:ascii="Times New Roman" w:hAnsi="Times New Roman"/>
          <w:sz w:val="22"/>
        </w:rPr>
        <w:t>30</w:t>
      </w:r>
      <w:r w:rsidRPr="00CC1697">
        <w:rPr>
          <w:rFonts w:ascii="Times New Roman" w:hAnsi="Times New Roman"/>
          <w:sz w:val="22"/>
        </w:rPr>
        <w:t xml:space="preserve">; controls, n = 19); </w:t>
      </w:r>
      <w:r w:rsidRPr="00CC1697">
        <w:rPr>
          <w:rFonts w:ascii="Times New Roman" w:hAnsi="Times New Roman"/>
          <w:b/>
          <w:sz w:val="22"/>
        </w:rPr>
        <w:t>(d)</w:t>
      </w:r>
      <w:r w:rsidRPr="00CC1697">
        <w:rPr>
          <w:rFonts w:ascii="Times New Roman" w:hAnsi="Times New Roman"/>
          <w:sz w:val="22"/>
        </w:rPr>
        <w:t xml:space="preserve"> CCL19 (EB patients, n = </w:t>
      </w:r>
      <w:r>
        <w:rPr>
          <w:rFonts w:ascii="Times New Roman" w:hAnsi="Times New Roman"/>
          <w:sz w:val="22"/>
        </w:rPr>
        <w:t>27</w:t>
      </w:r>
      <w:r w:rsidRPr="00CC1697">
        <w:rPr>
          <w:rFonts w:ascii="Times New Roman" w:hAnsi="Times New Roman"/>
          <w:sz w:val="22"/>
        </w:rPr>
        <w:t xml:space="preserve">; controls, n = 13); </w:t>
      </w:r>
      <w:r w:rsidRPr="00CC1697">
        <w:rPr>
          <w:rFonts w:ascii="Times New Roman" w:hAnsi="Times New Roman"/>
          <w:b/>
          <w:sz w:val="22"/>
        </w:rPr>
        <w:t xml:space="preserve">(e) </w:t>
      </w:r>
      <w:r w:rsidRPr="00CC1697">
        <w:rPr>
          <w:rFonts w:ascii="Times New Roman" w:hAnsi="Times New Roman"/>
          <w:sz w:val="22"/>
        </w:rPr>
        <w:t xml:space="preserve">CCL27 (EB patients, n = </w:t>
      </w:r>
      <w:r>
        <w:rPr>
          <w:rFonts w:ascii="Times New Roman" w:hAnsi="Times New Roman"/>
          <w:sz w:val="22"/>
        </w:rPr>
        <w:t>29</w:t>
      </w:r>
      <w:r w:rsidRPr="00CC1697">
        <w:rPr>
          <w:rFonts w:ascii="Times New Roman" w:hAnsi="Times New Roman"/>
          <w:sz w:val="22"/>
        </w:rPr>
        <w:t xml:space="preserve">; controls, n = 19); </w:t>
      </w:r>
      <w:r w:rsidRPr="00CC1697">
        <w:rPr>
          <w:rFonts w:ascii="Times New Roman" w:hAnsi="Times New Roman"/>
          <w:b/>
          <w:sz w:val="22"/>
        </w:rPr>
        <w:t>(f)</w:t>
      </w:r>
      <w:r w:rsidRPr="00CC1697">
        <w:rPr>
          <w:rFonts w:ascii="Times New Roman" w:hAnsi="Times New Roman"/>
          <w:sz w:val="22"/>
        </w:rPr>
        <w:t xml:space="preserve"> CCL28 (EB patients, n = </w:t>
      </w:r>
      <w:r>
        <w:rPr>
          <w:rFonts w:ascii="Times New Roman" w:hAnsi="Times New Roman"/>
          <w:sz w:val="22"/>
        </w:rPr>
        <w:t>27</w:t>
      </w:r>
      <w:r w:rsidRPr="00CC1697">
        <w:rPr>
          <w:rFonts w:ascii="Times New Roman" w:hAnsi="Times New Roman"/>
          <w:sz w:val="22"/>
        </w:rPr>
        <w:t>; controls, n = 15)</w:t>
      </w:r>
      <w:r w:rsidRPr="00CC1697">
        <w:rPr>
          <w:rFonts w:ascii="Times New Roman" w:hAnsi="Times New Roman"/>
          <w:b/>
          <w:sz w:val="22"/>
        </w:rPr>
        <w:t xml:space="preserve">. </w:t>
      </w:r>
      <w:r w:rsidRPr="00CC1697">
        <w:rPr>
          <w:rFonts w:ascii="Times New Roman" w:hAnsi="Times New Roman"/>
          <w:sz w:val="22"/>
        </w:rPr>
        <w:t xml:space="preserve">Box plots show the distribution of chemokine levels in each group, and error bars are SEM. </w:t>
      </w:r>
      <w:r w:rsidRPr="00CC1697">
        <w:rPr>
          <w:rFonts w:ascii="Times New Roman" w:eastAsia="TimesNewRomanPSMT" w:hAnsi="Times New Roman"/>
          <w:kern w:val="0"/>
          <w:sz w:val="22"/>
        </w:rPr>
        <w:t xml:space="preserve">The statistical differences were determined by student’s t test. </w:t>
      </w:r>
      <w:r w:rsidRPr="00CC1697">
        <w:rPr>
          <w:rFonts w:ascii="Times New Roman" w:hAnsi="Times New Roman"/>
          <w:sz w:val="22"/>
        </w:rPr>
        <w:t>**</w:t>
      </w:r>
      <w:r w:rsidRPr="00CC1697">
        <w:rPr>
          <w:rFonts w:ascii="Times New Roman" w:hAnsi="Times New Roman"/>
          <w:i/>
          <w:sz w:val="22"/>
        </w:rPr>
        <w:t>P</w:t>
      </w:r>
      <w:r w:rsidRPr="00CC1697">
        <w:rPr>
          <w:rFonts w:ascii="Times New Roman" w:hAnsi="Times New Roman"/>
          <w:sz w:val="22"/>
        </w:rPr>
        <w:t xml:space="preserve"> &lt; 0.01, ****</w:t>
      </w:r>
      <w:r w:rsidRPr="00CC1697">
        <w:rPr>
          <w:rFonts w:ascii="Times New Roman" w:hAnsi="Times New Roman"/>
          <w:i/>
          <w:sz w:val="22"/>
        </w:rPr>
        <w:t>P</w:t>
      </w:r>
      <w:r w:rsidRPr="00CC1697">
        <w:rPr>
          <w:rFonts w:ascii="Times New Roman" w:hAnsi="Times New Roman"/>
          <w:sz w:val="22"/>
        </w:rPr>
        <w:t xml:space="preserve"> &lt; 0.0001.</w:t>
      </w:r>
    </w:p>
    <w:p w:rsidR="003335AE" w:rsidRPr="003335AE" w:rsidRDefault="003335AE" w:rsidP="002F10D2">
      <w:pPr>
        <w:spacing w:line="480" w:lineRule="auto"/>
        <w:jc w:val="left"/>
        <w:rPr>
          <w:rFonts w:ascii="Times New Roman" w:eastAsia="TimesNewRomanPSMT" w:hAnsi="Times New Roman"/>
          <w:b/>
          <w:sz w:val="22"/>
        </w:rPr>
      </w:pPr>
    </w:p>
    <w:p w:rsidR="003335AE" w:rsidRDefault="003335AE" w:rsidP="002F10D2">
      <w:pPr>
        <w:spacing w:line="480" w:lineRule="auto"/>
        <w:jc w:val="left"/>
        <w:rPr>
          <w:rFonts w:ascii="Times New Roman" w:eastAsia="TimesNewRomanPSMT" w:hAnsi="Times New Roman"/>
          <w:b/>
          <w:sz w:val="22"/>
        </w:rPr>
      </w:pPr>
    </w:p>
    <w:p w:rsidR="002F10D2" w:rsidRPr="00CC1697" w:rsidRDefault="003335AE" w:rsidP="002F10D2">
      <w:pPr>
        <w:spacing w:line="480" w:lineRule="auto"/>
        <w:jc w:val="left"/>
        <w:rPr>
          <w:rFonts w:ascii="Times New Roman" w:eastAsia="TimesNewRomanPSMT" w:hAnsi="Times New Roman"/>
          <w:b/>
          <w:sz w:val="22"/>
        </w:rPr>
      </w:pPr>
      <w:r>
        <w:rPr>
          <w:rFonts w:ascii="Times New Roman" w:eastAsia="TimesNewRomanPSMT" w:hAnsi="Times New Roman"/>
          <w:b/>
          <w:sz w:val="22"/>
        </w:rPr>
        <w:t>Supplementary Figure B</w:t>
      </w:r>
      <w:r w:rsidR="002F10D2">
        <w:rPr>
          <w:rFonts w:ascii="Times New Roman" w:eastAsia="TimesNewRomanPSMT" w:hAnsi="Times New Roman"/>
          <w:b/>
          <w:sz w:val="22"/>
        </w:rPr>
        <w:t>1</w:t>
      </w:r>
      <w:r w:rsidR="002F10D2" w:rsidRPr="00CC1697">
        <w:rPr>
          <w:rFonts w:ascii="Times New Roman" w:eastAsia="TimesNewRomanPSMT" w:hAnsi="Times New Roman"/>
          <w:b/>
          <w:sz w:val="22"/>
        </w:rPr>
        <w:t>. The serum chemokine levels of RDEB patients and affected BSA</w:t>
      </w:r>
    </w:p>
    <w:p w:rsidR="002F10D2" w:rsidRPr="00CC1697" w:rsidRDefault="002F10D2" w:rsidP="002F10D2">
      <w:pPr>
        <w:spacing w:line="480" w:lineRule="auto"/>
        <w:jc w:val="left"/>
        <w:rPr>
          <w:rFonts w:ascii="Times New Roman" w:hAnsi="Times New Roman"/>
          <w:b/>
          <w:sz w:val="22"/>
        </w:rPr>
      </w:pPr>
      <w:r w:rsidRPr="00CC1697">
        <w:rPr>
          <w:rFonts w:ascii="Times New Roman" w:hAnsi="Times New Roman"/>
          <w:sz w:val="22"/>
        </w:rPr>
        <w:t xml:space="preserve">The affected BSA of RDEB patients were divided into four groups: 0-20%, 21-50%, 51-80%, 80% &lt;. Data are expressed as the mean ± SEM. </w:t>
      </w:r>
      <w:r w:rsidRPr="00CC1697">
        <w:rPr>
          <w:rFonts w:ascii="Times New Roman" w:hAnsi="Times New Roman"/>
          <w:b/>
          <w:sz w:val="22"/>
        </w:rPr>
        <w:t xml:space="preserve">(a) </w:t>
      </w:r>
      <w:r w:rsidRPr="00CC1697">
        <w:rPr>
          <w:rFonts w:ascii="Times New Roman" w:hAnsi="Times New Roman"/>
          <w:sz w:val="22"/>
        </w:rPr>
        <w:t xml:space="preserve">HMGB1; </w:t>
      </w:r>
      <w:r w:rsidRPr="00CC1697">
        <w:rPr>
          <w:rFonts w:ascii="Times New Roman" w:hAnsi="Times New Roman"/>
          <w:b/>
          <w:sz w:val="22"/>
        </w:rPr>
        <w:t xml:space="preserve">(b) </w:t>
      </w:r>
      <w:r w:rsidRPr="00CC1697">
        <w:rPr>
          <w:rFonts w:ascii="Times New Roman" w:hAnsi="Times New Roman"/>
          <w:sz w:val="22"/>
        </w:rPr>
        <w:t>CXCL12;</w:t>
      </w:r>
      <w:r w:rsidRPr="00CC1697">
        <w:rPr>
          <w:rFonts w:ascii="Times New Roman" w:hAnsi="Times New Roman"/>
          <w:b/>
          <w:sz w:val="22"/>
        </w:rPr>
        <w:t xml:space="preserve"> (c)</w:t>
      </w:r>
      <w:r w:rsidRPr="00CC1697">
        <w:rPr>
          <w:rFonts w:ascii="Times New Roman" w:hAnsi="Times New Roman"/>
          <w:sz w:val="22"/>
        </w:rPr>
        <w:t xml:space="preserve"> CCL21; </w:t>
      </w:r>
      <w:r w:rsidRPr="00CC1697">
        <w:rPr>
          <w:rFonts w:ascii="Times New Roman" w:hAnsi="Times New Roman"/>
          <w:b/>
          <w:sz w:val="22"/>
        </w:rPr>
        <w:t>(d)</w:t>
      </w:r>
      <w:r w:rsidRPr="00CC1697">
        <w:rPr>
          <w:rFonts w:ascii="Times New Roman" w:hAnsi="Times New Roman"/>
          <w:sz w:val="22"/>
        </w:rPr>
        <w:t xml:space="preserve"> CCL19; </w:t>
      </w:r>
      <w:r w:rsidRPr="00CC1697">
        <w:rPr>
          <w:rFonts w:ascii="Times New Roman" w:hAnsi="Times New Roman"/>
          <w:b/>
          <w:sz w:val="22"/>
        </w:rPr>
        <w:t xml:space="preserve">(e) </w:t>
      </w:r>
      <w:r w:rsidRPr="00CC1697">
        <w:rPr>
          <w:rFonts w:ascii="Times New Roman" w:hAnsi="Times New Roman"/>
          <w:sz w:val="22"/>
        </w:rPr>
        <w:t xml:space="preserve">CCL27; </w:t>
      </w:r>
      <w:r w:rsidRPr="00CC1697">
        <w:rPr>
          <w:rFonts w:ascii="Times New Roman" w:hAnsi="Times New Roman"/>
          <w:b/>
          <w:sz w:val="22"/>
        </w:rPr>
        <w:t>(f)</w:t>
      </w:r>
      <w:r w:rsidRPr="00CC1697">
        <w:rPr>
          <w:rFonts w:ascii="Times New Roman" w:hAnsi="Times New Roman"/>
          <w:sz w:val="22"/>
        </w:rPr>
        <w:t xml:space="preserve"> CCL28 (RDEB patients, n = 21)</w:t>
      </w:r>
      <w:r w:rsidRPr="00CC1697">
        <w:rPr>
          <w:rFonts w:ascii="Times New Roman" w:hAnsi="Times New Roman"/>
          <w:b/>
          <w:sz w:val="22"/>
        </w:rPr>
        <w:t>.</w:t>
      </w:r>
    </w:p>
    <w:p w:rsidR="0013698E" w:rsidRPr="002F10D2" w:rsidRDefault="0013698E"/>
    <w:sectPr w:rsidR="0013698E" w:rsidRPr="002F1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E" w:rsidRDefault="003335AE" w:rsidP="003335AE">
      <w:r>
        <w:separator/>
      </w:r>
    </w:p>
  </w:endnote>
  <w:endnote w:type="continuationSeparator" w:id="0">
    <w:p w:rsidR="003335AE" w:rsidRDefault="003335AE" w:rsidP="003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E" w:rsidRDefault="003335AE" w:rsidP="003335AE">
      <w:r>
        <w:separator/>
      </w:r>
    </w:p>
  </w:footnote>
  <w:footnote w:type="continuationSeparator" w:id="0">
    <w:p w:rsidR="003335AE" w:rsidRDefault="003335AE" w:rsidP="0033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2"/>
    <w:rsid w:val="0013698E"/>
    <w:rsid w:val="002F10D2"/>
    <w:rsid w:val="003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1B36D"/>
  <w15:chartTrackingRefBased/>
  <w15:docId w15:val="{488D12FF-F5BE-471D-9D05-3A7F3F7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10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5A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5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 Hayashi</dc:creator>
  <cp:keywords/>
  <dc:description/>
  <cp:lastModifiedBy>Inkin Hayashi</cp:lastModifiedBy>
  <cp:revision>2</cp:revision>
  <dcterms:created xsi:type="dcterms:W3CDTF">2016-11-22T00:32:00Z</dcterms:created>
  <dcterms:modified xsi:type="dcterms:W3CDTF">2016-11-22T00:32:00Z</dcterms:modified>
</cp:coreProperties>
</file>