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6A" w:rsidRPr="00B437D3" w:rsidRDefault="00A9696A" w:rsidP="00A9696A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B437D3">
        <w:rPr>
          <w:rFonts w:ascii="Times New Roman" w:hAnsi="Times New Roman" w:cs="Times New Roman"/>
          <w:b/>
        </w:rPr>
        <w:t>miR-203</w:t>
      </w:r>
      <w:proofErr w:type="gramEnd"/>
      <w:r w:rsidRPr="00B437D3">
        <w:rPr>
          <w:rFonts w:ascii="Times New Roman" w:hAnsi="Times New Roman" w:cs="Times New Roman"/>
          <w:b/>
        </w:rPr>
        <w:t xml:space="preserve"> inhibits ovarian tumor metastasis by targeting </w:t>
      </w:r>
      <w:r>
        <w:rPr>
          <w:rFonts w:ascii="Times New Roman" w:hAnsi="Times New Roman" w:cs="Times New Roman"/>
          <w:b/>
        </w:rPr>
        <w:t xml:space="preserve">BIRC5 </w:t>
      </w:r>
      <w:r w:rsidRPr="00B437D3">
        <w:rPr>
          <w:rFonts w:ascii="Times New Roman" w:hAnsi="Times New Roman" w:cs="Times New Roman"/>
          <w:b/>
        </w:rPr>
        <w:t xml:space="preserve">and attenuating </w:t>
      </w:r>
      <w:r>
        <w:rPr>
          <w:rFonts w:ascii="Times New Roman" w:hAnsi="Times New Roman" w:cs="Times New Roman"/>
          <w:b/>
        </w:rPr>
        <w:t xml:space="preserve">the </w:t>
      </w:r>
      <w:r w:rsidRPr="00B437D3">
        <w:rPr>
          <w:rFonts w:ascii="Times New Roman" w:hAnsi="Times New Roman" w:cs="Times New Roman"/>
          <w:b/>
        </w:rPr>
        <w:t>TGFβ pathway</w:t>
      </w:r>
    </w:p>
    <w:p w:rsidR="00A9696A" w:rsidRDefault="00A9696A" w:rsidP="00A9696A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Baojin</w:t>
      </w:r>
      <w:proofErr w:type="spellEnd"/>
      <w:r>
        <w:rPr>
          <w:rFonts w:ascii="Times New Roman" w:hAnsi="Times New Roman" w:cs="Times New Roman"/>
        </w:rPr>
        <w:t xml:space="preserve"> Wang</w:t>
      </w:r>
      <w:r w:rsidRPr="0068625E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,2,3</w:t>
      </w:r>
      <w:r>
        <w:rPr>
          <w:rFonts w:ascii="Times New Roman" w:hAnsi="Times New Roman" w:cs="Times New Roman"/>
        </w:rPr>
        <w:t>, Xia Li</w:t>
      </w:r>
      <w:r w:rsidRPr="0068625E">
        <w:rPr>
          <w:rFonts w:ascii="Times New Roman" w:hAnsi="Times New Roman" w:cs="Times New Roman"/>
          <w:vertAlign w:val="superscript"/>
        </w:rPr>
        <w:t>1,2,3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Guannan</w:t>
      </w:r>
      <w:proofErr w:type="spellEnd"/>
      <w:r>
        <w:rPr>
          <w:rFonts w:ascii="Times New Roman" w:hAnsi="Times New Roman" w:cs="Times New Roman"/>
        </w:rPr>
        <w:t xml:space="preserve"> Zhao</w:t>
      </w:r>
      <w:r w:rsidRPr="0068625E">
        <w:rPr>
          <w:rFonts w:ascii="Times New Roman" w:hAnsi="Times New Roman" w:cs="Times New Roman"/>
          <w:vertAlign w:val="superscript"/>
        </w:rPr>
        <w:t>2,3</w:t>
      </w:r>
      <w:r>
        <w:rPr>
          <w:rFonts w:ascii="Times New Roman" w:hAnsi="Times New Roman" w:cs="Times New Roman"/>
        </w:rPr>
        <w:t>, Huan Yan</w:t>
      </w:r>
      <w:r w:rsidRPr="00BA4B66">
        <w:rPr>
          <w:rFonts w:ascii="Times New Roman" w:hAnsi="Times New Roman" w:cs="Times New Roman"/>
          <w:vertAlign w:val="superscript"/>
        </w:rPr>
        <w:t>1,2,3</w:t>
      </w:r>
      <w:r>
        <w:rPr>
          <w:rFonts w:ascii="Times New Roman" w:hAnsi="Times New Roman" w:cs="Times New Roman"/>
        </w:rPr>
        <w:t>, Peixin Dong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,  </w:t>
      </w:r>
      <w:proofErr w:type="spellStart"/>
      <w:r w:rsidRPr="007C0D0F">
        <w:rPr>
          <w:rFonts w:ascii="Times New Roman" w:hAnsi="Times New Roman"/>
        </w:rPr>
        <w:t>Hidemichi</w:t>
      </w:r>
      <w:proofErr w:type="spellEnd"/>
      <w:r w:rsidRPr="007C0D0F">
        <w:rPr>
          <w:rFonts w:ascii="Times New Roman" w:hAnsi="Times New Roman"/>
        </w:rPr>
        <w:t xml:space="preserve"> Watari</w:t>
      </w:r>
      <w:r>
        <w:rPr>
          <w:rFonts w:ascii="Times New Roman" w:hAnsi="Times New Roman"/>
          <w:vertAlign w:val="superscript"/>
        </w:rPr>
        <w:t>6</w:t>
      </w:r>
      <w:r w:rsidRPr="002663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Michelle Sims</w:t>
      </w:r>
      <w:r w:rsidRPr="00266379">
        <w:rPr>
          <w:rFonts w:ascii="Times New Roman" w:hAnsi="Times New Roman" w:cs="Times New Roman"/>
          <w:vertAlign w:val="superscript"/>
        </w:rPr>
        <w:t>2,3</w:t>
      </w:r>
      <w:r>
        <w:rPr>
          <w:rFonts w:ascii="Times New Roman" w:hAnsi="Times New Roman"/>
        </w:rPr>
        <w:t>, Wei Li</w:t>
      </w:r>
      <w:r w:rsidR="003430CA"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, </w:t>
      </w:r>
      <w:r w:rsidRPr="00266379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Lawrence M. Pfeffer</w:t>
      </w:r>
      <w:r w:rsidRPr="00266379">
        <w:rPr>
          <w:rFonts w:ascii="Times New Roman" w:hAnsi="Times New Roman" w:cs="Times New Roman"/>
          <w:vertAlign w:val="superscript"/>
        </w:rPr>
        <w:t>2,3</w:t>
      </w:r>
      <w:r>
        <w:rPr>
          <w:rFonts w:ascii="Times New Roman" w:hAnsi="Times New Roman" w:cs="Times New Roman"/>
        </w:rPr>
        <w:t>,  *</w:t>
      </w:r>
      <w:proofErr w:type="spellStart"/>
      <w:r>
        <w:rPr>
          <w:rFonts w:ascii="Times New Roman" w:hAnsi="Times New Roman" w:cs="Times New Roman"/>
        </w:rPr>
        <w:t>Yuqi</w:t>
      </w:r>
      <w:proofErr w:type="spellEnd"/>
      <w:r>
        <w:rPr>
          <w:rFonts w:ascii="Times New Roman" w:hAnsi="Times New Roman" w:cs="Times New Roman"/>
        </w:rPr>
        <w:t xml:space="preserve"> Guo</w:t>
      </w:r>
      <w:r>
        <w:rPr>
          <w:rFonts w:ascii="Times New Roman" w:hAnsi="Times New Roman" w:cs="Times New Roman"/>
          <w:vertAlign w:val="superscript"/>
        </w:rPr>
        <w:t>4</w:t>
      </w:r>
      <w:r w:rsidRPr="00280F9A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5</w:t>
      </w:r>
      <w:r w:rsidRPr="004716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*Junming Yue</w:t>
      </w:r>
      <w:r w:rsidRPr="00266379">
        <w:rPr>
          <w:rFonts w:ascii="Times New Roman" w:hAnsi="Times New Roman" w:cs="Times New Roman"/>
          <w:vertAlign w:val="superscript"/>
        </w:rPr>
        <w:t>2,3</w:t>
      </w:r>
    </w:p>
    <w:p w:rsidR="00A9696A" w:rsidRPr="00A9696A" w:rsidRDefault="00A9696A" w:rsidP="00A9696A">
      <w:pPr>
        <w:spacing w:line="480" w:lineRule="auto"/>
        <w:jc w:val="both"/>
        <w:rPr>
          <w:rFonts w:ascii="Times New Roman" w:hAnsi="Times New Roman" w:cs="Times New Roman"/>
        </w:rPr>
      </w:pPr>
      <w:r w:rsidRPr="00A9696A">
        <w:rPr>
          <w:rFonts w:ascii="Times New Roman" w:hAnsi="Times New Roman" w:cs="Times New Roman"/>
        </w:rPr>
        <w:t xml:space="preserve">Correspondence to </w:t>
      </w:r>
      <w:r>
        <w:rPr>
          <w:rFonts w:ascii="Times New Roman" w:hAnsi="Times New Roman" w:cs="Times New Roman"/>
        </w:rPr>
        <w:t>Junming Yue,   Email: jyue@uthsc.edu</w:t>
      </w:r>
      <w:bookmarkStart w:id="0" w:name="_GoBack"/>
      <w:bookmarkEnd w:id="0"/>
    </w:p>
    <w:p w:rsidR="00A9696A" w:rsidRPr="00E87FB1" w:rsidRDefault="00A9696A" w:rsidP="00A9696A">
      <w:pPr>
        <w:spacing w:line="480" w:lineRule="auto"/>
        <w:jc w:val="both"/>
        <w:rPr>
          <w:rFonts w:ascii="Times New Roman" w:hAnsi="Times New Roman" w:cs="Times New Roman"/>
        </w:rPr>
      </w:pPr>
      <w:r w:rsidRPr="00A9696A">
        <w:rPr>
          <w:rFonts w:ascii="Times New Roman" w:hAnsi="Times New Roman" w:cs="Times New Roman"/>
          <w:b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-285902</wp:posOffset>
                </wp:positionH>
                <wp:positionV relativeFrom="paragraph">
                  <wp:posOffset>542925</wp:posOffset>
                </wp:positionV>
                <wp:extent cx="6539230" cy="484251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96A" w:rsidRPr="00A9696A" w:rsidRDefault="00A9696A" w:rsidP="00A9696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A9696A">
                              <w:drawing>
                                <wp:inline distT="0" distB="0" distL="0" distR="0" wp14:anchorId="6C08AD10" wp14:editId="1C0F003B">
                                  <wp:extent cx="6347460" cy="20326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7460" cy="203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Fig.S1A. </w:t>
                            </w:r>
                            <w:r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miR-203 </w:t>
                            </w:r>
                            <w:r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expression significantly</w:t>
                            </w:r>
                            <w:r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enhanced the efficacy of YM155 in inhibiting SKOV3 cell migration </w:t>
                            </w:r>
                          </w:p>
                          <w:p w:rsidR="00A9696A" w:rsidRPr="00A9696A" w:rsidRDefault="00E12D91" w:rsidP="00E12D9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12D91">
                              <w:drawing>
                                <wp:inline distT="0" distB="0" distL="0" distR="0" wp14:anchorId="2E1D5933" wp14:editId="5E3879D1">
                                  <wp:extent cx="6347460" cy="193421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7460" cy="193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96A"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Fig.S1B. </w:t>
                            </w:r>
                            <w:r w:rsidR="00A9696A"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miR-203 </w:t>
                            </w:r>
                            <w:r w:rsidR="00A9696A"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expression significantly</w:t>
                            </w:r>
                            <w:r w:rsidR="00A9696A" w:rsidRPr="00A9696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enhanced the efficacy of YM155 in inhibiting OVCAR3 cell migration </w:t>
                            </w:r>
                          </w:p>
                          <w:p w:rsidR="00A9696A" w:rsidRDefault="00A96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42.75pt;width:514.9pt;height:38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V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">
                <v:textbox>
                  <w:txbxContent>
                    <w:p w:rsidR="00A9696A" w:rsidRPr="00A9696A" w:rsidRDefault="00A9696A" w:rsidP="00A9696A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A9696A">
                        <w:drawing>
                          <wp:inline distT="0" distB="0" distL="0" distR="0" wp14:anchorId="6C08AD10" wp14:editId="1C0F003B">
                            <wp:extent cx="6347460" cy="20326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7460" cy="203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Fig.S1A. </w:t>
                      </w:r>
                      <w:r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miR-203 </w:t>
                      </w:r>
                      <w:r w:rsidRPr="00A9696A">
                        <w:rPr>
                          <w:rFonts w:ascii="Times New Roman" w:hAnsi="Times New Roman"/>
                          <w:color w:val="000000" w:themeColor="text1"/>
                        </w:rPr>
                        <w:t>expression significantly</w:t>
                      </w:r>
                      <w:r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enhanced the efficacy of YM155 in inhibiting SKOV3 cell migration </w:t>
                      </w:r>
                    </w:p>
                    <w:p w:rsidR="00A9696A" w:rsidRPr="00A9696A" w:rsidRDefault="00E12D91" w:rsidP="00E12D91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12D91">
                        <w:drawing>
                          <wp:inline distT="0" distB="0" distL="0" distR="0" wp14:anchorId="2E1D5933" wp14:editId="5E3879D1">
                            <wp:extent cx="6347460" cy="193421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7460" cy="193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96A"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Fig.S1B. </w:t>
                      </w:r>
                      <w:r w:rsidR="00A9696A"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miR-203 </w:t>
                      </w:r>
                      <w:r w:rsidR="00A9696A" w:rsidRPr="00A9696A">
                        <w:rPr>
                          <w:rFonts w:ascii="Times New Roman" w:hAnsi="Times New Roman"/>
                          <w:color w:val="000000" w:themeColor="text1"/>
                        </w:rPr>
                        <w:t>expression significantly</w:t>
                      </w:r>
                      <w:r w:rsidR="00A9696A" w:rsidRPr="00A9696A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enhanced the efficacy of YM155 in inhibiting OVCAR3 cell migration </w:t>
                      </w:r>
                    </w:p>
                    <w:p w:rsidR="00A9696A" w:rsidRDefault="00A9696A"/>
                  </w:txbxContent>
                </v:textbox>
                <w10:wrap type="square"/>
              </v:shape>
            </w:pict>
          </mc:Fallback>
        </mc:AlternateContent>
      </w:r>
    </w:p>
    <w:p w:rsidR="00634C2F" w:rsidRDefault="00634C2F"/>
    <w:sectPr w:rsidR="0063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DC3"/>
    <w:multiLevelType w:val="hybridMultilevel"/>
    <w:tmpl w:val="0C160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7"/>
    <w:rsid w:val="00323762"/>
    <w:rsid w:val="003430CA"/>
    <w:rsid w:val="00634C2F"/>
    <w:rsid w:val="0090144A"/>
    <w:rsid w:val="00A9696A"/>
    <w:rsid w:val="00D96947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BE66"/>
  <w15:chartTrackingRefBased/>
  <w15:docId w15:val="{118E199F-2E80-419E-9124-C9026A0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4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6947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</Words>
  <Characters>286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Junming</dc:creator>
  <cp:keywords/>
  <dc:description/>
  <cp:lastModifiedBy>Yue, Junming</cp:lastModifiedBy>
  <cp:revision>7</cp:revision>
  <dcterms:created xsi:type="dcterms:W3CDTF">2018-08-25T20:08:00Z</dcterms:created>
  <dcterms:modified xsi:type="dcterms:W3CDTF">2018-08-28T20:28:00Z</dcterms:modified>
</cp:coreProperties>
</file>