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E4CFB" w14:textId="77777777" w:rsidR="00CC4B5E" w:rsidRDefault="00CC4B5E" w:rsidP="00CC4B5E">
      <w:pPr>
        <w:spacing w:line="480" w:lineRule="auto"/>
        <w:rPr>
          <w:rFonts w:asciiTheme="majorHAnsi" w:hAnsiTheme="majorHAnsi" w:cstheme="majorHAnsi"/>
          <w:sz w:val="24"/>
        </w:rPr>
      </w:pPr>
      <w:bookmarkStart w:id="0" w:name="_GoBack"/>
      <w:bookmarkEnd w:id="0"/>
      <w:r>
        <w:rPr>
          <w:rFonts w:asciiTheme="majorHAnsi" w:hAnsiTheme="majorHAnsi" w:cstheme="majorHAnsi"/>
          <w:sz w:val="24"/>
        </w:rPr>
        <w:t>Supplement</w:t>
      </w:r>
    </w:p>
    <w:p w14:paraId="274C0B4F" w14:textId="77777777" w:rsidR="00CC4B5E" w:rsidRPr="00C85352" w:rsidRDefault="00CC4B5E" w:rsidP="00CC4B5E">
      <w:pPr>
        <w:spacing w:line="480" w:lineRule="auto"/>
        <w:rPr>
          <w:rFonts w:asciiTheme="majorHAnsi" w:hAnsiTheme="majorHAnsi" w:cstheme="majorHAnsi"/>
          <w:b/>
          <w:sz w:val="24"/>
        </w:rPr>
      </w:pPr>
      <w:r w:rsidRPr="00C85352">
        <w:rPr>
          <w:rFonts w:asciiTheme="majorHAnsi" w:hAnsiTheme="majorHAnsi" w:cstheme="majorHAnsi"/>
          <w:b/>
          <w:sz w:val="24"/>
        </w:rPr>
        <w:t xml:space="preserve">Detailed methods of </w:t>
      </w:r>
      <w:r w:rsidRPr="00C85352">
        <w:rPr>
          <w:rFonts w:asciiTheme="majorHAnsi" w:hAnsiTheme="majorHAnsi" w:cstheme="majorHAnsi" w:hint="eastAsia"/>
          <w:b/>
          <w:sz w:val="24"/>
        </w:rPr>
        <w:t>US</w:t>
      </w:r>
    </w:p>
    <w:p w14:paraId="2B5A8C2C" w14:textId="77777777" w:rsidR="00CC4B5E" w:rsidRPr="00412DB7" w:rsidRDefault="00CC4B5E" w:rsidP="00CC4B5E">
      <w:pPr>
        <w:spacing w:line="480" w:lineRule="auto"/>
        <w:ind w:firstLineChars="177" w:firstLine="425"/>
        <w:rPr>
          <w:rFonts w:asciiTheme="majorHAnsi" w:hAnsiTheme="majorHAnsi" w:cstheme="majorHAnsi"/>
          <w:sz w:val="24"/>
        </w:rPr>
      </w:pPr>
      <w:r>
        <w:rPr>
          <w:rFonts w:asciiTheme="majorHAnsi" w:hAnsiTheme="majorHAnsi" w:cstheme="majorHAnsi"/>
          <w:sz w:val="24"/>
        </w:rPr>
        <w:t xml:space="preserve">Gray scale and color Doppler </w:t>
      </w:r>
      <w:r w:rsidRPr="00412DB7">
        <w:rPr>
          <w:rFonts w:asciiTheme="majorHAnsi" w:hAnsiTheme="majorHAnsi" w:cstheme="majorHAnsi"/>
          <w:sz w:val="24"/>
        </w:rPr>
        <w:t>US</w:t>
      </w:r>
      <w:r>
        <w:rPr>
          <w:rFonts w:asciiTheme="majorHAnsi" w:hAnsiTheme="majorHAnsi" w:cstheme="majorHAnsi"/>
          <w:sz w:val="24"/>
        </w:rPr>
        <w:t xml:space="preserve"> </w:t>
      </w:r>
      <w:r w:rsidRPr="00412DB7">
        <w:rPr>
          <w:rFonts w:asciiTheme="majorHAnsi" w:hAnsiTheme="majorHAnsi" w:cstheme="majorHAnsi"/>
          <w:sz w:val="24"/>
        </w:rPr>
        <w:t>w</w:t>
      </w:r>
      <w:r>
        <w:rPr>
          <w:rFonts w:asciiTheme="majorHAnsi" w:hAnsiTheme="majorHAnsi" w:cstheme="majorHAnsi"/>
          <w:sz w:val="24"/>
        </w:rPr>
        <w:t>ere</w:t>
      </w:r>
      <w:r w:rsidRPr="00412DB7">
        <w:rPr>
          <w:rFonts w:asciiTheme="majorHAnsi" w:hAnsiTheme="majorHAnsi" w:cstheme="majorHAnsi"/>
          <w:sz w:val="24"/>
        </w:rPr>
        <w:t xml:space="preserve"> performed using</w:t>
      </w:r>
      <w:r>
        <w:rPr>
          <w:rFonts w:asciiTheme="majorHAnsi" w:hAnsiTheme="majorHAnsi" w:cstheme="majorHAnsi"/>
          <w:sz w:val="24"/>
        </w:rPr>
        <w:t xml:space="preserve"> </w:t>
      </w:r>
      <w:r w:rsidRPr="00412DB7">
        <w:rPr>
          <w:rFonts w:asciiTheme="majorHAnsi" w:hAnsiTheme="majorHAnsi" w:cstheme="majorHAnsi"/>
          <w:sz w:val="24"/>
        </w:rPr>
        <w:t>a PVT-375 BT (center frequency, 3.75 MHz), 674 BT (center frequency, 6 MHz) and 704AT/BT (center frequency, 7.5 MHz) equipped with Aplio</w:t>
      </w:r>
      <w:r w:rsidRPr="00412DB7">
        <w:rPr>
          <w:rFonts w:asciiTheme="majorHAnsi" w:hAnsiTheme="majorHAnsi" w:cstheme="majorHAnsi"/>
          <w:sz w:val="24"/>
          <w:vertAlign w:val="superscript"/>
        </w:rPr>
        <w:t>TM</w:t>
      </w:r>
      <w:r w:rsidRPr="00412DB7">
        <w:rPr>
          <w:rFonts w:asciiTheme="majorHAnsi" w:hAnsiTheme="majorHAnsi" w:cstheme="majorHAnsi"/>
          <w:sz w:val="24"/>
        </w:rPr>
        <w:t xml:space="preserve"> XV/XG (Toshiba Medical Systems Corp., Otawara, Japan). </w:t>
      </w:r>
    </w:p>
    <w:p w14:paraId="4BC04FD9" w14:textId="77777777" w:rsidR="00CC4B5E" w:rsidRPr="00412DB7" w:rsidRDefault="00CC4B5E" w:rsidP="00CC4B5E">
      <w:pPr>
        <w:spacing w:line="480" w:lineRule="auto"/>
        <w:ind w:firstLineChars="177" w:firstLine="425"/>
        <w:rPr>
          <w:rFonts w:asciiTheme="majorHAnsi" w:hAnsiTheme="majorHAnsi" w:cstheme="majorHAnsi"/>
          <w:kern w:val="0"/>
          <w:sz w:val="24"/>
        </w:rPr>
      </w:pPr>
      <w:r w:rsidRPr="00412DB7">
        <w:rPr>
          <w:rFonts w:asciiTheme="majorHAnsi" w:hAnsiTheme="majorHAnsi" w:cstheme="majorHAnsi"/>
          <w:sz w:val="24"/>
        </w:rPr>
        <w:t xml:space="preserve">US was performed for the liver, gall bladder, spleen and abdominal cavity. Color Doppler imaging was performed for estimating hepatofugal flow of portal vein and recanalization of </w:t>
      </w:r>
      <w:r>
        <w:rPr>
          <w:rFonts w:asciiTheme="majorHAnsi" w:hAnsiTheme="majorHAnsi" w:cstheme="majorHAnsi"/>
          <w:sz w:val="24"/>
        </w:rPr>
        <w:t>para-umbilical</w:t>
      </w:r>
      <w:r w:rsidRPr="00412DB7">
        <w:rPr>
          <w:rFonts w:asciiTheme="majorHAnsi" w:hAnsiTheme="majorHAnsi" w:cstheme="majorHAnsi"/>
          <w:sz w:val="24"/>
        </w:rPr>
        <w:t xml:space="preserve"> vein,</w:t>
      </w:r>
      <w:r>
        <w:rPr>
          <w:rFonts w:asciiTheme="majorHAnsi" w:hAnsiTheme="majorHAnsi" w:cstheme="majorHAnsi"/>
          <w:sz w:val="24"/>
        </w:rPr>
        <w:t xml:space="preserve"> obtained</w:t>
      </w:r>
      <w:r w:rsidRPr="00412DB7">
        <w:rPr>
          <w:rFonts w:asciiTheme="majorHAnsi" w:hAnsiTheme="majorHAnsi" w:cstheme="majorHAnsi"/>
          <w:sz w:val="24"/>
        </w:rPr>
        <w:t xml:space="preserve"> with color gain adjusted until disappearance of noise for maximization of the sensitivity. Color Doppler frequency was set from 3.3 to 7.2 MHz, pulse repetition frequency from 4.7 to 10.1 cm/sec, which was adjusted according to the type of probes and the depth of the target regions. Wall filter was set from 3 to 4.</w:t>
      </w:r>
      <w:r w:rsidRPr="00412DB7">
        <w:rPr>
          <w:rFonts w:asciiTheme="majorHAnsi" w:hAnsiTheme="majorHAnsi" w:cstheme="majorHAnsi"/>
          <w:kern w:val="0"/>
          <w:sz w:val="24"/>
        </w:rPr>
        <w:t xml:space="preserve"> </w:t>
      </w:r>
    </w:p>
    <w:p w14:paraId="2BC405D5" w14:textId="77777777" w:rsidR="00CC4B5E" w:rsidRDefault="00CC4B5E" w:rsidP="00CC4B5E">
      <w:pPr>
        <w:spacing w:line="480" w:lineRule="auto"/>
        <w:ind w:firstLineChars="177" w:firstLine="425"/>
        <w:rPr>
          <w:rFonts w:asciiTheme="majorHAnsi" w:hAnsiTheme="majorHAnsi" w:cstheme="majorHAnsi"/>
          <w:sz w:val="24"/>
        </w:rPr>
      </w:pPr>
      <w:r>
        <w:rPr>
          <w:rFonts w:asciiTheme="majorHAnsi" w:hAnsiTheme="majorHAnsi" w:cstheme="majorHAnsi"/>
          <w:sz w:val="24"/>
        </w:rPr>
        <w:t xml:space="preserve">Detailed parameters included in </w:t>
      </w:r>
      <w:r w:rsidRPr="005017D2">
        <w:rPr>
          <w:rFonts w:asciiTheme="majorHAnsi" w:hAnsiTheme="majorHAnsi" w:cstheme="majorHAnsi"/>
          <w:sz w:val="24"/>
        </w:rPr>
        <w:t>US-17</w:t>
      </w:r>
      <w:r>
        <w:rPr>
          <w:rFonts w:asciiTheme="majorHAnsi" w:hAnsiTheme="majorHAnsi" w:cstheme="majorHAnsi"/>
          <w:sz w:val="24"/>
        </w:rPr>
        <w:t xml:space="preserve"> screening</w:t>
      </w:r>
      <w:r w:rsidRPr="005017D2">
        <w:rPr>
          <w:rFonts w:asciiTheme="majorHAnsi" w:hAnsiTheme="majorHAnsi" w:cstheme="majorHAnsi"/>
          <w:sz w:val="24"/>
        </w:rPr>
        <w:t>.</w:t>
      </w:r>
    </w:p>
    <w:p w14:paraId="1A209998" w14:textId="77777777" w:rsidR="00CC4B5E" w:rsidRDefault="00CC4B5E" w:rsidP="00CC4B5E">
      <w:pPr>
        <w:spacing w:line="480" w:lineRule="auto"/>
        <w:ind w:firstLineChars="177" w:firstLine="425"/>
        <w:rPr>
          <w:rFonts w:asciiTheme="majorHAnsi" w:hAnsiTheme="majorHAnsi" w:cstheme="majorHAnsi"/>
          <w:sz w:val="24"/>
        </w:rPr>
      </w:pPr>
      <w:r>
        <w:rPr>
          <w:rFonts w:asciiTheme="majorHAnsi" w:hAnsiTheme="majorHAnsi" w:cstheme="majorHAnsi"/>
          <w:sz w:val="24"/>
        </w:rPr>
        <w:t>It was consisted of 17 parameters and maximum 19</w:t>
      </w:r>
      <w:r>
        <w:rPr>
          <w:rFonts w:asciiTheme="majorHAnsi" w:hAnsiTheme="majorHAnsi" w:cstheme="majorHAnsi" w:hint="eastAsia"/>
          <w:sz w:val="24"/>
        </w:rPr>
        <w:t xml:space="preserve"> </w:t>
      </w:r>
      <w:r>
        <w:rPr>
          <w:rFonts w:asciiTheme="majorHAnsi" w:hAnsiTheme="majorHAnsi" w:cstheme="majorHAnsi"/>
          <w:sz w:val="24"/>
        </w:rPr>
        <w:t>points. Two parameters, amount of ascites and blood flow signal in PUV were weighed according to our previous analysis (data not shown).</w:t>
      </w:r>
    </w:p>
    <w:p w14:paraId="6FB10E31" w14:textId="77777777" w:rsidR="00CC4B5E" w:rsidRDefault="00CC4B5E" w:rsidP="00CC4B5E">
      <w:pPr>
        <w:spacing w:line="480" w:lineRule="auto"/>
        <w:ind w:firstLineChars="177" w:firstLine="425"/>
        <w:rPr>
          <w:rFonts w:asciiTheme="majorHAnsi" w:hAnsiTheme="majorHAnsi" w:cstheme="majorHAnsi"/>
          <w:sz w:val="24"/>
        </w:rPr>
      </w:pPr>
      <w:r>
        <w:rPr>
          <w:rFonts w:asciiTheme="majorHAnsi" w:hAnsiTheme="majorHAnsi" w:cstheme="majorHAnsi"/>
          <w:sz w:val="24"/>
        </w:rPr>
        <w:t xml:space="preserve"> </w:t>
      </w:r>
      <w:r w:rsidRPr="005017D2">
        <w:rPr>
          <w:rFonts w:asciiTheme="majorHAnsi" w:hAnsiTheme="majorHAnsi" w:cstheme="majorHAnsi"/>
          <w:sz w:val="24"/>
        </w:rPr>
        <w:t xml:space="preserve">1) Hepatomegaly </w:t>
      </w:r>
      <w:r>
        <w:rPr>
          <w:rFonts w:asciiTheme="majorHAnsi" w:hAnsiTheme="majorHAnsi" w:cstheme="majorHAnsi"/>
          <w:sz w:val="24"/>
        </w:rPr>
        <w:t xml:space="preserve">is </w:t>
      </w:r>
      <w:r w:rsidRPr="005017D2">
        <w:rPr>
          <w:rFonts w:asciiTheme="majorHAnsi" w:hAnsiTheme="majorHAnsi" w:cstheme="majorHAnsi"/>
          <w:sz w:val="24"/>
        </w:rPr>
        <w:t>estimate</w:t>
      </w:r>
      <w:r>
        <w:rPr>
          <w:rFonts w:asciiTheme="majorHAnsi" w:hAnsiTheme="majorHAnsi" w:cstheme="majorHAnsi"/>
          <w:sz w:val="24"/>
        </w:rPr>
        <w:t xml:space="preserve">d in left lobe and right lobe (the </w:t>
      </w:r>
      <w:r w:rsidRPr="005017D2">
        <w:rPr>
          <w:rFonts w:asciiTheme="majorHAnsi" w:hAnsiTheme="majorHAnsi" w:cstheme="majorHAnsi"/>
          <w:sz w:val="24"/>
        </w:rPr>
        <w:t>value</w:t>
      </w:r>
      <w:r>
        <w:rPr>
          <w:rFonts w:asciiTheme="majorHAnsi" w:hAnsiTheme="majorHAnsi" w:cstheme="majorHAnsi"/>
          <w:sz w:val="24"/>
        </w:rPr>
        <w:t xml:space="preserve"> </w:t>
      </w:r>
      <w:r>
        <w:rPr>
          <w:rFonts w:asciiTheme="majorHAnsi" w:hAnsiTheme="majorHAnsi" w:cstheme="majorHAnsi"/>
          <w:sz w:val="24"/>
        </w:rPr>
        <w:lastRenderedPageBreak/>
        <w:t>measured vertical diameter of pre-</w:t>
      </w:r>
      <w:r w:rsidRPr="005017D2">
        <w:rPr>
          <w:rFonts w:asciiTheme="majorHAnsi" w:hAnsiTheme="majorHAnsi" w:cstheme="majorHAnsi"/>
          <w:sz w:val="24"/>
        </w:rPr>
        <w:t>aortic and right anterior axillary line, no</w:t>
      </w:r>
      <w:r>
        <w:rPr>
          <w:rFonts w:asciiTheme="majorHAnsi" w:hAnsiTheme="majorHAnsi" w:cstheme="majorHAnsi"/>
          <w:sz w:val="24"/>
        </w:rPr>
        <w:t>t</w:t>
      </w:r>
      <w:r w:rsidRPr="005017D2">
        <w:rPr>
          <w:rFonts w:asciiTheme="majorHAnsi" w:hAnsiTheme="majorHAnsi" w:cstheme="majorHAnsi"/>
          <w:sz w:val="24"/>
        </w:rPr>
        <w:t xml:space="preserve"> less than 70 mm and 110 mm, respectively</w:t>
      </w:r>
      <w:r>
        <w:rPr>
          <w:rFonts w:asciiTheme="majorHAnsi" w:hAnsiTheme="majorHAnsi" w:cstheme="majorHAnsi"/>
          <w:sz w:val="24"/>
        </w:rPr>
        <w:t>)</w:t>
      </w:r>
      <w:r w:rsidRPr="005017D2">
        <w:rPr>
          <w:rFonts w:asciiTheme="majorHAnsi" w:hAnsiTheme="majorHAnsi" w:cstheme="majorHAnsi"/>
          <w:sz w:val="24"/>
        </w:rPr>
        <w:t xml:space="preserve">. </w:t>
      </w:r>
    </w:p>
    <w:p w14:paraId="767A73EB" w14:textId="77777777" w:rsidR="00CC4B5E" w:rsidRDefault="00CC4B5E" w:rsidP="00CC4B5E">
      <w:pPr>
        <w:spacing w:line="480" w:lineRule="auto"/>
        <w:ind w:firstLineChars="177" w:firstLine="425"/>
        <w:rPr>
          <w:rFonts w:asciiTheme="majorHAnsi" w:hAnsiTheme="majorHAnsi" w:cstheme="majorHAnsi"/>
          <w:sz w:val="24"/>
        </w:rPr>
      </w:pPr>
      <w:r w:rsidRPr="005017D2">
        <w:rPr>
          <w:rFonts w:asciiTheme="majorHAnsi" w:hAnsiTheme="majorHAnsi" w:cstheme="majorHAnsi"/>
          <w:sz w:val="24"/>
        </w:rPr>
        <w:t xml:space="preserve">2) Splenomegaly (maximum diameter, a value of </w:t>
      </w:r>
      <w:r>
        <w:rPr>
          <w:rFonts w:asciiTheme="majorHAnsi" w:hAnsiTheme="majorHAnsi" w:cstheme="majorHAnsi"/>
          <w:sz w:val="24"/>
        </w:rPr>
        <w:t>not less</w:t>
      </w:r>
      <w:r w:rsidRPr="005017D2">
        <w:rPr>
          <w:rFonts w:asciiTheme="majorHAnsi" w:hAnsiTheme="majorHAnsi" w:cstheme="majorHAnsi"/>
          <w:sz w:val="24"/>
        </w:rPr>
        <w:t xml:space="preserve"> than 110</w:t>
      </w:r>
      <w:r>
        <w:rPr>
          <w:rFonts w:asciiTheme="majorHAnsi" w:hAnsiTheme="majorHAnsi" w:cstheme="majorHAnsi"/>
          <w:sz w:val="24"/>
        </w:rPr>
        <w:t xml:space="preserve"> </w:t>
      </w:r>
      <w:r w:rsidRPr="005017D2">
        <w:rPr>
          <w:rFonts w:asciiTheme="majorHAnsi" w:hAnsiTheme="majorHAnsi" w:cstheme="majorHAnsi"/>
          <w:sz w:val="24"/>
        </w:rPr>
        <w:t xml:space="preserve">mm), </w:t>
      </w:r>
    </w:p>
    <w:p w14:paraId="52BE03F8" w14:textId="77777777" w:rsidR="00CC4B5E" w:rsidRDefault="00CC4B5E" w:rsidP="00CC4B5E">
      <w:pPr>
        <w:spacing w:line="480" w:lineRule="auto"/>
        <w:ind w:firstLineChars="177" w:firstLine="425"/>
        <w:rPr>
          <w:rFonts w:asciiTheme="majorHAnsi" w:hAnsiTheme="majorHAnsi" w:cstheme="majorHAnsi"/>
          <w:sz w:val="24"/>
        </w:rPr>
      </w:pPr>
      <w:r w:rsidRPr="005017D2">
        <w:rPr>
          <w:rFonts w:asciiTheme="majorHAnsi" w:hAnsiTheme="majorHAnsi" w:cstheme="majorHAnsi"/>
          <w:sz w:val="24"/>
        </w:rPr>
        <w:t>3</w:t>
      </w:r>
      <w:r>
        <w:rPr>
          <w:rFonts w:asciiTheme="majorHAnsi" w:hAnsiTheme="majorHAnsi" w:cstheme="majorHAnsi"/>
          <w:sz w:val="24"/>
        </w:rPr>
        <w:t xml:space="preserve">) </w:t>
      </w:r>
      <w:r w:rsidRPr="005017D2">
        <w:rPr>
          <w:rFonts w:asciiTheme="majorHAnsi" w:hAnsiTheme="majorHAnsi" w:cstheme="majorHAnsi"/>
          <w:sz w:val="24"/>
        </w:rPr>
        <w:t>Gall bladder wall thickening (no</w:t>
      </w:r>
      <w:r>
        <w:rPr>
          <w:rFonts w:asciiTheme="majorHAnsi" w:hAnsiTheme="majorHAnsi" w:cstheme="majorHAnsi"/>
          <w:sz w:val="24"/>
        </w:rPr>
        <w:t>t</w:t>
      </w:r>
      <w:r w:rsidRPr="005017D2">
        <w:rPr>
          <w:rFonts w:asciiTheme="majorHAnsi" w:hAnsiTheme="majorHAnsi" w:cstheme="majorHAnsi"/>
          <w:sz w:val="24"/>
        </w:rPr>
        <w:t xml:space="preserve"> less than 6 mm)</w:t>
      </w:r>
      <w:r>
        <w:rPr>
          <w:rFonts w:asciiTheme="majorHAnsi" w:hAnsiTheme="majorHAnsi" w:cstheme="majorHAnsi"/>
          <w:sz w:val="24"/>
        </w:rPr>
        <w:t xml:space="preserve">, </w:t>
      </w:r>
    </w:p>
    <w:p w14:paraId="5EAB15D6" w14:textId="77777777" w:rsidR="00CC4B5E" w:rsidRDefault="00CC4B5E" w:rsidP="00CC4B5E">
      <w:pPr>
        <w:spacing w:line="480" w:lineRule="auto"/>
        <w:ind w:firstLineChars="177" w:firstLine="425"/>
        <w:rPr>
          <w:rFonts w:asciiTheme="majorHAnsi" w:hAnsiTheme="majorHAnsi" w:cstheme="majorHAnsi"/>
          <w:sz w:val="24"/>
        </w:rPr>
      </w:pPr>
      <w:r>
        <w:rPr>
          <w:rFonts w:asciiTheme="majorHAnsi" w:hAnsiTheme="majorHAnsi" w:cstheme="majorHAnsi"/>
          <w:sz w:val="24"/>
        </w:rPr>
        <w:t xml:space="preserve">4) </w:t>
      </w:r>
      <w:r w:rsidRPr="005017D2">
        <w:rPr>
          <w:rFonts w:asciiTheme="majorHAnsi" w:hAnsiTheme="majorHAnsi" w:cstheme="majorHAnsi"/>
          <w:sz w:val="24"/>
        </w:rPr>
        <w:t>Dilatation of main portal vein (no</w:t>
      </w:r>
      <w:r>
        <w:rPr>
          <w:rFonts w:asciiTheme="majorHAnsi" w:hAnsiTheme="majorHAnsi" w:cstheme="majorHAnsi"/>
          <w:sz w:val="24"/>
        </w:rPr>
        <w:t>t</w:t>
      </w:r>
      <w:r w:rsidRPr="005017D2">
        <w:rPr>
          <w:rFonts w:asciiTheme="majorHAnsi" w:hAnsiTheme="majorHAnsi" w:cstheme="majorHAnsi"/>
          <w:sz w:val="24"/>
        </w:rPr>
        <w:t xml:space="preserve"> less than 12 mm). </w:t>
      </w:r>
    </w:p>
    <w:p w14:paraId="64719D4A" w14:textId="77777777" w:rsidR="00CC4B5E" w:rsidRDefault="00CC4B5E" w:rsidP="00CC4B5E">
      <w:pPr>
        <w:spacing w:line="480" w:lineRule="auto"/>
        <w:ind w:firstLineChars="177" w:firstLine="425"/>
        <w:rPr>
          <w:rFonts w:asciiTheme="majorHAnsi" w:hAnsiTheme="majorHAnsi" w:cstheme="majorHAnsi"/>
          <w:sz w:val="24"/>
        </w:rPr>
      </w:pPr>
      <w:r>
        <w:rPr>
          <w:rFonts w:asciiTheme="majorHAnsi" w:hAnsiTheme="majorHAnsi" w:cstheme="majorHAnsi"/>
          <w:sz w:val="24"/>
        </w:rPr>
        <w:t>5</w:t>
      </w:r>
      <w:r w:rsidRPr="005017D2">
        <w:rPr>
          <w:rFonts w:asciiTheme="majorHAnsi" w:hAnsiTheme="majorHAnsi" w:cstheme="majorHAnsi"/>
          <w:sz w:val="24"/>
        </w:rPr>
        <w:t xml:space="preserve">) Dilatation of </w:t>
      </w:r>
      <w:r>
        <w:rPr>
          <w:rFonts w:asciiTheme="majorHAnsi" w:hAnsiTheme="majorHAnsi" w:cstheme="majorHAnsi"/>
          <w:sz w:val="24"/>
        </w:rPr>
        <w:t>para-umbilical</w:t>
      </w:r>
      <w:r w:rsidRPr="005017D2">
        <w:rPr>
          <w:rFonts w:asciiTheme="majorHAnsi" w:hAnsiTheme="majorHAnsi" w:cstheme="majorHAnsi"/>
          <w:sz w:val="24"/>
        </w:rPr>
        <w:t xml:space="preserve"> vein (A hypoechoic lumen in the hyperechoic ligamentum teres measured no</w:t>
      </w:r>
      <w:r>
        <w:rPr>
          <w:rFonts w:asciiTheme="majorHAnsi" w:hAnsiTheme="majorHAnsi" w:cstheme="majorHAnsi"/>
          <w:sz w:val="24"/>
        </w:rPr>
        <w:t>t</w:t>
      </w:r>
      <w:r w:rsidRPr="005017D2">
        <w:rPr>
          <w:rFonts w:asciiTheme="majorHAnsi" w:hAnsiTheme="majorHAnsi" w:cstheme="majorHAnsi"/>
          <w:sz w:val="24"/>
        </w:rPr>
        <w:t xml:space="preserve"> less than 2 mm of diameter),</w:t>
      </w:r>
      <w:r w:rsidRPr="008D1D2C">
        <w:rPr>
          <w:rFonts w:asciiTheme="majorHAnsi" w:hAnsiTheme="majorHAnsi" w:cstheme="majorHAnsi"/>
          <w:sz w:val="24"/>
        </w:rPr>
        <w:t xml:space="preserve"> </w:t>
      </w:r>
    </w:p>
    <w:p w14:paraId="75AC04F5" w14:textId="366BC322" w:rsidR="00CC4B5E" w:rsidRDefault="00CC4B5E" w:rsidP="00CC4B5E">
      <w:pPr>
        <w:spacing w:line="480" w:lineRule="auto"/>
        <w:ind w:firstLineChars="177" w:firstLine="425"/>
        <w:rPr>
          <w:rFonts w:asciiTheme="majorHAnsi" w:hAnsiTheme="majorHAnsi" w:cstheme="majorHAnsi"/>
          <w:sz w:val="24"/>
        </w:rPr>
      </w:pPr>
      <w:r>
        <w:rPr>
          <w:rFonts w:asciiTheme="majorHAnsi" w:hAnsiTheme="majorHAnsi" w:cstheme="majorHAnsi"/>
          <w:sz w:val="24"/>
        </w:rPr>
        <w:t>6</w:t>
      </w:r>
      <w:r w:rsidRPr="005017D2">
        <w:rPr>
          <w:rFonts w:asciiTheme="majorHAnsi" w:hAnsiTheme="majorHAnsi" w:cstheme="majorHAnsi"/>
          <w:sz w:val="24"/>
        </w:rPr>
        <w:t xml:space="preserve">) </w:t>
      </w:r>
      <w:r>
        <w:rPr>
          <w:rFonts w:asciiTheme="majorHAnsi" w:hAnsiTheme="majorHAnsi" w:cstheme="majorHAnsi"/>
          <w:sz w:val="24"/>
        </w:rPr>
        <w:t>Existence</w:t>
      </w:r>
      <w:r w:rsidRPr="005017D2">
        <w:rPr>
          <w:rFonts w:asciiTheme="majorHAnsi" w:hAnsiTheme="majorHAnsi" w:cstheme="majorHAnsi"/>
          <w:sz w:val="24"/>
        </w:rPr>
        <w:t xml:space="preserve"> of ascites</w:t>
      </w:r>
      <w:r>
        <w:rPr>
          <w:rFonts w:asciiTheme="majorHAnsi" w:hAnsiTheme="majorHAnsi" w:cstheme="majorHAnsi"/>
          <w:sz w:val="24"/>
        </w:rPr>
        <w:t xml:space="preserve"> estimated in mainly 3 locations</w:t>
      </w:r>
      <w:r w:rsidR="00636E4C" w:rsidRPr="00636E4C">
        <w:t xml:space="preserve"> </w:t>
      </w:r>
      <w:r w:rsidR="00636E4C">
        <w:rPr>
          <w:rFonts w:asciiTheme="majorHAnsi" w:hAnsiTheme="majorHAnsi" w:cstheme="majorHAnsi"/>
          <w:sz w:val="24"/>
        </w:rPr>
        <w:fldChar w:fldCharType="begin"/>
      </w:r>
      <w:r w:rsidR="00636E4C">
        <w:rPr>
          <w:rFonts w:asciiTheme="majorHAnsi" w:hAnsiTheme="majorHAnsi" w:cstheme="majorHAnsi"/>
          <w:sz w:val="24"/>
        </w:rPr>
        <w:instrText xml:space="preserve"> ADDIN EN.CITE &lt;EndNote&gt;&lt;Cite&gt;&lt;Author&gt;Goodman&lt;/Author&gt;&lt;Year&gt;1990&lt;/Year&gt;&lt;RecNum&gt;50&lt;/RecNum&gt;&lt;DisplayText&gt;&lt;style face="superscript"&gt;1&lt;/style&gt;&lt;/DisplayText&gt;&lt;record&gt;&lt;rec-number&gt;50&lt;/rec-number&gt;&lt;foreign-keys&gt;&lt;key app="EN" db-id="f00wsrvvhxzrzyev0tiv2d202f2w2f5erd9x" timestamp="1519818161"&gt;50&lt;/key&gt;&lt;/foreign-keys&gt;&lt;ref-type name="Journal Article"&gt;17&lt;/ref-type&gt;&lt;contributors&gt;&lt;authors&gt;&lt;author&gt;Goodman, L. R.&lt;/author&gt;&lt;author&gt;Aprahamian, C.&lt;/author&gt;&lt;/authors&gt;&lt;/contributors&gt;&lt;auth-address&gt;Department of Radiology, Medical College of Wisconsin, Milwaukee 53226.&lt;/auth-address&gt;&lt;titles&gt;&lt;title&gt;Changes in splenic size after abdominal trauma&lt;/title&gt;&lt;secondary-title&gt;Radiology&lt;/secondary-title&gt;&lt;/titles&gt;&lt;periodical&gt;&lt;full-title&gt;Radiology&lt;/full-title&gt;&lt;/periodical&gt;&lt;pages&gt;629-32&lt;/pages&gt;&lt;volume&gt;176&lt;/volume&gt;&lt;number&gt;3&lt;/number&gt;&lt;keywords&gt;&lt;keyword&gt;Abdominal Injuries/*diagnostic imaging&lt;/keyword&gt;&lt;keyword&gt;Adult&lt;/keyword&gt;&lt;keyword&gt;Female&lt;/keyword&gt;&lt;keyword&gt;Follow-Up Studies&lt;/keyword&gt;&lt;keyword&gt;Humans&lt;/keyword&gt;&lt;keyword&gt;Liver/injuries&lt;/keyword&gt;&lt;keyword&gt;Male&lt;/keyword&gt;&lt;keyword&gt;Spleen/diagnostic imaging/*injuries&lt;/keyword&gt;&lt;keyword&gt;*Tomography, X-Ray Computed&lt;/keyword&gt;&lt;keyword&gt;Wounds, Nonpenetrating/*diagnostic imaging&lt;/keyword&gt;&lt;/keywords&gt;&lt;dates&gt;&lt;year&gt;1990&lt;/year&gt;&lt;pub-dates&gt;&lt;date&gt;Sep&lt;/date&gt;&lt;/pub-dates&gt;&lt;/dates&gt;&lt;isbn&gt;0033-8419 (Print)&amp;#xD;0033-8419 (Linking)&lt;/isbn&gt;&lt;accession-num&gt;2389017&lt;/accession-num&gt;&lt;urls&gt;&lt;related-urls&gt;&lt;url&gt;https://www.ncbi.nlm.nih.gov/pubmed/2389017&lt;/url&gt;&lt;/related-urls&gt;&lt;/urls&gt;&lt;electronic-resource-num&gt;10.1148/radiology.176.3.2389017&lt;/electronic-resource-num&gt;&lt;/record&gt;&lt;/Cite&gt;&lt;/EndNote&gt;</w:instrText>
      </w:r>
      <w:r w:rsidR="00636E4C">
        <w:rPr>
          <w:rFonts w:asciiTheme="majorHAnsi" w:hAnsiTheme="majorHAnsi" w:cstheme="majorHAnsi"/>
          <w:sz w:val="24"/>
        </w:rPr>
        <w:fldChar w:fldCharType="separate"/>
      </w:r>
      <w:r w:rsidR="00636E4C" w:rsidRPr="00636E4C">
        <w:rPr>
          <w:rFonts w:asciiTheme="majorHAnsi" w:hAnsiTheme="majorHAnsi" w:cstheme="majorHAnsi"/>
          <w:noProof/>
          <w:sz w:val="24"/>
          <w:vertAlign w:val="superscript"/>
        </w:rPr>
        <w:t>1</w:t>
      </w:r>
      <w:r w:rsidR="00636E4C">
        <w:rPr>
          <w:rFonts w:asciiTheme="majorHAnsi" w:hAnsiTheme="majorHAnsi" w:cstheme="majorHAnsi"/>
          <w:sz w:val="24"/>
        </w:rPr>
        <w:fldChar w:fldCharType="end"/>
      </w:r>
      <w:r>
        <w:rPr>
          <w:rFonts w:asciiTheme="majorHAnsi" w:hAnsiTheme="majorHAnsi" w:cstheme="majorHAnsi"/>
          <w:sz w:val="24"/>
        </w:rPr>
        <w:t xml:space="preserve"> (Douglas pouch, Morison’s pouch and periphery of spleen).</w:t>
      </w:r>
      <w:r w:rsidRPr="005017D2">
        <w:rPr>
          <w:rFonts w:asciiTheme="majorHAnsi" w:hAnsiTheme="majorHAnsi" w:cstheme="majorHAnsi"/>
          <w:sz w:val="24"/>
        </w:rPr>
        <w:t xml:space="preserve"> </w:t>
      </w:r>
      <w:r>
        <w:rPr>
          <w:rFonts w:asciiTheme="majorHAnsi" w:hAnsiTheme="majorHAnsi" w:cstheme="majorHAnsi"/>
          <w:sz w:val="24"/>
        </w:rPr>
        <w:t>A little amount of ascites: presented one or more of the locations as mentioned above. More than moderate amount of ascites: presented in all 3 locations and should be more than 1</w:t>
      </w:r>
      <w:r>
        <w:rPr>
          <w:rFonts w:asciiTheme="majorHAnsi" w:hAnsiTheme="majorHAnsi" w:cstheme="majorHAnsi" w:hint="eastAsia"/>
          <w:sz w:val="24"/>
        </w:rPr>
        <w:t xml:space="preserve"> </w:t>
      </w:r>
      <w:r>
        <w:rPr>
          <w:rFonts w:asciiTheme="majorHAnsi" w:hAnsiTheme="majorHAnsi" w:cstheme="majorHAnsi"/>
          <w:sz w:val="24"/>
        </w:rPr>
        <w:t xml:space="preserve">cm thickening of ascites in 2 locations. </w:t>
      </w:r>
    </w:p>
    <w:p w14:paraId="63472C7A" w14:textId="77777777" w:rsidR="00CC4B5E" w:rsidRDefault="00CC4B5E" w:rsidP="00CC4B5E">
      <w:pPr>
        <w:spacing w:line="480" w:lineRule="auto"/>
        <w:ind w:firstLineChars="177" w:firstLine="425"/>
        <w:rPr>
          <w:rFonts w:asciiTheme="majorHAnsi" w:hAnsiTheme="majorHAnsi" w:cstheme="majorHAnsi"/>
          <w:sz w:val="24"/>
        </w:rPr>
      </w:pPr>
      <w:r>
        <w:rPr>
          <w:rFonts w:asciiTheme="majorHAnsi" w:hAnsiTheme="majorHAnsi" w:cstheme="majorHAnsi" w:hint="eastAsia"/>
          <w:sz w:val="24"/>
        </w:rPr>
        <w:t>7</w:t>
      </w:r>
      <w:r w:rsidRPr="005017D2">
        <w:rPr>
          <w:rFonts w:asciiTheme="majorHAnsi" w:hAnsiTheme="majorHAnsi" w:cstheme="majorHAnsi"/>
          <w:sz w:val="24"/>
        </w:rPr>
        <w:t xml:space="preserve">) Hepatic vein </w:t>
      </w:r>
      <w:r>
        <w:rPr>
          <w:rFonts w:asciiTheme="majorHAnsi" w:hAnsiTheme="majorHAnsi" w:cstheme="majorHAnsi"/>
          <w:sz w:val="24"/>
        </w:rPr>
        <w:t>narrowing</w:t>
      </w:r>
      <w:r w:rsidRPr="005017D2">
        <w:rPr>
          <w:rFonts w:asciiTheme="majorHAnsi" w:hAnsiTheme="majorHAnsi" w:cstheme="majorHAnsi"/>
          <w:sz w:val="24"/>
        </w:rPr>
        <w:t xml:space="preserve"> (three hepatic veins diameter measured 2 cm from the inferior vena cava, less than 3 mm was considered as markedly reduced hepatic vein blood flow</w:t>
      </w:r>
      <w:r>
        <w:rPr>
          <w:rFonts w:asciiTheme="majorHAnsi" w:hAnsiTheme="majorHAnsi" w:cstheme="majorHAnsi"/>
          <w:sz w:val="24"/>
        </w:rPr>
        <w:t>)</w:t>
      </w:r>
      <w:r w:rsidRPr="005017D2">
        <w:rPr>
          <w:rFonts w:asciiTheme="majorHAnsi" w:hAnsiTheme="majorHAnsi" w:cstheme="majorHAnsi"/>
          <w:sz w:val="24"/>
        </w:rPr>
        <w:t>.</w:t>
      </w:r>
      <w:r>
        <w:rPr>
          <w:rFonts w:asciiTheme="majorHAnsi" w:hAnsiTheme="majorHAnsi" w:cstheme="majorHAnsi"/>
          <w:sz w:val="24"/>
        </w:rPr>
        <w:t xml:space="preserve"> </w:t>
      </w:r>
    </w:p>
    <w:p w14:paraId="3C823FBA" w14:textId="77777777" w:rsidR="00CC4B5E" w:rsidRDefault="00CC4B5E" w:rsidP="00CC4B5E">
      <w:pPr>
        <w:spacing w:line="480" w:lineRule="auto"/>
        <w:ind w:firstLineChars="177" w:firstLine="425"/>
        <w:rPr>
          <w:rFonts w:asciiTheme="majorHAnsi" w:hAnsiTheme="majorHAnsi" w:cstheme="majorHAnsi"/>
          <w:sz w:val="24"/>
        </w:rPr>
      </w:pPr>
      <w:r>
        <w:rPr>
          <w:rFonts w:asciiTheme="majorHAnsi" w:hAnsiTheme="majorHAnsi" w:cstheme="majorHAnsi"/>
          <w:sz w:val="24"/>
        </w:rPr>
        <w:t>8</w:t>
      </w:r>
      <w:r w:rsidRPr="005017D2">
        <w:rPr>
          <w:rFonts w:asciiTheme="majorHAnsi" w:hAnsiTheme="majorHAnsi" w:cstheme="majorHAnsi"/>
          <w:sz w:val="24"/>
        </w:rPr>
        <w:t>) Decrease mean velocity of portal vein (</w:t>
      </w:r>
      <w:r>
        <w:rPr>
          <w:rFonts w:asciiTheme="majorHAnsi" w:hAnsiTheme="majorHAnsi" w:cstheme="majorHAnsi"/>
          <w:sz w:val="24"/>
        </w:rPr>
        <w:t>less</w:t>
      </w:r>
      <w:r w:rsidRPr="005017D2">
        <w:rPr>
          <w:rFonts w:asciiTheme="majorHAnsi" w:hAnsiTheme="majorHAnsi" w:cstheme="majorHAnsi"/>
          <w:sz w:val="24"/>
        </w:rPr>
        <w:t xml:space="preserve"> than</w:t>
      </w:r>
      <w:r>
        <w:rPr>
          <w:rFonts w:asciiTheme="majorHAnsi" w:hAnsiTheme="majorHAnsi" w:cstheme="majorHAnsi"/>
          <w:sz w:val="24"/>
        </w:rPr>
        <w:t xml:space="preserve"> or equal to</w:t>
      </w:r>
      <w:r w:rsidRPr="005017D2">
        <w:rPr>
          <w:rFonts w:asciiTheme="majorHAnsi" w:hAnsiTheme="majorHAnsi" w:cstheme="majorHAnsi"/>
          <w:sz w:val="24"/>
        </w:rPr>
        <w:t xml:space="preserve"> 10 cm/sec),</w:t>
      </w:r>
      <w:r>
        <w:rPr>
          <w:rFonts w:asciiTheme="majorHAnsi" w:hAnsiTheme="majorHAnsi" w:cstheme="majorHAnsi"/>
          <w:sz w:val="24"/>
        </w:rPr>
        <w:t xml:space="preserve"> measured by pulse Doppler. Doppler angle should be maintain less than or equal to</w:t>
      </w:r>
      <w:r w:rsidRPr="005017D2">
        <w:rPr>
          <w:rFonts w:asciiTheme="majorHAnsi" w:hAnsiTheme="majorHAnsi" w:cstheme="majorHAnsi"/>
          <w:sz w:val="24"/>
        </w:rPr>
        <w:t xml:space="preserve"> </w:t>
      </w:r>
      <w:r>
        <w:rPr>
          <w:rFonts w:asciiTheme="majorHAnsi" w:hAnsiTheme="majorHAnsi" w:cstheme="majorHAnsi"/>
          <w:sz w:val="24"/>
        </w:rPr>
        <w:t>60 degrees to avoid overestimation</w:t>
      </w:r>
      <w:r>
        <w:rPr>
          <w:rFonts w:asciiTheme="majorHAnsi" w:hAnsiTheme="majorHAnsi" w:cstheme="majorHAnsi" w:hint="eastAsia"/>
          <w:sz w:val="24"/>
        </w:rPr>
        <w:t>.</w:t>
      </w:r>
      <w:r w:rsidRPr="005017D2">
        <w:rPr>
          <w:rFonts w:asciiTheme="majorHAnsi" w:hAnsiTheme="majorHAnsi" w:cstheme="majorHAnsi"/>
          <w:sz w:val="24"/>
        </w:rPr>
        <w:t xml:space="preserve"> </w:t>
      </w:r>
    </w:p>
    <w:p w14:paraId="6BD3A2A0" w14:textId="77777777" w:rsidR="00CC4B5E" w:rsidRPr="00C85352" w:rsidRDefault="00CC4B5E" w:rsidP="00CC4B5E">
      <w:pPr>
        <w:spacing w:line="480" w:lineRule="auto"/>
        <w:ind w:firstLineChars="177" w:firstLine="425"/>
        <w:rPr>
          <w:rFonts w:asciiTheme="majorHAnsi" w:hAnsiTheme="majorHAnsi" w:cstheme="majorHAnsi"/>
          <w:sz w:val="24"/>
        </w:rPr>
      </w:pPr>
      <w:r>
        <w:rPr>
          <w:rFonts w:asciiTheme="majorHAnsi" w:hAnsiTheme="majorHAnsi" w:cstheme="majorHAnsi"/>
          <w:sz w:val="24"/>
        </w:rPr>
        <w:lastRenderedPageBreak/>
        <w:t>9</w:t>
      </w:r>
      <w:r w:rsidRPr="005017D2">
        <w:rPr>
          <w:rFonts w:asciiTheme="majorHAnsi" w:hAnsiTheme="majorHAnsi" w:cstheme="majorHAnsi"/>
          <w:sz w:val="24"/>
        </w:rPr>
        <w:t>) Hepatofugal flow in main portal vein</w:t>
      </w:r>
      <w:r>
        <w:rPr>
          <w:rFonts w:asciiTheme="majorHAnsi" w:hAnsiTheme="majorHAnsi" w:cstheme="majorHAnsi"/>
          <w:sz w:val="24"/>
        </w:rPr>
        <w:t xml:space="preserve"> by color Doppler</w:t>
      </w:r>
      <w:r w:rsidRPr="005017D2">
        <w:rPr>
          <w:rFonts w:asciiTheme="majorHAnsi" w:hAnsiTheme="majorHAnsi" w:cstheme="majorHAnsi"/>
          <w:sz w:val="24"/>
        </w:rPr>
        <w:t xml:space="preserve">, </w:t>
      </w:r>
      <w:r w:rsidRPr="00412DB7">
        <w:rPr>
          <w:rFonts w:asciiTheme="majorHAnsi" w:hAnsiTheme="majorHAnsi" w:cstheme="majorHAnsi"/>
          <w:sz w:val="24"/>
        </w:rPr>
        <w:t>0 indicates hepatopetal, 1 indicates congestion</w:t>
      </w:r>
      <w:r>
        <w:rPr>
          <w:rFonts w:asciiTheme="majorHAnsi" w:hAnsiTheme="majorHAnsi" w:cstheme="majorHAnsi"/>
          <w:sz w:val="24"/>
        </w:rPr>
        <w:t xml:space="preserve"> or</w:t>
      </w:r>
      <w:r w:rsidRPr="00412DB7">
        <w:rPr>
          <w:rFonts w:asciiTheme="majorHAnsi" w:hAnsiTheme="majorHAnsi" w:cstheme="majorHAnsi"/>
          <w:sz w:val="24"/>
        </w:rPr>
        <w:t xml:space="preserve"> hepatofugal flow of portal vein</w:t>
      </w:r>
      <w:r>
        <w:rPr>
          <w:rFonts w:asciiTheme="majorHAnsi" w:hAnsiTheme="majorHAnsi" w:cstheme="majorHAnsi"/>
          <w:sz w:val="24"/>
        </w:rPr>
        <w:t>.</w:t>
      </w:r>
    </w:p>
    <w:p w14:paraId="3112CF15" w14:textId="77777777" w:rsidR="00CC4B5E" w:rsidRDefault="00CC4B5E" w:rsidP="00CC4B5E">
      <w:pPr>
        <w:spacing w:line="480" w:lineRule="auto"/>
        <w:ind w:firstLineChars="177" w:firstLine="425"/>
        <w:rPr>
          <w:rFonts w:asciiTheme="majorHAnsi" w:hAnsiTheme="majorHAnsi" w:cstheme="majorHAnsi"/>
          <w:sz w:val="24"/>
        </w:rPr>
      </w:pPr>
      <w:r>
        <w:rPr>
          <w:rFonts w:asciiTheme="majorHAnsi" w:hAnsiTheme="majorHAnsi" w:cstheme="majorHAnsi"/>
          <w:sz w:val="24"/>
        </w:rPr>
        <w:t>10</w:t>
      </w:r>
      <w:r w:rsidRPr="005017D2">
        <w:rPr>
          <w:rFonts w:asciiTheme="majorHAnsi" w:hAnsiTheme="majorHAnsi" w:cstheme="majorHAnsi"/>
          <w:sz w:val="24"/>
        </w:rPr>
        <w:t xml:space="preserve">) Appearance of blood flow signal in </w:t>
      </w:r>
      <w:r>
        <w:rPr>
          <w:rFonts w:asciiTheme="majorHAnsi" w:hAnsiTheme="majorHAnsi" w:cstheme="majorHAnsi"/>
          <w:sz w:val="24"/>
        </w:rPr>
        <w:t>para-umbilical</w:t>
      </w:r>
      <w:r w:rsidRPr="005017D2">
        <w:rPr>
          <w:rFonts w:asciiTheme="majorHAnsi" w:hAnsiTheme="majorHAnsi" w:cstheme="majorHAnsi"/>
          <w:sz w:val="24"/>
        </w:rPr>
        <w:t xml:space="preserve"> vein </w:t>
      </w:r>
      <w:r>
        <w:rPr>
          <w:rFonts w:asciiTheme="majorHAnsi" w:hAnsiTheme="majorHAnsi" w:cstheme="majorHAnsi"/>
          <w:sz w:val="24"/>
        </w:rPr>
        <w:t>by color Doppler. To maximize sensitivity, try to employ high frequency probe (more than 6MHz), color Doppler frequency should be set at the lowest in the used US equipment</w:t>
      </w:r>
      <w:r w:rsidRPr="005017D2">
        <w:rPr>
          <w:rFonts w:asciiTheme="majorHAnsi" w:hAnsiTheme="majorHAnsi" w:cstheme="majorHAnsi"/>
          <w:sz w:val="24"/>
        </w:rPr>
        <w:t xml:space="preserve">, </w:t>
      </w:r>
      <w:r>
        <w:rPr>
          <w:rFonts w:asciiTheme="majorHAnsi" w:hAnsiTheme="majorHAnsi" w:cstheme="majorHAnsi"/>
          <w:sz w:val="24"/>
        </w:rPr>
        <w:t xml:space="preserve">velocity range is recommended around 5 to 10 cm/s. </w:t>
      </w:r>
      <w:r w:rsidRPr="00412DB7">
        <w:rPr>
          <w:rFonts w:asciiTheme="majorHAnsi" w:hAnsiTheme="majorHAnsi" w:cstheme="majorHAnsi"/>
          <w:sz w:val="24"/>
        </w:rPr>
        <w:t>0 indicates none, 1 indicates appeara</w:t>
      </w:r>
      <w:r>
        <w:rPr>
          <w:rFonts w:asciiTheme="majorHAnsi" w:hAnsiTheme="majorHAnsi" w:cstheme="majorHAnsi"/>
          <w:sz w:val="24"/>
        </w:rPr>
        <w:t xml:space="preserve">nce of blood flow signal in PUV. </w:t>
      </w:r>
    </w:p>
    <w:p w14:paraId="399F3551" w14:textId="77777777" w:rsidR="00CC4B5E" w:rsidRDefault="00CC4B5E" w:rsidP="00CC4B5E">
      <w:pPr>
        <w:spacing w:line="480" w:lineRule="auto"/>
        <w:ind w:firstLineChars="177" w:firstLine="425"/>
        <w:rPr>
          <w:rFonts w:asciiTheme="majorHAnsi" w:hAnsiTheme="majorHAnsi" w:cstheme="majorHAnsi"/>
          <w:sz w:val="24"/>
        </w:rPr>
      </w:pPr>
      <w:r>
        <w:rPr>
          <w:rFonts w:asciiTheme="majorHAnsi" w:hAnsiTheme="majorHAnsi" w:cstheme="majorHAnsi"/>
          <w:sz w:val="24"/>
        </w:rPr>
        <w:t>11</w:t>
      </w:r>
      <w:r w:rsidRPr="005017D2">
        <w:rPr>
          <w:rFonts w:asciiTheme="majorHAnsi" w:hAnsiTheme="majorHAnsi" w:cstheme="majorHAnsi"/>
          <w:sz w:val="24"/>
        </w:rPr>
        <w:t xml:space="preserve">) Wave form planarization of 3 hepatic veins due to decrease blood flow (Normally triphasic, biphasic and monophasic waveform were considered decreased blood flow) </w:t>
      </w:r>
    </w:p>
    <w:p w14:paraId="2BCD325A" w14:textId="7E90605C" w:rsidR="00CC4B5E" w:rsidRDefault="00CC4B5E" w:rsidP="00CC4B5E">
      <w:pPr>
        <w:spacing w:line="480" w:lineRule="auto"/>
        <w:ind w:firstLineChars="177" w:firstLine="425"/>
        <w:rPr>
          <w:rFonts w:asciiTheme="majorHAnsi" w:eastAsia="ヒラギノ角ゴ Pro W3" w:hAnsiTheme="majorHAnsi" w:cstheme="majorHAnsi"/>
          <w:kern w:val="0"/>
          <w:sz w:val="24"/>
        </w:rPr>
      </w:pPr>
      <w:r>
        <w:rPr>
          <w:rFonts w:asciiTheme="majorHAnsi" w:hAnsiTheme="majorHAnsi" w:cstheme="majorHAnsi"/>
          <w:sz w:val="24"/>
        </w:rPr>
        <w:t>12</w:t>
      </w:r>
      <w:r w:rsidRPr="005017D2">
        <w:rPr>
          <w:rFonts w:asciiTheme="majorHAnsi" w:hAnsiTheme="majorHAnsi" w:cstheme="majorHAnsi"/>
          <w:sz w:val="24"/>
        </w:rPr>
        <w:t>) Increase resistive index (RI) of hepatic artery (no</w:t>
      </w:r>
      <w:r>
        <w:rPr>
          <w:rFonts w:asciiTheme="majorHAnsi" w:hAnsiTheme="majorHAnsi" w:cstheme="majorHAnsi"/>
          <w:sz w:val="24"/>
        </w:rPr>
        <w:t>t</w:t>
      </w:r>
      <w:r w:rsidRPr="005017D2">
        <w:rPr>
          <w:rFonts w:asciiTheme="majorHAnsi" w:hAnsiTheme="majorHAnsi" w:cstheme="majorHAnsi"/>
          <w:sz w:val="24"/>
        </w:rPr>
        <w:t xml:space="preserve"> less than 0.75)</w:t>
      </w:r>
      <w:r w:rsidR="00636E4C" w:rsidRPr="00636E4C">
        <w:t xml:space="preserve"> </w:t>
      </w:r>
      <w:r w:rsidR="00636E4C">
        <w:rPr>
          <w:rFonts w:asciiTheme="majorHAnsi" w:hAnsiTheme="majorHAnsi" w:cstheme="majorHAnsi"/>
          <w:sz w:val="24"/>
        </w:rPr>
        <w:fldChar w:fldCharType="begin"/>
      </w:r>
      <w:r w:rsidR="00636E4C">
        <w:rPr>
          <w:rFonts w:asciiTheme="majorHAnsi" w:hAnsiTheme="majorHAnsi" w:cstheme="majorHAnsi"/>
          <w:sz w:val="24"/>
        </w:rPr>
        <w:instrText xml:space="preserve"> ADDIN EN.CITE &lt;EndNote&gt;&lt;Cite&gt;&lt;Author&gt;Herbetko&lt;/Author&gt;&lt;Year&gt;1992&lt;/Year&gt;&lt;RecNum&gt;49&lt;/RecNum&gt;&lt;DisplayText&gt;&lt;style face="superscript"&gt;2&lt;/style&gt;&lt;/DisplayText&gt;&lt;record&gt;&lt;rec-number&gt;49&lt;/rec-number&gt;&lt;foreign-keys&gt;&lt;key app="EN" db-id="f00wsrvvhxzrzyev0tiv2d202f2w2f5erd9x" timestamp="1519738061"&gt;49&lt;/key&gt;&lt;/foreign-keys&gt;&lt;ref-type name="Journal Article"&gt;17&lt;/ref-type&gt;&lt;contributors&gt;&lt;authors&gt;&lt;author&gt;Herbetko, J.&lt;/author&gt;&lt;author&gt;Grigg, A. P.&lt;/author&gt;&lt;author&gt;Buckley, A. R.&lt;/author&gt;&lt;author&gt;Phillips, G. L.&lt;/author&gt;&lt;/authors&gt;&lt;/contributors&gt;&lt;auth-address&gt;Department of Radiology, University of British Columbia, Vancouver, Canada.&lt;/auth-address&gt;&lt;titles&gt;&lt;title&gt;Venoocclusive liver disease after bone marrow transplantation: findings at duplex sonography&lt;/title&gt;&lt;secondary-title&gt;AJR Am J Roentgenol&lt;/secondary-title&gt;&lt;/titles&gt;&lt;periodical&gt;&lt;full-title&gt;AJR Am J Roentgenol&lt;/full-title&gt;&lt;/periodical&gt;&lt;pages&gt;1001-5&lt;/pages&gt;&lt;volume&gt;158&lt;/volume&gt;&lt;number&gt;5&lt;/number&gt;&lt;keywords&gt;&lt;keyword&gt;Blood Flow Velocity/physiology&lt;/keyword&gt;&lt;keyword&gt;Bone Marrow Transplantation/*adverse effects&lt;/keyword&gt;&lt;keyword&gt;Diagnosis, Differential&lt;/keyword&gt;&lt;keyword&gt;Gallbladder/diagnostic imaging&lt;/keyword&gt;&lt;keyword&gt;Graft vs Host Disease/diagnostic imaging&lt;/keyword&gt;&lt;keyword&gt;Hepatic Veno-Occlusive Disease/*diagnostic imaging/epidemiology/etiology&lt;/keyword&gt;&lt;keyword&gt;Humans&lt;/keyword&gt;&lt;keyword&gt;Liver/diagnostic imaging&lt;/keyword&gt;&lt;keyword&gt;Liver Circulation&lt;/keyword&gt;&lt;keyword&gt;Prospective Studies&lt;/keyword&gt;&lt;keyword&gt;Ultrasonography&lt;/keyword&gt;&lt;/keywords&gt;&lt;dates&gt;&lt;year&gt;1992&lt;/year&gt;&lt;pub-dates&gt;&lt;date&gt;May&lt;/date&gt;&lt;/pub-dates&gt;&lt;/dates&gt;&lt;isbn&gt;0361-803X (Print)&amp;#xD;0361-803X (Linking)&lt;/isbn&gt;&lt;accession-num&gt;1566656&lt;/accession-num&gt;&lt;urls&gt;&lt;related-urls&gt;&lt;url&gt;https://www.ncbi.nlm.nih.gov/pubmed/1566656&lt;/url&gt;&lt;/related-urls&gt;&lt;/urls&gt;&lt;electronic-resource-num&gt;10.2214/ajr.158.5.1566656&lt;/electronic-resource-num&gt;&lt;/record&gt;&lt;/Cite&gt;&lt;/EndNote&gt;</w:instrText>
      </w:r>
      <w:r w:rsidR="00636E4C">
        <w:rPr>
          <w:rFonts w:asciiTheme="majorHAnsi" w:hAnsiTheme="majorHAnsi" w:cstheme="majorHAnsi"/>
          <w:sz w:val="24"/>
        </w:rPr>
        <w:fldChar w:fldCharType="separate"/>
      </w:r>
      <w:r w:rsidR="00636E4C" w:rsidRPr="00636E4C">
        <w:rPr>
          <w:rFonts w:asciiTheme="majorHAnsi" w:hAnsiTheme="majorHAnsi" w:cstheme="majorHAnsi"/>
          <w:noProof/>
          <w:sz w:val="24"/>
          <w:vertAlign w:val="superscript"/>
        </w:rPr>
        <w:t>2</w:t>
      </w:r>
      <w:r w:rsidR="00636E4C">
        <w:rPr>
          <w:rFonts w:asciiTheme="majorHAnsi" w:hAnsiTheme="majorHAnsi" w:cstheme="majorHAnsi"/>
          <w:sz w:val="24"/>
        </w:rPr>
        <w:fldChar w:fldCharType="end"/>
      </w:r>
      <w:r w:rsidRPr="005017D2">
        <w:rPr>
          <w:rFonts w:asciiTheme="majorHAnsi" w:hAnsiTheme="majorHAnsi" w:cstheme="majorHAnsi"/>
          <w:sz w:val="24"/>
        </w:rPr>
        <w:t xml:space="preserve">. </w:t>
      </w:r>
      <w:r>
        <w:rPr>
          <w:rFonts w:asciiTheme="majorHAnsi" w:hAnsiTheme="majorHAnsi" w:cstheme="majorHAnsi"/>
          <w:sz w:val="24"/>
        </w:rPr>
        <w:t>R</w:t>
      </w:r>
      <w:r w:rsidRPr="00412DB7">
        <w:rPr>
          <w:rFonts w:asciiTheme="majorHAnsi" w:hAnsiTheme="majorHAnsi" w:cstheme="majorHAnsi"/>
          <w:sz w:val="24"/>
        </w:rPr>
        <w:t>esistive index</w:t>
      </w:r>
      <w:r w:rsidRPr="005017D2">
        <w:rPr>
          <w:rFonts w:asciiTheme="majorHAnsi" w:hAnsiTheme="majorHAnsi" w:cstheme="majorHAnsi"/>
          <w:sz w:val="24"/>
        </w:rPr>
        <w:t xml:space="preserve"> </w:t>
      </w:r>
      <w:r>
        <w:rPr>
          <w:rFonts w:asciiTheme="majorHAnsi" w:hAnsiTheme="majorHAnsi" w:cstheme="majorHAnsi"/>
          <w:sz w:val="24"/>
        </w:rPr>
        <w:t>(</w:t>
      </w:r>
      <w:r w:rsidRPr="005017D2">
        <w:rPr>
          <w:rFonts w:asciiTheme="majorHAnsi" w:hAnsiTheme="majorHAnsi" w:cstheme="majorHAnsi"/>
          <w:sz w:val="24"/>
        </w:rPr>
        <w:t>RI</w:t>
      </w:r>
      <w:r>
        <w:rPr>
          <w:rFonts w:asciiTheme="majorHAnsi" w:hAnsiTheme="majorHAnsi" w:cstheme="majorHAnsi"/>
          <w:sz w:val="24"/>
        </w:rPr>
        <w:t>)</w:t>
      </w:r>
      <w:r w:rsidRPr="005017D2">
        <w:rPr>
          <w:rFonts w:asciiTheme="majorHAnsi" w:hAnsiTheme="majorHAnsi" w:cstheme="majorHAnsi"/>
          <w:sz w:val="24"/>
        </w:rPr>
        <w:t xml:space="preserve"> was calculated by </w:t>
      </w:r>
      <w:r w:rsidRPr="005017D2">
        <w:rPr>
          <w:rFonts w:asciiTheme="majorHAnsi" w:eastAsia="ヒラギノ角ゴ Pro W3" w:hAnsiTheme="majorHAnsi" w:cstheme="majorHAnsi"/>
          <w:kern w:val="0"/>
          <w:sz w:val="24"/>
        </w:rPr>
        <w:t>mathematical formula (maximum velocity minus minimum velocity over maximum velocity).</w:t>
      </w:r>
    </w:p>
    <w:p w14:paraId="7A117CEF" w14:textId="77777777" w:rsidR="00CC4B5E" w:rsidRDefault="00CC4B5E" w:rsidP="00CC4B5E">
      <w:pPr>
        <w:widowControl/>
        <w:jc w:val="left"/>
        <w:rPr>
          <w:rFonts w:asciiTheme="majorHAnsi" w:hAnsiTheme="majorHAnsi" w:cstheme="majorHAnsi"/>
          <w:b/>
          <w:sz w:val="24"/>
        </w:rPr>
      </w:pPr>
      <w:r>
        <w:rPr>
          <w:rFonts w:asciiTheme="majorHAnsi" w:hAnsiTheme="majorHAnsi" w:cstheme="majorHAnsi"/>
          <w:b/>
          <w:sz w:val="24"/>
        </w:rPr>
        <w:br w:type="page"/>
      </w:r>
    </w:p>
    <w:p w14:paraId="0BF2DFA7" w14:textId="77777777" w:rsidR="00CC4B5E" w:rsidRPr="00412DB7" w:rsidRDefault="00CC4B5E" w:rsidP="00CC4B5E">
      <w:pPr>
        <w:spacing w:line="360" w:lineRule="auto"/>
        <w:ind w:leftChars="-270" w:left="-567"/>
        <w:jc w:val="center"/>
        <w:outlineLvl w:val="0"/>
        <w:rPr>
          <w:rFonts w:asciiTheme="majorHAnsi" w:hAnsiTheme="majorHAnsi" w:cstheme="majorHAnsi"/>
          <w:b/>
          <w:sz w:val="24"/>
        </w:rPr>
      </w:pPr>
      <w:r w:rsidRPr="00412DB7">
        <w:rPr>
          <w:rFonts w:asciiTheme="majorHAnsi" w:hAnsiTheme="majorHAnsi" w:cstheme="majorHAnsi"/>
          <w:b/>
          <w:sz w:val="24"/>
        </w:rPr>
        <w:lastRenderedPageBreak/>
        <w:t>Table</w:t>
      </w:r>
      <w:r>
        <w:rPr>
          <w:rFonts w:asciiTheme="majorHAnsi" w:hAnsiTheme="majorHAnsi" w:cstheme="majorHAnsi"/>
          <w:b/>
          <w:sz w:val="24"/>
        </w:rPr>
        <w:t xml:space="preserve"> S</w:t>
      </w:r>
      <w:r w:rsidRPr="00412DB7">
        <w:rPr>
          <w:rFonts w:asciiTheme="majorHAnsi" w:hAnsiTheme="majorHAnsi" w:cstheme="majorHAnsi"/>
          <w:b/>
          <w:sz w:val="24"/>
        </w:rPr>
        <w:t xml:space="preserve">. US-17 </w:t>
      </w:r>
      <w:r>
        <w:rPr>
          <w:rFonts w:asciiTheme="majorHAnsi" w:hAnsiTheme="majorHAnsi" w:cstheme="majorHAnsi"/>
          <w:b/>
          <w:sz w:val="24"/>
        </w:rPr>
        <w:t>screening</w:t>
      </w:r>
    </w:p>
    <w:p w14:paraId="7F7AC2D6" w14:textId="77777777" w:rsidR="00CC4B5E" w:rsidRDefault="00CC4B5E" w:rsidP="00CC4B5E">
      <w:pPr>
        <w:spacing w:line="360" w:lineRule="auto"/>
        <w:outlineLvl w:val="0"/>
        <w:rPr>
          <w:rFonts w:asciiTheme="majorHAnsi" w:hAnsiTheme="majorHAnsi" w:cstheme="majorHAnsi"/>
          <w:b/>
          <w:sz w:val="24"/>
        </w:rPr>
      </w:pPr>
    </w:p>
    <w:tbl>
      <w:tblPr>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618"/>
        <w:gridCol w:w="1235"/>
        <w:gridCol w:w="2344"/>
      </w:tblGrid>
      <w:tr w:rsidR="00CC4B5E" w:rsidRPr="001672AC" w14:paraId="7DFEB98D" w14:textId="77777777" w:rsidTr="00636E4C">
        <w:trPr>
          <w:trHeight w:val="450"/>
        </w:trPr>
        <w:tc>
          <w:tcPr>
            <w:tcW w:w="3310" w:type="dxa"/>
            <w:tcBorders>
              <w:bottom w:val="single" w:sz="18" w:space="0" w:color="auto"/>
            </w:tcBorders>
            <w:shd w:val="clear" w:color="auto" w:fill="auto"/>
            <w:vAlign w:val="center"/>
          </w:tcPr>
          <w:p w14:paraId="23917C49" w14:textId="77777777" w:rsidR="00CC4B5E" w:rsidRPr="00D9672C" w:rsidRDefault="00CC4B5E" w:rsidP="00636E4C">
            <w:pPr>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US findings</w:t>
            </w:r>
          </w:p>
        </w:tc>
        <w:tc>
          <w:tcPr>
            <w:tcW w:w="1618" w:type="dxa"/>
            <w:tcBorders>
              <w:bottom w:val="single" w:sz="18" w:space="0" w:color="auto"/>
            </w:tcBorders>
            <w:vAlign w:val="center"/>
          </w:tcPr>
          <w:p w14:paraId="1F59CFC4" w14:textId="77777777" w:rsidR="00CC4B5E" w:rsidRPr="00D9672C" w:rsidRDefault="00CC4B5E" w:rsidP="00636E4C">
            <w:pPr>
              <w:jc w:val="center"/>
              <w:rPr>
                <w:rFonts w:asciiTheme="majorHAnsi" w:hAnsiTheme="majorHAnsi" w:cstheme="majorHAnsi"/>
                <w:sz w:val="20"/>
                <w:szCs w:val="20"/>
              </w:rPr>
            </w:pPr>
            <w:r w:rsidRPr="00D9672C">
              <w:rPr>
                <w:rFonts w:asciiTheme="majorHAnsi" w:hAnsiTheme="majorHAnsi" w:cstheme="majorHAnsi"/>
                <w:sz w:val="20"/>
                <w:szCs w:val="20"/>
              </w:rPr>
              <w:t>Cut off value</w:t>
            </w:r>
          </w:p>
        </w:tc>
        <w:tc>
          <w:tcPr>
            <w:tcW w:w="1235" w:type="dxa"/>
            <w:tcBorders>
              <w:bottom w:val="single" w:sz="18" w:space="0" w:color="auto"/>
            </w:tcBorders>
            <w:vAlign w:val="center"/>
          </w:tcPr>
          <w:p w14:paraId="53846479" w14:textId="77777777" w:rsidR="00CC4B5E" w:rsidRDefault="00CC4B5E" w:rsidP="00636E4C">
            <w:pPr>
              <w:jc w:val="center"/>
              <w:rPr>
                <w:rFonts w:asciiTheme="majorHAnsi" w:hAnsiTheme="majorHAnsi" w:cstheme="majorHAnsi"/>
                <w:sz w:val="20"/>
                <w:szCs w:val="20"/>
              </w:rPr>
            </w:pPr>
            <w:r>
              <w:rPr>
                <w:rFonts w:asciiTheme="majorHAnsi" w:hAnsiTheme="majorHAnsi" w:cstheme="majorHAnsi" w:hint="eastAsia"/>
                <w:sz w:val="20"/>
                <w:szCs w:val="20"/>
              </w:rPr>
              <w:t>points</w:t>
            </w:r>
          </w:p>
        </w:tc>
        <w:tc>
          <w:tcPr>
            <w:tcW w:w="2344" w:type="dxa"/>
            <w:tcBorders>
              <w:bottom w:val="single" w:sz="18" w:space="0" w:color="auto"/>
            </w:tcBorders>
            <w:vAlign w:val="center"/>
          </w:tcPr>
          <w:p w14:paraId="190F60BC" w14:textId="77777777" w:rsidR="00CC4B5E" w:rsidRPr="00D9672C" w:rsidRDefault="00CC4B5E" w:rsidP="00636E4C">
            <w:pPr>
              <w:jc w:val="center"/>
              <w:rPr>
                <w:rFonts w:asciiTheme="majorHAnsi" w:hAnsiTheme="majorHAnsi" w:cstheme="majorHAnsi"/>
                <w:sz w:val="20"/>
                <w:szCs w:val="20"/>
              </w:rPr>
            </w:pPr>
            <w:r>
              <w:rPr>
                <w:rFonts w:asciiTheme="majorHAnsi" w:hAnsiTheme="majorHAnsi" w:cstheme="majorHAnsi"/>
                <w:sz w:val="20"/>
                <w:szCs w:val="20"/>
              </w:rPr>
              <w:t>Measurements detail</w:t>
            </w:r>
            <w:r>
              <w:rPr>
                <w:rFonts w:asciiTheme="majorHAnsi" w:hAnsiTheme="majorHAnsi" w:cstheme="majorHAnsi" w:hint="eastAsia"/>
                <w:sz w:val="20"/>
                <w:szCs w:val="20"/>
              </w:rPr>
              <w:t>s</w:t>
            </w:r>
          </w:p>
        </w:tc>
      </w:tr>
      <w:tr w:rsidR="00CC4B5E" w:rsidRPr="001672AC" w14:paraId="3FC18647" w14:textId="77777777" w:rsidTr="00636E4C">
        <w:trPr>
          <w:trHeight w:val="730"/>
        </w:trPr>
        <w:tc>
          <w:tcPr>
            <w:tcW w:w="3310" w:type="dxa"/>
            <w:tcBorders>
              <w:top w:val="single" w:sz="18" w:space="0" w:color="auto"/>
            </w:tcBorders>
            <w:shd w:val="clear" w:color="auto" w:fill="auto"/>
            <w:vAlign w:val="center"/>
          </w:tcPr>
          <w:p w14:paraId="30214B56" w14:textId="77777777" w:rsidR="00CC4B5E" w:rsidRPr="00D9672C" w:rsidRDefault="00CC4B5E" w:rsidP="00636E4C">
            <w:pPr>
              <w:spacing w:line="360" w:lineRule="auto"/>
              <w:jc w:val="center"/>
              <w:rPr>
                <w:rFonts w:asciiTheme="majorHAnsi" w:hAnsiTheme="majorHAnsi" w:cstheme="majorHAnsi"/>
                <w:sz w:val="20"/>
                <w:szCs w:val="20"/>
              </w:rPr>
            </w:pPr>
            <w:r>
              <w:rPr>
                <w:rFonts w:asciiTheme="majorHAnsi" w:hAnsiTheme="majorHAnsi" w:cstheme="majorHAnsi"/>
                <w:sz w:val="20"/>
                <w:szCs w:val="20"/>
              </w:rPr>
              <w:t xml:space="preserve">Hepatomegaly in the left lobe </w:t>
            </w:r>
          </w:p>
        </w:tc>
        <w:tc>
          <w:tcPr>
            <w:tcW w:w="1618" w:type="dxa"/>
            <w:tcBorders>
              <w:top w:val="single" w:sz="18" w:space="0" w:color="auto"/>
            </w:tcBorders>
            <w:vAlign w:val="center"/>
          </w:tcPr>
          <w:p w14:paraId="0853F87D" w14:textId="77777777" w:rsidR="00CC4B5E" w:rsidRPr="00D9672C"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70mm&gt;</w:t>
            </w:r>
          </w:p>
        </w:tc>
        <w:tc>
          <w:tcPr>
            <w:tcW w:w="1235" w:type="dxa"/>
            <w:tcBorders>
              <w:top w:val="single" w:sz="18" w:space="0" w:color="auto"/>
            </w:tcBorders>
            <w:vAlign w:val="center"/>
          </w:tcPr>
          <w:p w14:paraId="18708983"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Pr>
                <w:rFonts w:asciiTheme="majorHAnsi" w:hAnsiTheme="majorHAnsi" w:cstheme="majorHAnsi"/>
                <w:sz w:val="20"/>
                <w:szCs w:val="20"/>
              </w:rPr>
              <w:t>0/</w:t>
            </w:r>
            <w:r>
              <w:rPr>
                <w:rFonts w:asciiTheme="majorHAnsi" w:hAnsiTheme="majorHAnsi" w:cstheme="majorHAnsi" w:hint="eastAsia"/>
                <w:sz w:val="20"/>
                <w:szCs w:val="20"/>
              </w:rPr>
              <w:t>1</w:t>
            </w:r>
          </w:p>
        </w:tc>
        <w:tc>
          <w:tcPr>
            <w:tcW w:w="2344" w:type="dxa"/>
            <w:tcBorders>
              <w:top w:val="single" w:sz="18" w:space="0" w:color="auto"/>
            </w:tcBorders>
            <w:vAlign w:val="center"/>
          </w:tcPr>
          <w:p w14:paraId="30581F9D" w14:textId="77777777" w:rsidR="00CC4B5E" w:rsidRPr="00EA771F" w:rsidRDefault="00CC4B5E" w:rsidP="00636E4C">
            <w:pPr>
              <w:tabs>
                <w:tab w:val="center" w:pos="4252"/>
                <w:tab w:val="right" w:pos="8504"/>
              </w:tabs>
              <w:snapToGrid w:val="0"/>
              <w:jc w:val="center"/>
              <w:rPr>
                <w:rFonts w:asciiTheme="majorHAnsi" w:hAnsiTheme="majorHAnsi" w:cstheme="majorHAnsi"/>
                <w:sz w:val="20"/>
                <w:szCs w:val="20"/>
              </w:rPr>
            </w:pPr>
            <w:r w:rsidRPr="00C85352">
              <w:rPr>
                <w:rFonts w:asciiTheme="majorHAnsi" w:hAnsiTheme="majorHAnsi" w:cstheme="majorHAnsi"/>
                <w:sz w:val="20"/>
                <w:szCs w:val="20"/>
              </w:rPr>
              <w:t>Vertical diameter of pre aortic</w:t>
            </w:r>
            <w:r>
              <w:rPr>
                <w:rFonts w:asciiTheme="majorHAnsi" w:hAnsiTheme="majorHAnsi" w:cstheme="majorHAnsi"/>
                <w:sz w:val="20"/>
                <w:szCs w:val="20"/>
              </w:rPr>
              <w:t xml:space="preserve">place </w:t>
            </w:r>
          </w:p>
        </w:tc>
      </w:tr>
      <w:tr w:rsidR="00CC4B5E" w:rsidRPr="001672AC" w14:paraId="00FCC31F" w14:textId="77777777" w:rsidTr="00636E4C">
        <w:trPr>
          <w:trHeight w:val="836"/>
        </w:trPr>
        <w:tc>
          <w:tcPr>
            <w:tcW w:w="3310" w:type="dxa"/>
            <w:shd w:val="clear" w:color="auto" w:fill="auto"/>
            <w:vAlign w:val="center"/>
          </w:tcPr>
          <w:p w14:paraId="7E492D21" w14:textId="77777777" w:rsidR="00CC4B5E" w:rsidRPr="00D9672C" w:rsidRDefault="00CC4B5E" w:rsidP="00636E4C">
            <w:pPr>
              <w:spacing w:line="360" w:lineRule="auto"/>
              <w:jc w:val="center"/>
              <w:rPr>
                <w:rFonts w:asciiTheme="majorHAnsi" w:hAnsiTheme="majorHAnsi" w:cstheme="majorHAnsi"/>
                <w:sz w:val="20"/>
                <w:szCs w:val="20"/>
              </w:rPr>
            </w:pPr>
            <w:r>
              <w:rPr>
                <w:rFonts w:asciiTheme="majorHAnsi" w:hAnsiTheme="majorHAnsi" w:cstheme="majorHAnsi"/>
                <w:sz w:val="20"/>
                <w:szCs w:val="20"/>
              </w:rPr>
              <w:t>Hepatomegaly in the right lobe</w:t>
            </w:r>
          </w:p>
        </w:tc>
        <w:tc>
          <w:tcPr>
            <w:tcW w:w="1618" w:type="dxa"/>
            <w:vAlign w:val="center"/>
          </w:tcPr>
          <w:p w14:paraId="585534F0"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110mm&gt;</w:t>
            </w:r>
            <w:r>
              <w:rPr>
                <w:rFonts w:asciiTheme="majorHAnsi" w:hAnsiTheme="majorHAnsi" w:cstheme="majorHAnsi"/>
                <w:sz w:val="20"/>
                <w:szCs w:val="20"/>
              </w:rPr>
              <w:t xml:space="preserve"> </w:t>
            </w:r>
          </w:p>
        </w:tc>
        <w:tc>
          <w:tcPr>
            <w:tcW w:w="1235" w:type="dxa"/>
            <w:vAlign w:val="center"/>
          </w:tcPr>
          <w:p w14:paraId="57DCAF08"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Pr>
                <w:rFonts w:asciiTheme="majorHAnsi" w:hAnsiTheme="majorHAnsi" w:cstheme="majorHAnsi"/>
                <w:sz w:val="20"/>
                <w:szCs w:val="20"/>
              </w:rPr>
              <w:t>0/</w:t>
            </w:r>
            <w:r>
              <w:rPr>
                <w:rFonts w:asciiTheme="majorHAnsi" w:hAnsiTheme="majorHAnsi" w:cstheme="majorHAnsi" w:hint="eastAsia"/>
                <w:sz w:val="20"/>
                <w:szCs w:val="20"/>
              </w:rPr>
              <w:t>1</w:t>
            </w:r>
          </w:p>
        </w:tc>
        <w:tc>
          <w:tcPr>
            <w:tcW w:w="2344" w:type="dxa"/>
            <w:vAlign w:val="center"/>
          </w:tcPr>
          <w:p w14:paraId="4833A990" w14:textId="77777777" w:rsidR="00CC4B5E" w:rsidRPr="00EA771F" w:rsidRDefault="00CC4B5E" w:rsidP="00636E4C">
            <w:pPr>
              <w:tabs>
                <w:tab w:val="center" w:pos="4252"/>
                <w:tab w:val="right" w:pos="8504"/>
              </w:tabs>
              <w:snapToGrid w:val="0"/>
              <w:jc w:val="center"/>
              <w:rPr>
                <w:rFonts w:asciiTheme="majorHAnsi" w:hAnsiTheme="majorHAnsi" w:cstheme="majorHAnsi"/>
                <w:sz w:val="20"/>
                <w:szCs w:val="20"/>
                <w:u w:val="single"/>
              </w:rPr>
            </w:pPr>
            <w:r w:rsidRPr="00C85352">
              <w:rPr>
                <w:rFonts w:asciiTheme="majorHAnsi" w:hAnsiTheme="majorHAnsi" w:cstheme="majorHAnsi"/>
                <w:sz w:val="20"/>
                <w:szCs w:val="20"/>
              </w:rPr>
              <w:t>Vertical diameter of right anterior axillary line</w:t>
            </w:r>
            <w:r>
              <w:rPr>
                <w:rFonts w:asciiTheme="majorHAnsi" w:hAnsiTheme="majorHAnsi" w:cstheme="majorHAnsi"/>
                <w:sz w:val="20"/>
                <w:szCs w:val="20"/>
              </w:rPr>
              <w:t xml:space="preserve"> </w:t>
            </w:r>
          </w:p>
        </w:tc>
      </w:tr>
      <w:tr w:rsidR="00CC4B5E" w:rsidRPr="001672AC" w14:paraId="1D244330" w14:textId="77777777" w:rsidTr="00636E4C">
        <w:trPr>
          <w:trHeight w:val="717"/>
        </w:trPr>
        <w:tc>
          <w:tcPr>
            <w:tcW w:w="3310" w:type="dxa"/>
            <w:shd w:val="clear" w:color="auto" w:fill="auto"/>
            <w:vAlign w:val="center"/>
          </w:tcPr>
          <w:p w14:paraId="7BD62C83" w14:textId="77777777" w:rsidR="00CC4B5E" w:rsidRPr="00D9672C" w:rsidRDefault="00CC4B5E" w:rsidP="00636E4C">
            <w:pPr>
              <w:jc w:val="center"/>
              <w:rPr>
                <w:rFonts w:asciiTheme="majorHAnsi" w:hAnsiTheme="majorHAnsi" w:cstheme="majorHAnsi"/>
                <w:sz w:val="20"/>
                <w:szCs w:val="20"/>
              </w:rPr>
            </w:pPr>
            <w:r w:rsidRPr="002631BA">
              <w:rPr>
                <w:rFonts w:asciiTheme="majorHAnsi" w:hAnsiTheme="majorHAnsi" w:cstheme="majorHAnsi"/>
                <w:sz w:val="20"/>
                <w:szCs w:val="20"/>
              </w:rPr>
              <w:t>Splenomegaly</w:t>
            </w:r>
          </w:p>
        </w:tc>
        <w:tc>
          <w:tcPr>
            <w:tcW w:w="1618" w:type="dxa"/>
            <w:vAlign w:val="center"/>
          </w:tcPr>
          <w:p w14:paraId="62769CE4"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110mm&gt;</w:t>
            </w:r>
            <w:r>
              <w:rPr>
                <w:rFonts w:asciiTheme="majorHAnsi" w:hAnsiTheme="majorHAnsi" w:cstheme="majorHAnsi"/>
                <w:sz w:val="20"/>
                <w:szCs w:val="20"/>
              </w:rPr>
              <w:t xml:space="preserve"> </w:t>
            </w:r>
          </w:p>
        </w:tc>
        <w:tc>
          <w:tcPr>
            <w:tcW w:w="1235" w:type="dxa"/>
            <w:vAlign w:val="center"/>
          </w:tcPr>
          <w:p w14:paraId="7B6DD395"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Pr>
                <w:rFonts w:asciiTheme="majorHAnsi" w:hAnsiTheme="majorHAnsi" w:cstheme="majorHAnsi"/>
                <w:sz w:val="20"/>
                <w:szCs w:val="20"/>
              </w:rPr>
              <w:t>0/</w:t>
            </w:r>
            <w:r>
              <w:rPr>
                <w:rFonts w:asciiTheme="majorHAnsi" w:hAnsiTheme="majorHAnsi" w:cstheme="majorHAnsi" w:hint="eastAsia"/>
                <w:sz w:val="20"/>
                <w:szCs w:val="20"/>
              </w:rPr>
              <w:t>1</w:t>
            </w:r>
          </w:p>
        </w:tc>
        <w:tc>
          <w:tcPr>
            <w:tcW w:w="2344" w:type="dxa"/>
            <w:vAlign w:val="center"/>
          </w:tcPr>
          <w:p w14:paraId="3F5AE587" w14:textId="77777777" w:rsidR="00CC4B5E" w:rsidRPr="00EA771F" w:rsidRDefault="00CC4B5E" w:rsidP="00636E4C">
            <w:pPr>
              <w:tabs>
                <w:tab w:val="center" w:pos="4252"/>
                <w:tab w:val="right" w:pos="8504"/>
              </w:tabs>
              <w:snapToGrid w:val="0"/>
              <w:jc w:val="center"/>
              <w:rPr>
                <w:rFonts w:asciiTheme="majorHAnsi" w:hAnsiTheme="majorHAnsi" w:cstheme="majorHAnsi"/>
                <w:sz w:val="20"/>
                <w:szCs w:val="20"/>
              </w:rPr>
            </w:pPr>
            <w:r w:rsidRPr="00C85352">
              <w:rPr>
                <w:rFonts w:asciiTheme="majorHAnsi" w:hAnsiTheme="majorHAnsi" w:cstheme="majorHAnsi"/>
                <w:sz w:val="20"/>
                <w:szCs w:val="20"/>
              </w:rPr>
              <w:t>Maximum diameter</w:t>
            </w:r>
            <w:r>
              <w:rPr>
                <w:rFonts w:asciiTheme="majorHAnsi" w:hAnsiTheme="majorHAnsi" w:cstheme="majorHAnsi"/>
                <w:sz w:val="20"/>
                <w:szCs w:val="20"/>
              </w:rPr>
              <w:t xml:space="preserve"> </w:t>
            </w:r>
          </w:p>
        </w:tc>
      </w:tr>
      <w:tr w:rsidR="00CC4B5E" w:rsidRPr="001672AC" w14:paraId="2E7D36AD" w14:textId="77777777" w:rsidTr="00636E4C">
        <w:trPr>
          <w:trHeight w:val="492"/>
        </w:trPr>
        <w:tc>
          <w:tcPr>
            <w:tcW w:w="3310" w:type="dxa"/>
            <w:shd w:val="clear" w:color="auto" w:fill="auto"/>
            <w:vAlign w:val="center"/>
          </w:tcPr>
          <w:p w14:paraId="1332456F" w14:textId="77777777" w:rsidR="00CC4B5E" w:rsidRPr="00D9672C" w:rsidRDefault="00CC4B5E" w:rsidP="00636E4C">
            <w:pPr>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Portal vein diameter</w:t>
            </w:r>
          </w:p>
        </w:tc>
        <w:tc>
          <w:tcPr>
            <w:tcW w:w="1618" w:type="dxa"/>
            <w:vAlign w:val="center"/>
          </w:tcPr>
          <w:p w14:paraId="0A9E6142"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12mm&gt;</w:t>
            </w:r>
          </w:p>
        </w:tc>
        <w:tc>
          <w:tcPr>
            <w:tcW w:w="1235" w:type="dxa"/>
            <w:vAlign w:val="center"/>
          </w:tcPr>
          <w:p w14:paraId="7905E1B6"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0/</w:t>
            </w:r>
            <w:r w:rsidRPr="00C85352">
              <w:rPr>
                <w:rFonts w:asciiTheme="majorHAnsi" w:hAnsiTheme="majorHAnsi" w:cstheme="majorHAnsi" w:hint="eastAsia"/>
                <w:sz w:val="20"/>
                <w:szCs w:val="20"/>
              </w:rPr>
              <w:t>1</w:t>
            </w:r>
          </w:p>
        </w:tc>
        <w:tc>
          <w:tcPr>
            <w:tcW w:w="2344" w:type="dxa"/>
            <w:vAlign w:val="center"/>
          </w:tcPr>
          <w:p w14:paraId="71B100EB" w14:textId="77777777" w:rsidR="00CC4B5E" w:rsidRPr="00EA771F" w:rsidRDefault="00CC4B5E" w:rsidP="00636E4C">
            <w:pPr>
              <w:tabs>
                <w:tab w:val="center" w:pos="4252"/>
                <w:tab w:val="right" w:pos="8504"/>
              </w:tabs>
              <w:snapToGrid w:val="0"/>
              <w:jc w:val="center"/>
              <w:rPr>
                <w:rFonts w:asciiTheme="majorHAnsi" w:hAnsiTheme="majorHAnsi" w:cstheme="majorHAnsi"/>
                <w:sz w:val="20"/>
                <w:szCs w:val="20"/>
                <w:u w:val="single"/>
              </w:rPr>
            </w:pPr>
            <w:r w:rsidRPr="00EA771F">
              <w:rPr>
                <w:rFonts w:asciiTheme="majorHAnsi" w:hAnsiTheme="majorHAnsi" w:cstheme="majorHAnsi"/>
                <w:sz w:val="20"/>
                <w:szCs w:val="20"/>
                <w:u w:val="single"/>
              </w:rPr>
              <w:t>Maximum diameter</w:t>
            </w:r>
          </w:p>
        </w:tc>
      </w:tr>
      <w:tr w:rsidR="00CC4B5E" w:rsidRPr="001672AC" w14:paraId="16DAF076" w14:textId="77777777" w:rsidTr="00636E4C">
        <w:trPr>
          <w:trHeight w:val="492"/>
        </w:trPr>
        <w:tc>
          <w:tcPr>
            <w:tcW w:w="3310" w:type="dxa"/>
            <w:shd w:val="clear" w:color="auto" w:fill="auto"/>
            <w:vAlign w:val="center"/>
          </w:tcPr>
          <w:p w14:paraId="14A755B4" w14:textId="77777777" w:rsidR="00CC4B5E" w:rsidRPr="00D9672C" w:rsidRDefault="00CC4B5E" w:rsidP="00636E4C">
            <w:pPr>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Direction of portal vein flow</w:t>
            </w:r>
          </w:p>
        </w:tc>
        <w:tc>
          <w:tcPr>
            <w:tcW w:w="1618" w:type="dxa"/>
            <w:vAlign w:val="center"/>
          </w:tcPr>
          <w:p w14:paraId="728F9F79"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0,1</w:t>
            </w:r>
          </w:p>
        </w:tc>
        <w:tc>
          <w:tcPr>
            <w:tcW w:w="1235" w:type="dxa"/>
            <w:vAlign w:val="center"/>
          </w:tcPr>
          <w:p w14:paraId="0AE5D0EF"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B919B9">
              <w:rPr>
                <w:rFonts w:asciiTheme="majorHAnsi" w:hAnsiTheme="majorHAnsi" w:cstheme="majorHAnsi"/>
                <w:sz w:val="20"/>
                <w:szCs w:val="20"/>
              </w:rPr>
              <w:t>0/</w:t>
            </w:r>
            <w:r w:rsidRPr="00B919B9">
              <w:rPr>
                <w:rFonts w:asciiTheme="majorHAnsi" w:hAnsiTheme="majorHAnsi" w:cstheme="majorHAnsi" w:hint="eastAsia"/>
                <w:sz w:val="20"/>
                <w:szCs w:val="20"/>
              </w:rPr>
              <w:t>1</w:t>
            </w:r>
          </w:p>
        </w:tc>
        <w:tc>
          <w:tcPr>
            <w:tcW w:w="2344" w:type="dxa"/>
            <w:vAlign w:val="center"/>
          </w:tcPr>
          <w:p w14:paraId="2D8D0A90" w14:textId="77777777" w:rsidR="00CC4B5E" w:rsidRPr="00EA771F" w:rsidRDefault="00CC4B5E" w:rsidP="00636E4C">
            <w:pPr>
              <w:tabs>
                <w:tab w:val="center" w:pos="4252"/>
                <w:tab w:val="right" w:pos="8504"/>
              </w:tabs>
              <w:snapToGrid w:val="0"/>
              <w:jc w:val="center"/>
              <w:rPr>
                <w:rFonts w:asciiTheme="majorHAnsi" w:hAnsiTheme="majorHAnsi" w:cstheme="majorHAnsi"/>
                <w:sz w:val="20"/>
                <w:szCs w:val="20"/>
                <w:u w:val="single"/>
              </w:rPr>
            </w:pPr>
            <w:r w:rsidRPr="00C85352">
              <w:rPr>
                <w:rFonts w:asciiTheme="majorHAnsi" w:hAnsiTheme="majorHAnsi" w:cstheme="majorHAnsi"/>
                <w:sz w:val="20"/>
                <w:szCs w:val="20"/>
              </w:rPr>
              <w:t>0: hepatopetal, 1: congestion</w:t>
            </w:r>
            <w:r>
              <w:rPr>
                <w:rFonts w:asciiTheme="majorHAnsi" w:hAnsiTheme="majorHAnsi" w:cstheme="majorHAnsi"/>
                <w:sz w:val="20"/>
                <w:szCs w:val="20"/>
              </w:rPr>
              <w:t xml:space="preserve"> or </w:t>
            </w:r>
            <w:r w:rsidRPr="00C85352">
              <w:rPr>
                <w:rFonts w:asciiTheme="majorHAnsi" w:hAnsiTheme="majorHAnsi" w:cstheme="majorHAnsi"/>
                <w:sz w:val="20"/>
                <w:szCs w:val="20"/>
              </w:rPr>
              <w:t>hepatofugal flow</w:t>
            </w:r>
          </w:p>
        </w:tc>
      </w:tr>
      <w:tr w:rsidR="00CC4B5E" w:rsidRPr="001672AC" w14:paraId="268FFFB0" w14:textId="77777777" w:rsidTr="00636E4C">
        <w:trPr>
          <w:trHeight w:val="492"/>
        </w:trPr>
        <w:tc>
          <w:tcPr>
            <w:tcW w:w="3310" w:type="dxa"/>
            <w:shd w:val="clear" w:color="auto" w:fill="auto"/>
            <w:vAlign w:val="center"/>
          </w:tcPr>
          <w:p w14:paraId="6847908B" w14:textId="77777777" w:rsidR="00CC4B5E" w:rsidRPr="00D9672C" w:rsidRDefault="00CC4B5E" w:rsidP="00636E4C">
            <w:pPr>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Portal vein mean velocity</w:t>
            </w:r>
          </w:p>
        </w:tc>
        <w:tc>
          <w:tcPr>
            <w:tcW w:w="1618" w:type="dxa"/>
            <w:vAlign w:val="center"/>
          </w:tcPr>
          <w:p w14:paraId="1C810EBF"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10cm/sec&lt;</w:t>
            </w:r>
          </w:p>
        </w:tc>
        <w:tc>
          <w:tcPr>
            <w:tcW w:w="1235" w:type="dxa"/>
            <w:vAlign w:val="center"/>
          </w:tcPr>
          <w:p w14:paraId="1E1F7E98"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B919B9">
              <w:rPr>
                <w:rFonts w:asciiTheme="majorHAnsi" w:hAnsiTheme="majorHAnsi" w:cstheme="majorHAnsi" w:hint="eastAsia"/>
                <w:sz w:val="20"/>
                <w:szCs w:val="20"/>
              </w:rPr>
              <w:t>0/1</w:t>
            </w:r>
          </w:p>
        </w:tc>
        <w:tc>
          <w:tcPr>
            <w:tcW w:w="2344" w:type="dxa"/>
            <w:vAlign w:val="center"/>
          </w:tcPr>
          <w:p w14:paraId="39485274" w14:textId="77777777" w:rsidR="00CC4B5E" w:rsidRPr="00EA771F" w:rsidRDefault="00CC4B5E" w:rsidP="00636E4C">
            <w:pPr>
              <w:tabs>
                <w:tab w:val="center" w:pos="4252"/>
                <w:tab w:val="right" w:pos="8504"/>
              </w:tabs>
              <w:snapToGrid w:val="0"/>
              <w:jc w:val="center"/>
              <w:rPr>
                <w:rFonts w:asciiTheme="majorHAnsi" w:hAnsiTheme="majorHAnsi" w:cstheme="majorHAnsi"/>
                <w:sz w:val="20"/>
                <w:szCs w:val="20"/>
                <w:u w:val="single"/>
              </w:rPr>
            </w:pPr>
            <w:r w:rsidRPr="00EA771F">
              <w:rPr>
                <w:rFonts w:asciiTheme="majorHAnsi" w:hAnsiTheme="majorHAnsi" w:cstheme="majorHAnsi"/>
                <w:sz w:val="20"/>
                <w:szCs w:val="20"/>
              </w:rPr>
              <w:t>Measured by pulse Doppler in main portal vein trunk</w:t>
            </w:r>
          </w:p>
        </w:tc>
      </w:tr>
      <w:tr w:rsidR="00CC4B5E" w:rsidRPr="001672AC" w14:paraId="4D684820" w14:textId="77777777" w:rsidTr="00636E4C">
        <w:trPr>
          <w:trHeight w:val="492"/>
        </w:trPr>
        <w:tc>
          <w:tcPr>
            <w:tcW w:w="3310" w:type="dxa"/>
            <w:shd w:val="clear" w:color="auto" w:fill="auto"/>
            <w:vAlign w:val="center"/>
          </w:tcPr>
          <w:p w14:paraId="7D50CAB7" w14:textId="77777777" w:rsidR="00CC4B5E" w:rsidRPr="00D9672C" w:rsidRDefault="00CC4B5E" w:rsidP="00636E4C">
            <w:pPr>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PUV diameter</w:t>
            </w:r>
          </w:p>
        </w:tc>
        <w:tc>
          <w:tcPr>
            <w:tcW w:w="1618" w:type="dxa"/>
            <w:vAlign w:val="center"/>
          </w:tcPr>
          <w:p w14:paraId="1F7DCF22"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2mm&gt;</w:t>
            </w:r>
          </w:p>
        </w:tc>
        <w:tc>
          <w:tcPr>
            <w:tcW w:w="1235" w:type="dxa"/>
            <w:vAlign w:val="center"/>
          </w:tcPr>
          <w:p w14:paraId="3880208C"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0/</w:t>
            </w:r>
            <w:r w:rsidRPr="00C85352">
              <w:rPr>
                <w:rFonts w:asciiTheme="majorHAnsi" w:hAnsiTheme="majorHAnsi" w:cstheme="majorHAnsi" w:hint="eastAsia"/>
                <w:sz w:val="20"/>
                <w:szCs w:val="20"/>
              </w:rPr>
              <w:t>1</w:t>
            </w:r>
          </w:p>
        </w:tc>
        <w:tc>
          <w:tcPr>
            <w:tcW w:w="2344" w:type="dxa"/>
            <w:vAlign w:val="center"/>
          </w:tcPr>
          <w:p w14:paraId="266D627E" w14:textId="77777777" w:rsidR="00CC4B5E" w:rsidRPr="00EA771F" w:rsidRDefault="00CC4B5E" w:rsidP="00636E4C">
            <w:pPr>
              <w:tabs>
                <w:tab w:val="center" w:pos="4252"/>
                <w:tab w:val="right" w:pos="8504"/>
              </w:tabs>
              <w:snapToGrid w:val="0"/>
              <w:jc w:val="center"/>
              <w:rPr>
                <w:rFonts w:asciiTheme="majorHAnsi" w:hAnsiTheme="majorHAnsi" w:cstheme="majorHAnsi"/>
                <w:sz w:val="20"/>
                <w:szCs w:val="20"/>
                <w:u w:val="single"/>
              </w:rPr>
            </w:pPr>
            <w:r w:rsidRPr="00EA771F">
              <w:rPr>
                <w:rFonts w:asciiTheme="majorHAnsi" w:hAnsiTheme="majorHAnsi" w:cstheme="majorHAnsi"/>
                <w:sz w:val="20"/>
                <w:szCs w:val="20"/>
                <w:u w:val="single"/>
              </w:rPr>
              <w:t>Maximum diameter</w:t>
            </w:r>
          </w:p>
        </w:tc>
      </w:tr>
      <w:tr w:rsidR="00CC4B5E" w:rsidRPr="001672AC" w14:paraId="0C8FB8A6" w14:textId="77777777" w:rsidTr="00636E4C">
        <w:trPr>
          <w:trHeight w:val="505"/>
        </w:trPr>
        <w:tc>
          <w:tcPr>
            <w:tcW w:w="3310" w:type="dxa"/>
            <w:shd w:val="clear" w:color="auto" w:fill="auto"/>
            <w:vAlign w:val="center"/>
          </w:tcPr>
          <w:p w14:paraId="34A3D0FD" w14:textId="77777777" w:rsidR="00CC4B5E" w:rsidRDefault="00CC4B5E" w:rsidP="00636E4C">
            <w:pPr>
              <w:jc w:val="center"/>
              <w:rPr>
                <w:rFonts w:asciiTheme="majorHAnsi" w:hAnsiTheme="majorHAnsi" w:cstheme="majorHAnsi"/>
                <w:sz w:val="20"/>
                <w:szCs w:val="20"/>
              </w:rPr>
            </w:pPr>
            <w:r w:rsidRPr="00D9672C">
              <w:rPr>
                <w:rFonts w:asciiTheme="majorHAnsi" w:hAnsiTheme="majorHAnsi" w:cstheme="majorHAnsi"/>
                <w:sz w:val="20"/>
                <w:szCs w:val="20"/>
              </w:rPr>
              <w:t>Appearance of</w:t>
            </w:r>
          </w:p>
          <w:p w14:paraId="0B9539D4" w14:textId="77777777" w:rsidR="00CC4B5E" w:rsidRPr="00D9672C" w:rsidRDefault="00CC4B5E" w:rsidP="00636E4C">
            <w:pPr>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PUV blood flow signal</w:t>
            </w:r>
          </w:p>
        </w:tc>
        <w:tc>
          <w:tcPr>
            <w:tcW w:w="1618" w:type="dxa"/>
            <w:vAlign w:val="center"/>
          </w:tcPr>
          <w:p w14:paraId="76D82B2A"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0,1</w:t>
            </w:r>
            <w:r>
              <w:rPr>
                <w:rFonts w:asciiTheme="majorHAnsi" w:hAnsiTheme="majorHAnsi" w:cstheme="majorHAnsi"/>
                <w:sz w:val="20"/>
                <w:szCs w:val="20"/>
              </w:rPr>
              <w:t>,2</w:t>
            </w:r>
          </w:p>
        </w:tc>
        <w:tc>
          <w:tcPr>
            <w:tcW w:w="1235" w:type="dxa"/>
            <w:vAlign w:val="center"/>
          </w:tcPr>
          <w:p w14:paraId="5DFCF074"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B919B9">
              <w:rPr>
                <w:rFonts w:asciiTheme="majorHAnsi" w:hAnsiTheme="majorHAnsi" w:cstheme="majorHAnsi" w:hint="eastAsia"/>
                <w:sz w:val="20"/>
                <w:szCs w:val="20"/>
              </w:rPr>
              <w:t>0/</w:t>
            </w:r>
            <w:r>
              <w:rPr>
                <w:rFonts w:asciiTheme="majorHAnsi" w:hAnsiTheme="majorHAnsi" w:cstheme="majorHAnsi"/>
                <w:sz w:val="20"/>
                <w:szCs w:val="20"/>
              </w:rPr>
              <w:t>2</w:t>
            </w:r>
          </w:p>
        </w:tc>
        <w:tc>
          <w:tcPr>
            <w:tcW w:w="2344" w:type="dxa"/>
            <w:vAlign w:val="center"/>
          </w:tcPr>
          <w:p w14:paraId="4BA17844" w14:textId="77777777" w:rsidR="00CC4B5E" w:rsidRPr="00C85352" w:rsidRDefault="00CC4B5E" w:rsidP="00636E4C">
            <w:pPr>
              <w:tabs>
                <w:tab w:val="center" w:pos="4252"/>
                <w:tab w:val="right" w:pos="8504"/>
              </w:tabs>
              <w:snapToGrid w:val="0"/>
              <w:jc w:val="center"/>
              <w:rPr>
                <w:rFonts w:asciiTheme="majorHAnsi" w:hAnsiTheme="majorHAnsi" w:cstheme="majorHAnsi"/>
                <w:sz w:val="20"/>
                <w:szCs w:val="20"/>
              </w:rPr>
            </w:pPr>
            <w:r w:rsidRPr="00C85352">
              <w:rPr>
                <w:rFonts w:asciiTheme="majorHAnsi" w:hAnsiTheme="majorHAnsi" w:cstheme="majorHAnsi"/>
                <w:sz w:val="20"/>
                <w:szCs w:val="20"/>
              </w:rPr>
              <w:t xml:space="preserve">0: none, </w:t>
            </w:r>
            <w:r>
              <w:rPr>
                <w:rFonts w:asciiTheme="majorHAnsi" w:hAnsiTheme="majorHAnsi" w:cstheme="majorHAnsi"/>
                <w:sz w:val="20"/>
                <w:szCs w:val="20"/>
              </w:rPr>
              <w:t>2</w:t>
            </w:r>
            <w:r w:rsidRPr="00C85352">
              <w:rPr>
                <w:rFonts w:asciiTheme="majorHAnsi" w:hAnsiTheme="majorHAnsi" w:cstheme="majorHAnsi"/>
                <w:sz w:val="20"/>
                <w:szCs w:val="20"/>
              </w:rPr>
              <w:t>: appearance</w:t>
            </w:r>
            <w:r w:rsidRPr="00EA771F">
              <w:rPr>
                <w:rFonts w:asciiTheme="majorHAnsi" w:hAnsiTheme="majorHAnsi" w:cstheme="majorHAnsi"/>
                <w:sz w:val="20"/>
                <w:szCs w:val="20"/>
              </w:rPr>
              <w:t xml:space="preserve"> is cknowledged by color Doppler</w:t>
            </w:r>
          </w:p>
        </w:tc>
      </w:tr>
      <w:tr w:rsidR="00CC4B5E" w:rsidRPr="00C85352" w14:paraId="2EBC694E" w14:textId="77777777" w:rsidTr="00636E4C">
        <w:trPr>
          <w:trHeight w:val="492"/>
        </w:trPr>
        <w:tc>
          <w:tcPr>
            <w:tcW w:w="3310" w:type="dxa"/>
            <w:shd w:val="clear" w:color="auto" w:fill="auto"/>
            <w:vAlign w:val="center"/>
          </w:tcPr>
          <w:p w14:paraId="00AB7A05" w14:textId="77777777" w:rsidR="00CC4B5E" w:rsidRPr="00D9672C" w:rsidRDefault="00CC4B5E" w:rsidP="00636E4C">
            <w:pPr>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Gall bladder wall thick</w:t>
            </w:r>
            <w:r>
              <w:rPr>
                <w:rFonts w:asciiTheme="majorHAnsi" w:hAnsiTheme="majorHAnsi" w:cstheme="majorHAnsi"/>
                <w:sz w:val="20"/>
                <w:szCs w:val="20"/>
              </w:rPr>
              <w:t>e</w:t>
            </w:r>
            <w:r w:rsidRPr="00D9672C">
              <w:rPr>
                <w:rFonts w:asciiTheme="majorHAnsi" w:hAnsiTheme="majorHAnsi" w:cstheme="majorHAnsi"/>
                <w:sz w:val="20"/>
                <w:szCs w:val="20"/>
              </w:rPr>
              <w:t>n</w:t>
            </w:r>
            <w:r>
              <w:rPr>
                <w:rFonts w:asciiTheme="majorHAnsi" w:hAnsiTheme="majorHAnsi" w:cstheme="majorHAnsi"/>
                <w:sz w:val="20"/>
                <w:szCs w:val="20"/>
              </w:rPr>
              <w:t>ing</w:t>
            </w:r>
          </w:p>
        </w:tc>
        <w:tc>
          <w:tcPr>
            <w:tcW w:w="1618" w:type="dxa"/>
            <w:vAlign w:val="center"/>
          </w:tcPr>
          <w:p w14:paraId="4D74D0C1" w14:textId="77777777" w:rsidR="00CC4B5E" w:rsidRPr="00D9672C"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6mm&gt;</w:t>
            </w:r>
          </w:p>
        </w:tc>
        <w:tc>
          <w:tcPr>
            <w:tcW w:w="1235" w:type="dxa"/>
            <w:vAlign w:val="center"/>
          </w:tcPr>
          <w:p w14:paraId="15796C23" w14:textId="77777777" w:rsidR="00CC4B5E" w:rsidRPr="00B919B9"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0/</w:t>
            </w:r>
            <w:r w:rsidRPr="00C85352">
              <w:rPr>
                <w:rFonts w:asciiTheme="majorHAnsi" w:hAnsiTheme="majorHAnsi" w:cstheme="majorHAnsi" w:hint="eastAsia"/>
                <w:sz w:val="20"/>
                <w:szCs w:val="20"/>
              </w:rPr>
              <w:t>1</w:t>
            </w:r>
          </w:p>
        </w:tc>
        <w:tc>
          <w:tcPr>
            <w:tcW w:w="2344" w:type="dxa"/>
            <w:vAlign w:val="center"/>
          </w:tcPr>
          <w:p w14:paraId="6E36287E" w14:textId="77777777" w:rsidR="00CC4B5E" w:rsidRPr="00C85352" w:rsidRDefault="00CC4B5E" w:rsidP="00636E4C">
            <w:pPr>
              <w:tabs>
                <w:tab w:val="center" w:pos="4252"/>
                <w:tab w:val="right" w:pos="8504"/>
              </w:tabs>
              <w:snapToGrid w:val="0"/>
              <w:jc w:val="center"/>
              <w:rPr>
                <w:rFonts w:asciiTheme="majorHAnsi" w:hAnsiTheme="majorHAnsi" w:cstheme="majorHAnsi"/>
                <w:sz w:val="20"/>
                <w:szCs w:val="20"/>
              </w:rPr>
            </w:pPr>
            <w:r w:rsidRPr="00EA771F">
              <w:rPr>
                <w:rFonts w:asciiTheme="majorHAnsi" w:hAnsiTheme="majorHAnsi" w:cstheme="majorHAnsi"/>
                <w:sz w:val="20"/>
                <w:szCs w:val="20"/>
                <w:u w:val="single"/>
              </w:rPr>
              <w:t>Maximum wall thickness</w:t>
            </w:r>
          </w:p>
        </w:tc>
      </w:tr>
      <w:tr w:rsidR="00CC4B5E" w:rsidRPr="001672AC" w14:paraId="0332FE09" w14:textId="77777777" w:rsidTr="00636E4C">
        <w:trPr>
          <w:trHeight w:val="505"/>
        </w:trPr>
        <w:tc>
          <w:tcPr>
            <w:tcW w:w="3310" w:type="dxa"/>
            <w:shd w:val="clear" w:color="auto" w:fill="auto"/>
            <w:vAlign w:val="center"/>
          </w:tcPr>
          <w:p w14:paraId="0D208ECF" w14:textId="77777777" w:rsidR="00CC4B5E" w:rsidRPr="00D9672C" w:rsidRDefault="00CC4B5E" w:rsidP="00636E4C">
            <w:pPr>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Amount of ascites</w:t>
            </w:r>
          </w:p>
        </w:tc>
        <w:tc>
          <w:tcPr>
            <w:tcW w:w="1618" w:type="dxa"/>
            <w:vAlign w:val="center"/>
          </w:tcPr>
          <w:p w14:paraId="35135AE4"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0,1,2</w:t>
            </w:r>
          </w:p>
        </w:tc>
        <w:tc>
          <w:tcPr>
            <w:tcW w:w="1235" w:type="dxa"/>
            <w:vAlign w:val="center"/>
          </w:tcPr>
          <w:p w14:paraId="42929F71"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0/</w:t>
            </w:r>
            <w:r w:rsidRPr="00C85352">
              <w:rPr>
                <w:rFonts w:asciiTheme="majorHAnsi" w:hAnsiTheme="majorHAnsi" w:cstheme="majorHAnsi" w:hint="eastAsia"/>
                <w:sz w:val="20"/>
                <w:szCs w:val="20"/>
              </w:rPr>
              <w:t>1</w:t>
            </w:r>
            <w:r w:rsidRPr="00C85352">
              <w:rPr>
                <w:rFonts w:asciiTheme="majorHAnsi" w:hAnsiTheme="majorHAnsi" w:cstheme="majorHAnsi"/>
                <w:sz w:val="20"/>
                <w:szCs w:val="20"/>
              </w:rPr>
              <w:t>/2</w:t>
            </w:r>
          </w:p>
        </w:tc>
        <w:tc>
          <w:tcPr>
            <w:tcW w:w="2344" w:type="dxa"/>
            <w:vAlign w:val="center"/>
          </w:tcPr>
          <w:p w14:paraId="0DFB77E3" w14:textId="77777777" w:rsidR="00CC4B5E" w:rsidRPr="00EA771F" w:rsidRDefault="00CC4B5E" w:rsidP="00636E4C">
            <w:pPr>
              <w:tabs>
                <w:tab w:val="center" w:pos="4252"/>
                <w:tab w:val="right" w:pos="8504"/>
              </w:tabs>
              <w:snapToGrid w:val="0"/>
              <w:jc w:val="center"/>
              <w:rPr>
                <w:rFonts w:asciiTheme="majorHAnsi" w:hAnsiTheme="majorHAnsi" w:cstheme="majorHAnsi"/>
                <w:sz w:val="20"/>
                <w:szCs w:val="20"/>
                <w:u w:val="single"/>
              </w:rPr>
            </w:pPr>
            <w:r w:rsidRPr="00C85352">
              <w:rPr>
                <w:rFonts w:asciiTheme="majorHAnsi" w:hAnsiTheme="majorHAnsi" w:cstheme="majorHAnsi"/>
                <w:sz w:val="20"/>
                <w:szCs w:val="20"/>
              </w:rPr>
              <w:t>0: none, 1: a little, 2: more than moderate amount</w:t>
            </w:r>
          </w:p>
        </w:tc>
      </w:tr>
      <w:tr w:rsidR="00CC4B5E" w:rsidRPr="001672AC" w14:paraId="284D84B5" w14:textId="77777777" w:rsidTr="00636E4C">
        <w:trPr>
          <w:trHeight w:val="283"/>
        </w:trPr>
        <w:tc>
          <w:tcPr>
            <w:tcW w:w="3310" w:type="dxa"/>
            <w:vMerge w:val="restart"/>
            <w:shd w:val="clear" w:color="auto" w:fill="auto"/>
            <w:vAlign w:val="center"/>
          </w:tcPr>
          <w:p w14:paraId="56484615" w14:textId="77777777" w:rsidR="00CC4B5E" w:rsidRPr="00D9672C" w:rsidRDefault="00CC4B5E" w:rsidP="00636E4C">
            <w:pPr>
              <w:spacing w:line="360" w:lineRule="auto"/>
              <w:jc w:val="center"/>
              <w:rPr>
                <w:rFonts w:asciiTheme="majorHAnsi" w:hAnsiTheme="majorHAnsi" w:cstheme="majorHAnsi"/>
                <w:sz w:val="20"/>
                <w:szCs w:val="20"/>
              </w:rPr>
            </w:pPr>
            <w:r>
              <w:rPr>
                <w:rFonts w:asciiTheme="majorHAnsi" w:hAnsiTheme="majorHAnsi" w:cstheme="majorHAnsi"/>
                <w:sz w:val="20"/>
                <w:szCs w:val="20"/>
              </w:rPr>
              <w:t>H</w:t>
            </w:r>
            <w:r w:rsidRPr="00D9672C">
              <w:rPr>
                <w:rFonts w:asciiTheme="majorHAnsi" w:hAnsiTheme="majorHAnsi" w:cstheme="majorHAnsi"/>
                <w:sz w:val="20"/>
                <w:szCs w:val="20"/>
              </w:rPr>
              <w:t>e</w:t>
            </w:r>
            <w:r>
              <w:rPr>
                <w:rFonts w:asciiTheme="majorHAnsi" w:hAnsiTheme="majorHAnsi" w:cstheme="majorHAnsi"/>
                <w:sz w:val="20"/>
                <w:szCs w:val="20"/>
              </w:rPr>
              <w:t>p</w:t>
            </w:r>
            <w:r w:rsidRPr="00D9672C">
              <w:rPr>
                <w:rFonts w:asciiTheme="majorHAnsi" w:hAnsiTheme="majorHAnsi" w:cstheme="majorHAnsi"/>
                <w:sz w:val="20"/>
                <w:szCs w:val="20"/>
              </w:rPr>
              <w:t>atic vein diameter</w:t>
            </w:r>
          </w:p>
        </w:tc>
        <w:tc>
          <w:tcPr>
            <w:tcW w:w="1618" w:type="dxa"/>
            <w:vAlign w:val="center"/>
          </w:tcPr>
          <w:p w14:paraId="2DB570EB"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Left 3mm&gt;</w:t>
            </w:r>
          </w:p>
        </w:tc>
        <w:tc>
          <w:tcPr>
            <w:tcW w:w="1235" w:type="dxa"/>
            <w:vAlign w:val="center"/>
          </w:tcPr>
          <w:p w14:paraId="24B9B752"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hint="eastAsia"/>
                <w:sz w:val="20"/>
                <w:szCs w:val="20"/>
              </w:rPr>
              <w:t>0/1</w:t>
            </w:r>
          </w:p>
        </w:tc>
        <w:tc>
          <w:tcPr>
            <w:tcW w:w="2344" w:type="dxa"/>
            <w:vMerge w:val="restart"/>
            <w:vAlign w:val="center"/>
          </w:tcPr>
          <w:p w14:paraId="03BA975D" w14:textId="77777777" w:rsidR="00CC4B5E" w:rsidRPr="00EA771F" w:rsidRDefault="00CC4B5E" w:rsidP="00636E4C">
            <w:pPr>
              <w:tabs>
                <w:tab w:val="center" w:pos="4252"/>
                <w:tab w:val="right" w:pos="8504"/>
              </w:tabs>
              <w:snapToGrid w:val="0"/>
              <w:jc w:val="center"/>
              <w:rPr>
                <w:rFonts w:asciiTheme="majorHAnsi" w:hAnsiTheme="majorHAnsi" w:cstheme="majorHAnsi"/>
                <w:sz w:val="20"/>
                <w:szCs w:val="20"/>
              </w:rPr>
            </w:pPr>
            <w:r w:rsidRPr="00C85352">
              <w:rPr>
                <w:rFonts w:asciiTheme="majorHAnsi" w:hAnsiTheme="majorHAnsi" w:cstheme="majorHAnsi"/>
                <w:sz w:val="20"/>
                <w:szCs w:val="20"/>
              </w:rPr>
              <w:t>Diameter measured 2 cm from the inferior vena cava</w:t>
            </w:r>
          </w:p>
        </w:tc>
      </w:tr>
      <w:tr w:rsidR="00CC4B5E" w:rsidRPr="001672AC" w14:paraId="3CB78710" w14:textId="77777777" w:rsidTr="00636E4C">
        <w:trPr>
          <w:trHeight w:val="347"/>
        </w:trPr>
        <w:tc>
          <w:tcPr>
            <w:tcW w:w="3310" w:type="dxa"/>
            <w:vMerge/>
            <w:shd w:val="clear" w:color="auto" w:fill="auto"/>
            <w:vAlign w:val="center"/>
          </w:tcPr>
          <w:p w14:paraId="40E8D6E4" w14:textId="77777777" w:rsidR="00CC4B5E" w:rsidRPr="00D9672C" w:rsidRDefault="00CC4B5E" w:rsidP="00636E4C">
            <w:pPr>
              <w:spacing w:line="360" w:lineRule="auto"/>
              <w:jc w:val="center"/>
              <w:rPr>
                <w:rFonts w:asciiTheme="majorHAnsi" w:hAnsiTheme="majorHAnsi" w:cstheme="majorHAnsi"/>
                <w:sz w:val="20"/>
                <w:szCs w:val="20"/>
              </w:rPr>
            </w:pPr>
          </w:p>
        </w:tc>
        <w:tc>
          <w:tcPr>
            <w:tcW w:w="1618" w:type="dxa"/>
            <w:vAlign w:val="center"/>
          </w:tcPr>
          <w:p w14:paraId="3F88B914"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Middle 3mm&gt;</w:t>
            </w:r>
          </w:p>
        </w:tc>
        <w:tc>
          <w:tcPr>
            <w:tcW w:w="1235" w:type="dxa"/>
            <w:vAlign w:val="center"/>
          </w:tcPr>
          <w:p w14:paraId="7B30FC58" w14:textId="77777777" w:rsidR="00CC4B5E" w:rsidRPr="00EA771F"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B919B9">
              <w:rPr>
                <w:rFonts w:asciiTheme="majorHAnsi" w:hAnsiTheme="majorHAnsi" w:cstheme="majorHAnsi" w:hint="eastAsia"/>
                <w:sz w:val="20"/>
                <w:szCs w:val="20"/>
              </w:rPr>
              <w:t>0/1</w:t>
            </w:r>
          </w:p>
        </w:tc>
        <w:tc>
          <w:tcPr>
            <w:tcW w:w="2344" w:type="dxa"/>
            <w:vMerge/>
            <w:vAlign w:val="center"/>
          </w:tcPr>
          <w:p w14:paraId="214DB222" w14:textId="77777777" w:rsidR="00CC4B5E" w:rsidRPr="00EA771F"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p>
        </w:tc>
      </w:tr>
      <w:tr w:rsidR="00CC4B5E" w:rsidRPr="001672AC" w14:paraId="43B3D6C0" w14:textId="77777777" w:rsidTr="00636E4C">
        <w:trPr>
          <w:trHeight w:val="269"/>
        </w:trPr>
        <w:tc>
          <w:tcPr>
            <w:tcW w:w="3310" w:type="dxa"/>
            <w:vMerge/>
            <w:shd w:val="clear" w:color="auto" w:fill="auto"/>
            <w:vAlign w:val="center"/>
          </w:tcPr>
          <w:p w14:paraId="67C539F1" w14:textId="77777777" w:rsidR="00CC4B5E" w:rsidRPr="00D9672C" w:rsidRDefault="00CC4B5E" w:rsidP="00636E4C">
            <w:pPr>
              <w:spacing w:line="360" w:lineRule="auto"/>
              <w:jc w:val="center"/>
              <w:rPr>
                <w:rFonts w:asciiTheme="majorHAnsi" w:hAnsiTheme="majorHAnsi" w:cstheme="majorHAnsi"/>
                <w:sz w:val="20"/>
                <w:szCs w:val="20"/>
              </w:rPr>
            </w:pPr>
          </w:p>
        </w:tc>
        <w:tc>
          <w:tcPr>
            <w:tcW w:w="1618" w:type="dxa"/>
            <w:vAlign w:val="center"/>
          </w:tcPr>
          <w:p w14:paraId="144CB72F" w14:textId="77777777" w:rsidR="00CC4B5E" w:rsidRPr="00C85352"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C85352">
              <w:rPr>
                <w:rFonts w:asciiTheme="majorHAnsi" w:hAnsiTheme="majorHAnsi" w:cstheme="majorHAnsi"/>
                <w:sz w:val="20"/>
                <w:szCs w:val="20"/>
              </w:rPr>
              <w:t>Right 3mm&gt;</w:t>
            </w:r>
          </w:p>
        </w:tc>
        <w:tc>
          <w:tcPr>
            <w:tcW w:w="1235" w:type="dxa"/>
            <w:vAlign w:val="center"/>
          </w:tcPr>
          <w:p w14:paraId="5E1C3760" w14:textId="77777777" w:rsidR="00CC4B5E" w:rsidRPr="00EA771F"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B919B9">
              <w:rPr>
                <w:rFonts w:asciiTheme="majorHAnsi" w:hAnsiTheme="majorHAnsi" w:cstheme="majorHAnsi" w:hint="eastAsia"/>
                <w:sz w:val="20"/>
                <w:szCs w:val="20"/>
              </w:rPr>
              <w:t>0/1</w:t>
            </w:r>
          </w:p>
        </w:tc>
        <w:tc>
          <w:tcPr>
            <w:tcW w:w="2344" w:type="dxa"/>
            <w:vMerge/>
            <w:vAlign w:val="center"/>
          </w:tcPr>
          <w:p w14:paraId="7B854BA4" w14:textId="77777777" w:rsidR="00CC4B5E" w:rsidRPr="00EA771F"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p>
        </w:tc>
      </w:tr>
      <w:tr w:rsidR="00CC4B5E" w:rsidRPr="001672AC" w14:paraId="22BCD234" w14:textId="77777777" w:rsidTr="00636E4C">
        <w:trPr>
          <w:trHeight w:val="386"/>
        </w:trPr>
        <w:tc>
          <w:tcPr>
            <w:tcW w:w="3310" w:type="dxa"/>
            <w:vMerge w:val="restart"/>
            <w:shd w:val="clear" w:color="auto" w:fill="auto"/>
            <w:vAlign w:val="center"/>
          </w:tcPr>
          <w:p w14:paraId="65426D79" w14:textId="77777777" w:rsidR="00CC4B5E" w:rsidRPr="00D9672C" w:rsidRDefault="00CC4B5E" w:rsidP="00636E4C">
            <w:pPr>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Hepatic vein wave form</w:t>
            </w:r>
          </w:p>
        </w:tc>
        <w:tc>
          <w:tcPr>
            <w:tcW w:w="1618" w:type="dxa"/>
            <w:vAlign w:val="center"/>
          </w:tcPr>
          <w:p w14:paraId="406EA01C" w14:textId="77777777" w:rsidR="00CC4B5E" w:rsidRPr="00D9672C" w:rsidRDefault="00CC4B5E" w:rsidP="00636E4C">
            <w:pPr>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Left 0,1</w:t>
            </w:r>
          </w:p>
        </w:tc>
        <w:tc>
          <w:tcPr>
            <w:tcW w:w="1235" w:type="dxa"/>
            <w:vAlign w:val="center"/>
          </w:tcPr>
          <w:p w14:paraId="6F013440" w14:textId="77777777" w:rsidR="00CC4B5E" w:rsidRPr="00C85352" w:rsidRDefault="00CC4B5E" w:rsidP="00636E4C">
            <w:pPr>
              <w:spacing w:line="360" w:lineRule="auto"/>
              <w:jc w:val="center"/>
              <w:rPr>
                <w:rFonts w:asciiTheme="majorHAnsi" w:hAnsiTheme="majorHAnsi" w:cstheme="majorHAnsi"/>
                <w:sz w:val="20"/>
                <w:szCs w:val="20"/>
              </w:rPr>
            </w:pPr>
            <w:r w:rsidRPr="00B919B9">
              <w:rPr>
                <w:rFonts w:asciiTheme="majorHAnsi" w:hAnsiTheme="majorHAnsi" w:cstheme="majorHAnsi"/>
                <w:sz w:val="20"/>
                <w:szCs w:val="20"/>
              </w:rPr>
              <w:t>0/</w:t>
            </w:r>
            <w:r>
              <w:rPr>
                <w:rFonts w:asciiTheme="majorHAnsi" w:hAnsiTheme="majorHAnsi" w:cstheme="majorHAnsi"/>
                <w:sz w:val="20"/>
                <w:szCs w:val="20"/>
              </w:rPr>
              <w:t>1</w:t>
            </w:r>
          </w:p>
        </w:tc>
        <w:tc>
          <w:tcPr>
            <w:tcW w:w="2344" w:type="dxa"/>
            <w:vMerge w:val="restart"/>
            <w:vAlign w:val="center"/>
          </w:tcPr>
          <w:p w14:paraId="1C3E728A" w14:textId="77777777" w:rsidR="00CC4B5E" w:rsidRPr="00C15F10" w:rsidRDefault="00CC4B5E" w:rsidP="00636E4C">
            <w:pPr>
              <w:snapToGrid w:val="0"/>
              <w:jc w:val="center"/>
              <w:rPr>
                <w:rFonts w:asciiTheme="majorHAnsi" w:hAnsiTheme="majorHAnsi" w:cstheme="majorHAnsi"/>
                <w:sz w:val="20"/>
                <w:szCs w:val="20"/>
              </w:rPr>
            </w:pPr>
            <w:r w:rsidRPr="00C15F10">
              <w:rPr>
                <w:rFonts w:asciiTheme="majorHAnsi" w:hAnsiTheme="majorHAnsi" w:cstheme="majorHAnsi"/>
                <w:sz w:val="20"/>
                <w:szCs w:val="20"/>
              </w:rPr>
              <w:t>Measured 2 cm from the inferior vena cava by pulse Doppler, 0: triphasic, 1: biphasic or monophasic flow</w:t>
            </w:r>
          </w:p>
        </w:tc>
      </w:tr>
      <w:tr w:rsidR="00CC4B5E" w:rsidRPr="001672AC" w14:paraId="0EDA0432" w14:textId="77777777" w:rsidTr="00636E4C">
        <w:trPr>
          <w:trHeight w:val="492"/>
        </w:trPr>
        <w:tc>
          <w:tcPr>
            <w:tcW w:w="3310" w:type="dxa"/>
            <w:vMerge/>
            <w:shd w:val="clear" w:color="auto" w:fill="auto"/>
            <w:vAlign w:val="center"/>
          </w:tcPr>
          <w:p w14:paraId="40D8E5F7" w14:textId="77777777" w:rsidR="00CC4B5E" w:rsidRPr="00D9672C" w:rsidRDefault="00CC4B5E" w:rsidP="00636E4C">
            <w:pPr>
              <w:spacing w:line="360" w:lineRule="auto"/>
              <w:jc w:val="center"/>
              <w:rPr>
                <w:rFonts w:asciiTheme="majorHAnsi" w:hAnsiTheme="majorHAnsi" w:cstheme="majorHAnsi"/>
                <w:sz w:val="20"/>
                <w:szCs w:val="20"/>
              </w:rPr>
            </w:pPr>
          </w:p>
        </w:tc>
        <w:tc>
          <w:tcPr>
            <w:tcW w:w="1618" w:type="dxa"/>
            <w:vAlign w:val="center"/>
          </w:tcPr>
          <w:p w14:paraId="5BFAFCBC" w14:textId="77777777" w:rsidR="00CC4B5E" w:rsidRPr="00D9672C"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Middle 0,1</w:t>
            </w:r>
          </w:p>
        </w:tc>
        <w:tc>
          <w:tcPr>
            <w:tcW w:w="1235" w:type="dxa"/>
            <w:vAlign w:val="center"/>
          </w:tcPr>
          <w:p w14:paraId="46BEA77E" w14:textId="77777777" w:rsidR="00CC4B5E" w:rsidRPr="00D9672C"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B919B9">
              <w:rPr>
                <w:rFonts w:asciiTheme="majorHAnsi" w:hAnsiTheme="majorHAnsi" w:cstheme="majorHAnsi"/>
                <w:sz w:val="20"/>
                <w:szCs w:val="20"/>
              </w:rPr>
              <w:t>0/</w:t>
            </w:r>
            <w:r>
              <w:rPr>
                <w:rFonts w:asciiTheme="majorHAnsi" w:hAnsiTheme="majorHAnsi" w:cstheme="majorHAnsi"/>
                <w:sz w:val="20"/>
                <w:szCs w:val="20"/>
              </w:rPr>
              <w:t>1</w:t>
            </w:r>
          </w:p>
        </w:tc>
        <w:tc>
          <w:tcPr>
            <w:tcW w:w="2344" w:type="dxa"/>
            <w:vMerge/>
            <w:vAlign w:val="center"/>
          </w:tcPr>
          <w:p w14:paraId="1B2C5588" w14:textId="77777777" w:rsidR="00CC4B5E" w:rsidRPr="00D9672C"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p>
        </w:tc>
      </w:tr>
      <w:tr w:rsidR="00CC4B5E" w:rsidRPr="001672AC" w14:paraId="339E7A5D" w14:textId="77777777" w:rsidTr="00636E4C">
        <w:trPr>
          <w:trHeight w:val="274"/>
        </w:trPr>
        <w:tc>
          <w:tcPr>
            <w:tcW w:w="3310" w:type="dxa"/>
            <w:vMerge/>
            <w:shd w:val="clear" w:color="auto" w:fill="auto"/>
            <w:vAlign w:val="center"/>
          </w:tcPr>
          <w:p w14:paraId="5CDFB812" w14:textId="77777777" w:rsidR="00CC4B5E" w:rsidRPr="00D9672C" w:rsidRDefault="00CC4B5E" w:rsidP="00636E4C">
            <w:pPr>
              <w:spacing w:line="360" w:lineRule="auto"/>
              <w:jc w:val="center"/>
              <w:rPr>
                <w:rFonts w:asciiTheme="majorHAnsi" w:hAnsiTheme="majorHAnsi" w:cstheme="majorHAnsi"/>
                <w:sz w:val="20"/>
                <w:szCs w:val="20"/>
              </w:rPr>
            </w:pPr>
          </w:p>
        </w:tc>
        <w:tc>
          <w:tcPr>
            <w:tcW w:w="1618" w:type="dxa"/>
            <w:vAlign w:val="center"/>
          </w:tcPr>
          <w:p w14:paraId="0DA57670" w14:textId="77777777" w:rsidR="00CC4B5E" w:rsidRPr="00D9672C"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D9672C">
              <w:rPr>
                <w:rFonts w:asciiTheme="majorHAnsi" w:hAnsiTheme="majorHAnsi" w:cstheme="majorHAnsi"/>
                <w:sz w:val="20"/>
                <w:szCs w:val="20"/>
              </w:rPr>
              <w:t>Right 0,1</w:t>
            </w:r>
          </w:p>
        </w:tc>
        <w:tc>
          <w:tcPr>
            <w:tcW w:w="1235" w:type="dxa"/>
            <w:vAlign w:val="center"/>
          </w:tcPr>
          <w:p w14:paraId="1FBD6FBF" w14:textId="77777777" w:rsidR="00CC4B5E" w:rsidRPr="00D9672C"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r w:rsidRPr="00B919B9">
              <w:rPr>
                <w:rFonts w:asciiTheme="majorHAnsi" w:hAnsiTheme="majorHAnsi" w:cstheme="majorHAnsi"/>
                <w:sz w:val="20"/>
                <w:szCs w:val="20"/>
              </w:rPr>
              <w:t>0/</w:t>
            </w:r>
            <w:r>
              <w:rPr>
                <w:rFonts w:asciiTheme="majorHAnsi" w:hAnsiTheme="majorHAnsi" w:cstheme="majorHAnsi"/>
                <w:sz w:val="20"/>
                <w:szCs w:val="20"/>
              </w:rPr>
              <w:t>1</w:t>
            </w:r>
          </w:p>
        </w:tc>
        <w:tc>
          <w:tcPr>
            <w:tcW w:w="2344" w:type="dxa"/>
            <w:vMerge/>
            <w:vAlign w:val="center"/>
          </w:tcPr>
          <w:p w14:paraId="4174A9AF" w14:textId="77777777" w:rsidR="00CC4B5E" w:rsidRPr="00D9672C" w:rsidRDefault="00CC4B5E" w:rsidP="00636E4C">
            <w:pPr>
              <w:tabs>
                <w:tab w:val="center" w:pos="4252"/>
                <w:tab w:val="right" w:pos="8504"/>
              </w:tabs>
              <w:snapToGrid w:val="0"/>
              <w:spacing w:line="360" w:lineRule="auto"/>
              <w:jc w:val="center"/>
              <w:rPr>
                <w:rFonts w:asciiTheme="majorHAnsi" w:hAnsiTheme="majorHAnsi" w:cstheme="majorHAnsi"/>
                <w:sz w:val="20"/>
                <w:szCs w:val="20"/>
              </w:rPr>
            </w:pPr>
          </w:p>
        </w:tc>
      </w:tr>
      <w:tr w:rsidR="00CC4B5E" w:rsidRPr="001672AC" w14:paraId="23F3D273" w14:textId="77777777" w:rsidTr="00636E4C">
        <w:trPr>
          <w:trHeight w:val="492"/>
        </w:trPr>
        <w:tc>
          <w:tcPr>
            <w:tcW w:w="3310" w:type="dxa"/>
            <w:tcBorders>
              <w:bottom w:val="single" w:sz="18" w:space="0" w:color="auto"/>
            </w:tcBorders>
            <w:shd w:val="clear" w:color="auto" w:fill="auto"/>
            <w:vAlign w:val="center"/>
          </w:tcPr>
          <w:p w14:paraId="61C908D1" w14:textId="77777777" w:rsidR="00CC4B5E" w:rsidRPr="00B919B9" w:rsidRDefault="00CC4B5E" w:rsidP="00636E4C">
            <w:pPr>
              <w:tabs>
                <w:tab w:val="center" w:pos="4252"/>
                <w:tab w:val="right" w:pos="8504"/>
              </w:tabs>
              <w:snapToGrid w:val="0"/>
              <w:spacing w:line="360" w:lineRule="auto"/>
              <w:jc w:val="center"/>
              <w:rPr>
                <w:rFonts w:asciiTheme="majorHAnsi" w:hAnsiTheme="majorHAnsi" w:cstheme="majorHAnsi"/>
                <w:i/>
                <w:sz w:val="20"/>
                <w:szCs w:val="20"/>
              </w:rPr>
            </w:pPr>
            <w:r w:rsidRPr="00D9672C">
              <w:rPr>
                <w:rFonts w:asciiTheme="majorHAnsi" w:hAnsiTheme="majorHAnsi" w:cstheme="majorHAnsi"/>
                <w:sz w:val="20"/>
                <w:szCs w:val="20"/>
              </w:rPr>
              <w:t>Hepatic artery resistive index</w:t>
            </w:r>
            <w:r w:rsidRPr="00D9672C">
              <w:rPr>
                <w:rFonts w:asciiTheme="majorHAnsi" w:hAnsiTheme="majorHAnsi" w:cstheme="majorHAnsi"/>
                <w:sz w:val="20"/>
                <w:szCs w:val="20"/>
                <w:vertAlign w:val="superscript"/>
              </w:rPr>
              <w:t>d</w:t>
            </w:r>
          </w:p>
        </w:tc>
        <w:tc>
          <w:tcPr>
            <w:tcW w:w="1618" w:type="dxa"/>
            <w:tcBorders>
              <w:bottom w:val="single" w:sz="18" w:space="0" w:color="auto"/>
            </w:tcBorders>
            <w:shd w:val="clear" w:color="auto" w:fill="auto"/>
            <w:vAlign w:val="center"/>
          </w:tcPr>
          <w:p w14:paraId="78641B41" w14:textId="77777777" w:rsidR="00CC4B5E" w:rsidRPr="00B919B9" w:rsidRDefault="00CC4B5E" w:rsidP="00636E4C">
            <w:pPr>
              <w:tabs>
                <w:tab w:val="center" w:pos="4252"/>
                <w:tab w:val="right" w:pos="8504"/>
              </w:tabs>
              <w:snapToGrid w:val="0"/>
              <w:spacing w:line="360" w:lineRule="auto"/>
              <w:jc w:val="center"/>
              <w:rPr>
                <w:rFonts w:asciiTheme="majorHAnsi" w:hAnsiTheme="majorHAnsi" w:cstheme="majorHAnsi"/>
                <w:i/>
                <w:sz w:val="20"/>
                <w:szCs w:val="20"/>
              </w:rPr>
            </w:pPr>
            <w:r w:rsidRPr="00D9672C">
              <w:rPr>
                <w:rFonts w:asciiTheme="majorHAnsi" w:hAnsiTheme="majorHAnsi" w:cstheme="majorHAnsi"/>
                <w:sz w:val="20"/>
                <w:szCs w:val="20"/>
              </w:rPr>
              <w:t>0.75&gt;</w:t>
            </w:r>
          </w:p>
        </w:tc>
        <w:tc>
          <w:tcPr>
            <w:tcW w:w="1235" w:type="dxa"/>
            <w:tcBorders>
              <w:bottom w:val="single" w:sz="18" w:space="0" w:color="auto"/>
            </w:tcBorders>
            <w:vAlign w:val="center"/>
          </w:tcPr>
          <w:p w14:paraId="33768AF2" w14:textId="77777777" w:rsidR="00CC4B5E" w:rsidRPr="00B919B9" w:rsidRDefault="00CC4B5E" w:rsidP="00636E4C">
            <w:pPr>
              <w:tabs>
                <w:tab w:val="center" w:pos="4252"/>
                <w:tab w:val="right" w:pos="8504"/>
              </w:tabs>
              <w:snapToGrid w:val="0"/>
              <w:jc w:val="center"/>
              <w:rPr>
                <w:rFonts w:asciiTheme="majorHAnsi" w:hAnsiTheme="majorHAnsi" w:cstheme="majorHAnsi"/>
                <w:i/>
                <w:sz w:val="20"/>
                <w:szCs w:val="20"/>
              </w:rPr>
            </w:pPr>
            <w:r w:rsidRPr="00B919B9">
              <w:rPr>
                <w:rFonts w:asciiTheme="majorHAnsi" w:hAnsiTheme="majorHAnsi" w:cstheme="majorHAnsi" w:hint="eastAsia"/>
                <w:sz w:val="20"/>
                <w:szCs w:val="20"/>
              </w:rPr>
              <w:t>0/1</w:t>
            </w:r>
          </w:p>
        </w:tc>
        <w:tc>
          <w:tcPr>
            <w:tcW w:w="2344" w:type="dxa"/>
            <w:tcBorders>
              <w:bottom w:val="single" w:sz="18" w:space="0" w:color="auto"/>
            </w:tcBorders>
            <w:vAlign w:val="center"/>
          </w:tcPr>
          <w:p w14:paraId="65BD22FB" w14:textId="77777777" w:rsidR="00CC4B5E" w:rsidRPr="00B919B9" w:rsidRDefault="00CC4B5E" w:rsidP="00636E4C">
            <w:pPr>
              <w:tabs>
                <w:tab w:val="center" w:pos="4252"/>
                <w:tab w:val="right" w:pos="8504"/>
              </w:tabs>
              <w:snapToGrid w:val="0"/>
              <w:jc w:val="center"/>
              <w:rPr>
                <w:rFonts w:asciiTheme="majorHAnsi" w:hAnsiTheme="majorHAnsi" w:cstheme="majorHAnsi"/>
                <w:i/>
                <w:sz w:val="20"/>
                <w:szCs w:val="20"/>
              </w:rPr>
            </w:pPr>
            <w:r w:rsidRPr="00C85352">
              <w:rPr>
                <w:rFonts w:asciiTheme="majorHAnsi" w:hAnsiTheme="majorHAnsi" w:cstheme="majorHAnsi"/>
                <w:sz w:val="20"/>
                <w:szCs w:val="20"/>
              </w:rPr>
              <w:t>Measured in proper hepatic artery: Vmax-Vmin/Vmax</w:t>
            </w:r>
          </w:p>
        </w:tc>
      </w:tr>
      <w:tr w:rsidR="00CC4B5E" w:rsidRPr="001672AC" w14:paraId="53D8F492" w14:textId="77777777" w:rsidTr="00636E4C">
        <w:trPr>
          <w:trHeight w:val="492"/>
        </w:trPr>
        <w:tc>
          <w:tcPr>
            <w:tcW w:w="4928" w:type="dxa"/>
            <w:gridSpan w:val="2"/>
            <w:shd w:val="clear" w:color="auto" w:fill="auto"/>
            <w:vAlign w:val="center"/>
          </w:tcPr>
          <w:p w14:paraId="5BDD4265" w14:textId="77777777" w:rsidR="00CC4B5E" w:rsidRPr="00C85352" w:rsidRDefault="00CC4B5E" w:rsidP="00636E4C">
            <w:pPr>
              <w:spacing w:line="360" w:lineRule="auto"/>
              <w:jc w:val="center"/>
              <w:rPr>
                <w:rFonts w:asciiTheme="majorHAnsi" w:hAnsiTheme="majorHAnsi" w:cstheme="majorHAnsi"/>
                <w:b/>
                <w:i/>
                <w:sz w:val="20"/>
                <w:szCs w:val="20"/>
              </w:rPr>
            </w:pPr>
            <w:r w:rsidRPr="00C85352">
              <w:rPr>
                <w:rFonts w:asciiTheme="majorHAnsi" w:hAnsiTheme="majorHAnsi" w:cstheme="majorHAnsi"/>
                <w:b/>
                <w:i/>
                <w:sz w:val="20"/>
                <w:szCs w:val="20"/>
              </w:rPr>
              <w:t>T</w:t>
            </w:r>
            <w:r w:rsidRPr="00C85352">
              <w:rPr>
                <w:rFonts w:asciiTheme="majorHAnsi" w:hAnsiTheme="majorHAnsi" w:cstheme="majorHAnsi" w:hint="eastAsia"/>
                <w:b/>
                <w:i/>
                <w:sz w:val="20"/>
                <w:szCs w:val="20"/>
              </w:rPr>
              <w:t>ota</w:t>
            </w:r>
            <w:r>
              <w:rPr>
                <w:rFonts w:asciiTheme="majorHAnsi" w:hAnsiTheme="majorHAnsi" w:cstheme="majorHAnsi"/>
                <w:b/>
                <w:i/>
                <w:sz w:val="20"/>
                <w:szCs w:val="20"/>
              </w:rPr>
              <w:t xml:space="preserve">l </w:t>
            </w:r>
            <w:r w:rsidRPr="00C85352">
              <w:rPr>
                <w:rFonts w:asciiTheme="majorHAnsi" w:hAnsiTheme="majorHAnsi" w:cstheme="majorHAnsi"/>
                <w:b/>
                <w:i/>
                <w:sz w:val="20"/>
                <w:szCs w:val="20"/>
              </w:rPr>
              <w:t xml:space="preserve">17 </w:t>
            </w:r>
            <w:r>
              <w:rPr>
                <w:rFonts w:asciiTheme="majorHAnsi" w:hAnsiTheme="majorHAnsi" w:cstheme="majorHAnsi"/>
                <w:b/>
                <w:i/>
                <w:sz w:val="20"/>
                <w:szCs w:val="20"/>
              </w:rPr>
              <w:t>parameters</w:t>
            </w:r>
          </w:p>
        </w:tc>
        <w:tc>
          <w:tcPr>
            <w:tcW w:w="3579" w:type="dxa"/>
            <w:gridSpan w:val="2"/>
            <w:vAlign w:val="center"/>
          </w:tcPr>
          <w:p w14:paraId="5248F482" w14:textId="77777777" w:rsidR="00CC4B5E" w:rsidRPr="00C85352" w:rsidRDefault="00CC4B5E" w:rsidP="00636E4C">
            <w:pPr>
              <w:tabs>
                <w:tab w:val="center" w:pos="4252"/>
                <w:tab w:val="right" w:pos="8504"/>
              </w:tabs>
              <w:snapToGrid w:val="0"/>
              <w:jc w:val="center"/>
              <w:rPr>
                <w:rFonts w:asciiTheme="majorHAnsi" w:hAnsiTheme="majorHAnsi" w:cstheme="majorHAnsi"/>
                <w:b/>
                <w:i/>
                <w:sz w:val="20"/>
                <w:szCs w:val="20"/>
              </w:rPr>
            </w:pPr>
            <w:r>
              <w:rPr>
                <w:rFonts w:asciiTheme="majorHAnsi" w:hAnsiTheme="majorHAnsi" w:cstheme="majorHAnsi"/>
                <w:b/>
                <w:i/>
                <w:sz w:val="20"/>
                <w:szCs w:val="20"/>
              </w:rPr>
              <w:t>M</w:t>
            </w:r>
            <w:r w:rsidRPr="00C85352">
              <w:rPr>
                <w:rFonts w:asciiTheme="majorHAnsi" w:hAnsiTheme="majorHAnsi" w:cstheme="majorHAnsi" w:hint="eastAsia"/>
                <w:b/>
                <w:i/>
                <w:sz w:val="20"/>
                <w:szCs w:val="20"/>
              </w:rPr>
              <w:t>ax</w:t>
            </w:r>
            <w:r>
              <w:rPr>
                <w:rFonts w:asciiTheme="majorHAnsi" w:hAnsiTheme="majorHAnsi" w:cstheme="majorHAnsi"/>
                <w:b/>
                <w:i/>
                <w:sz w:val="20"/>
                <w:szCs w:val="20"/>
              </w:rPr>
              <w:t>imum</w:t>
            </w:r>
            <w:r w:rsidRPr="00C85352">
              <w:rPr>
                <w:rFonts w:asciiTheme="majorHAnsi" w:hAnsiTheme="majorHAnsi" w:cstheme="majorHAnsi" w:hint="eastAsia"/>
                <w:b/>
                <w:i/>
                <w:sz w:val="20"/>
                <w:szCs w:val="20"/>
              </w:rPr>
              <w:t xml:space="preserve"> 19 points</w:t>
            </w:r>
          </w:p>
        </w:tc>
      </w:tr>
    </w:tbl>
    <w:p w14:paraId="0347986E" w14:textId="77777777" w:rsidR="00636E4C" w:rsidRDefault="00CC4B5E" w:rsidP="00366C55">
      <w:pPr>
        <w:spacing w:line="360" w:lineRule="auto"/>
        <w:ind w:leftChars="-270" w:left="-567"/>
        <w:jc w:val="left"/>
        <w:outlineLvl w:val="0"/>
        <w:rPr>
          <w:rFonts w:asciiTheme="majorHAnsi" w:hAnsiTheme="majorHAnsi" w:cstheme="majorHAnsi"/>
          <w:sz w:val="24"/>
        </w:rPr>
      </w:pPr>
      <w:r w:rsidRPr="00F0053A">
        <w:rPr>
          <w:rFonts w:asciiTheme="majorHAnsi" w:hAnsiTheme="majorHAnsi" w:cstheme="majorHAnsi"/>
          <w:sz w:val="20"/>
          <w:szCs w:val="20"/>
        </w:rPr>
        <w:t xml:space="preserve">Abbreviations; PUV = </w:t>
      </w:r>
      <w:r>
        <w:rPr>
          <w:rFonts w:asciiTheme="majorHAnsi" w:hAnsiTheme="majorHAnsi" w:cstheme="majorHAnsi"/>
          <w:sz w:val="20"/>
          <w:szCs w:val="20"/>
        </w:rPr>
        <w:t>para-umbilical</w:t>
      </w:r>
      <w:r w:rsidRPr="00F0053A">
        <w:rPr>
          <w:rFonts w:asciiTheme="majorHAnsi" w:hAnsiTheme="majorHAnsi" w:cstheme="majorHAnsi"/>
          <w:sz w:val="20"/>
          <w:szCs w:val="20"/>
        </w:rPr>
        <w:t xml:space="preserve"> vein</w:t>
      </w:r>
      <w:r w:rsidRPr="00412DB7" w:rsidDel="00C64841">
        <w:rPr>
          <w:rFonts w:asciiTheme="majorHAnsi" w:hAnsiTheme="majorHAnsi" w:cstheme="majorHAnsi"/>
          <w:sz w:val="24"/>
        </w:rPr>
        <w:t xml:space="preserve"> </w:t>
      </w:r>
    </w:p>
    <w:p w14:paraId="22000FC4" w14:textId="77777777" w:rsidR="00636E4C" w:rsidRDefault="00636E4C" w:rsidP="00366C55">
      <w:pPr>
        <w:spacing w:line="360" w:lineRule="auto"/>
        <w:ind w:leftChars="-270" w:left="-567"/>
        <w:jc w:val="left"/>
        <w:outlineLvl w:val="0"/>
        <w:rPr>
          <w:rFonts w:asciiTheme="majorHAnsi" w:hAnsiTheme="majorHAnsi" w:cstheme="majorHAnsi"/>
          <w:sz w:val="24"/>
        </w:rPr>
      </w:pPr>
    </w:p>
    <w:p w14:paraId="7A2A7251" w14:textId="77777777" w:rsidR="00636E4C" w:rsidRPr="00636E4C" w:rsidRDefault="00636E4C" w:rsidP="00636E4C">
      <w:pPr>
        <w:pStyle w:val="EndNoteBibliography"/>
        <w:ind w:left="720" w:hanging="720"/>
        <w:rPr>
          <w:noProof/>
        </w:rPr>
      </w:pPr>
      <w:r>
        <w:rPr>
          <w:rFonts w:asciiTheme="majorHAnsi" w:hAnsiTheme="majorHAnsi" w:cstheme="majorHAnsi"/>
          <w:sz w:val="24"/>
        </w:rPr>
        <w:fldChar w:fldCharType="begin"/>
      </w:r>
      <w:r>
        <w:rPr>
          <w:rFonts w:asciiTheme="majorHAnsi" w:hAnsiTheme="majorHAnsi" w:cstheme="majorHAnsi"/>
          <w:sz w:val="24"/>
        </w:rPr>
        <w:instrText xml:space="preserve"> ADDIN EN.REFLIST </w:instrText>
      </w:r>
      <w:r>
        <w:rPr>
          <w:rFonts w:asciiTheme="majorHAnsi" w:hAnsiTheme="majorHAnsi" w:cstheme="majorHAnsi"/>
          <w:sz w:val="24"/>
        </w:rPr>
        <w:fldChar w:fldCharType="separate"/>
      </w:r>
      <w:r w:rsidRPr="00636E4C">
        <w:rPr>
          <w:noProof/>
        </w:rPr>
        <w:t>1.</w:t>
      </w:r>
      <w:r w:rsidRPr="00636E4C">
        <w:rPr>
          <w:noProof/>
        </w:rPr>
        <w:tab/>
        <w:t xml:space="preserve">Goodman LR, Aprahamian C. Changes in splenic size after abdominal trauma. </w:t>
      </w:r>
      <w:r w:rsidRPr="00636E4C">
        <w:rPr>
          <w:i/>
          <w:noProof/>
        </w:rPr>
        <w:t xml:space="preserve">Radiology </w:t>
      </w:r>
      <w:r w:rsidRPr="00636E4C">
        <w:rPr>
          <w:noProof/>
        </w:rPr>
        <w:t xml:space="preserve">1990; </w:t>
      </w:r>
      <w:r w:rsidRPr="00636E4C">
        <w:rPr>
          <w:b/>
          <w:noProof/>
        </w:rPr>
        <w:t>176</w:t>
      </w:r>
      <w:r w:rsidRPr="00636E4C">
        <w:rPr>
          <w:noProof/>
        </w:rPr>
        <w:t>(3)</w:t>
      </w:r>
      <w:r w:rsidRPr="00636E4C">
        <w:rPr>
          <w:b/>
          <w:noProof/>
        </w:rPr>
        <w:t xml:space="preserve">: </w:t>
      </w:r>
      <w:r w:rsidRPr="00636E4C">
        <w:rPr>
          <w:noProof/>
        </w:rPr>
        <w:t>629-632. doi: 10.1148/radiology.176.3.2389017</w:t>
      </w:r>
    </w:p>
    <w:p w14:paraId="7C583DDB" w14:textId="77777777" w:rsidR="00636E4C" w:rsidRPr="00636E4C" w:rsidRDefault="00636E4C" w:rsidP="00636E4C">
      <w:pPr>
        <w:pStyle w:val="EndNoteBibliography"/>
        <w:rPr>
          <w:noProof/>
        </w:rPr>
      </w:pPr>
    </w:p>
    <w:p w14:paraId="43ACA0F3" w14:textId="77777777" w:rsidR="00636E4C" w:rsidRPr="00636E4C" w:rsidRDefault="00636E4C" w:rsidP="00636E4C">
      <w:pPr>
        <w:pStyle w:val="EndNoteBibliography"/>
        <w:ind w:left="720" w:hanging="720"/>
        <w:rPr>
          <w:noProof/>
        </w:rPr>
      </w:pPr>
      <w:r w:rsidRPr="00636E4C">
        <w:rPr>
          <w:noProof/>
        </w:rPr>
        <w:t>2.</w:t>
      </w:r>
      <w:r w:rsidRPr="00636E4C">
        <w:rPr>
          <w:noProof/>
        </w:rPr>
        <w:tab/>
        <w:t xml:space="preserve">Herbetko J, Grigg AP, Buckley AR, Phillips GL. Venoocclusive liver disease after bone marrow transplantation: findings at duplex sonography. </w:t>
      </w:r>
      <w:r w:rsidRPr="00636E4C">
        <w:rPr>
          <w:i/>
          <w:noProof/>
        </w:rPr>
        <w:t xml:space="preserve">AJR Am J Roentgenol </w:t>
      </w:r>
      <w:r w:rsidRPr="00636E4C">
        <w:rPr>
          <w:noProof/>
        </w:rPr>
        <w:t xml:space="preserve">1992; </w:t>
      </w:r>
      <w:r w:rsidRPr="00636E4C">
        <w:rPr>
          <w:b/>
          <w:noProof/>
        </w:rPr>
        <w:t>158</w:t>
      </w:r>
      <w:r w:rsidRPr="00636E4C">
        <w:rPr>
          <w:noProof/>
        </w:rPr>
        <w:t>(5)</w:t>
      </w:r>
      <w:r w:rsidRPr="00636E4C">
        <w:rPr>
          <w:b/>
          <w:noProof/>
        </w:rPr>
        <w:t xml:space="preserve">: </w:t>
      </w:r>
      <w:r w:rsidRPr="00636E4C">
        <w:rPr>
          <w:noProof/>
        </w:rPr>
        <w:t>1001-1005. doi: 10.2214/ajr.158.5.1566656</w:t>
      </w:r>
    </w:p>
    <w:p w14:paraId="3EDB7A0A" w14:textId="77777777" w:rsidR="00636E4C" w:rsidRPr="00636E4C" w:rsidRDefault="00636E4C" w:rsidP="00636E4C">
      <w:pPr>
        <w:pStyle w:val="EndNoteBibliography"/>
        <w:rPr>
          <w:noProof/>
        </w:rPr>
      </w:pPr>
    </w:p>
    <w:p w14:paraId="452B5A9B" w14:textId="50A757AD" w:rsidR="009B1D83" w:rsidRPr="00366C55" w:rsidRDefault="00636E4C" w:rsidP="00366C55">
      <w:pPr>
        <w:spacing w:line="360" w:lineRule="auto"/>
        <w:ind w:leftChars="-270" w:left="-567"/>
        <w:jc w:val="left"/>
        <w:outlineLvl w:val="0"/>
        <w:rPr>
          <w:rFonts w:asciiTheme="majorHAnsi" w:hAnsiTheme="majorHAnsi" w:cstheme="majorHAnsi"/>
          <w:sz w:val="24"/>
        </w:rPr>
      </w:pPr>
      <w:r>
        <w:rPr>
          <w:rFonts w:asciiTheme="majorHAnsi" w:hAnsiTheme="majorHAnsi" w:cstheme="majorHAnsi"/>
          <w:sz w:val="24"/>
        </w:rPr>
        <w:fldChar w:fldCharType="end"/>
      </w:r>
    </w:p>
    <w:sectPr w:rsidR="009B1D83" w:rsidRPr="00366C55" w:rsidSect="00636E4C">
      <w:pgSz w:w="11900" w:h="16840"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EN.Layout" w:val="&lt;ENLayout&gt;&lt;Style&gt;Bone Marrow Transplant&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0wsrvvhxzrzyev0tiv2d202f2w2f5erd9x&quot;&gt;SOS&lt;record-ids&gt;&lt;item&gt;49&lt;/item&gt;&lt;item&gt;50&lt;/item&gt;&lt;/record-ids&gt;&lt;/item&gt;&lt;/Libraries&gt;"/>
  </w:docVars>
  <w:rsids>
    <w:rsidRoot w:val="00CC4B5E"/>
    <w:rsid w:val="00007A3A"/>
    <w:rsid w:val="00366C55"/>
    <w:rsid w:val="00544C41"/>
    <w:rsid w:val="00636E4C"/>
    <w:rsid w:val="009B1D83"/>
    <w:rsid w:val="00B13347"/>
    <w:rsid w:val="00CC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F9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5E"/>
    <w:pPr>
      <w:widowControl w:val="0"/>
      <w:jc w:val="both"/>
    </w:pPr>
    <w:rPr>
      <w:rFonts w:ascii="Century" w:eastAsia="MS Mincho" w:hAnsi="Century"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CC4B5E"/>
    <w:rPr>
      <w:sz w:val="20"/>
    </w:rPr>
  </w:style>
  <w:style w:type="paragraph" w:customStyle="1" w:styleId="EndNoteBibliographyTitle">
    <w:name w:val="EndNote Bibliography Title"/>
    <w:basedOn w:val="Normal"/>
    <w:rsid w:val="00636E4C"/>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Nishida Mutsumi</dc:creator>
  <cp:keywords/>
  <dc:description/>
  <cp:lastModifiedBy>user</cp:lastModifiedBy>
  <cp:revision>2</cp:revision>
  <dcterms:created xsi:type="dcterms:W3CDTF">2018-05-24T01:10:00Z</dcterms:created>
  <dcterms:modified xsi:type="dcterms:W3CDTF">2018-05-24T01:10:00Z</dcterms:modified>
</cp:coreProperties>
</file>