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893" w:rsidRPr="00F37893" w:rsidRDefault="00F37893" w:rsidP="00F37893">
      <w:pPr>
        <w:spacing w:line="480" w:lineRule="auto"/>
        <w:contextualSpacing/>
        <w:rPr>
          <w:rFonts w:asciiTheme="majorHAnsi" w:hAnsiTheme="majorHAnsi" w:cstheme="majorHAnsi"/>
          <w:b/>
          <w:sz w:val="21"/>
          <w:szCs w:val="21"/>
        </w:rPr>
      </w:pPr>
      <w:r w:rsidRPr="00F37893">
        <w:rPr>
          <w:rFonts w:asciiTheme="majorHAnsi" w:hAnsiTheme="majorHAnsi" w:cstheme="majorHAnsi"/>
          <w:b/>
          <w:sz w:val="21"/>
          <w:szCs w:val="21"/>
        </w:rPr>
        <w:t>The c</w:t>
      </w:r>
      <w:r w:rsidRPr="00F37893">
        <w:rPr>
          <w:rFonts w:asciiTheme="majorHAnsi" w:hAnsiTheme="majorHAnsi" w:cstheme="majorHAnsi" w:hint="eastAsia"/>
          <w:b/>
          <w:sz w:val="21"/>
          <w:szCs w:val="21"/>
        </w:rPr>
        <w:t>omplement system</w:t>
      </w:r>
    </w:p>
    <w:p w:rsidR="00F37893" w:rsidRPr="00E57E8B" w:rsidRDefault="00F37893" w:rsidP="00F37893">
      <w:pPr>
        <w:spacing w:line="480" w:lineRule="auto"/>
        <w:contextualSpacing/>
        <w:rPr>
          <w:rFonts w:asciiTheme="majorHAnsi" w:hAnsiTheme="majorHAnsi" w:cstheme="majorHAnsi"/>
          <w:sz w:val="21"/>
          <w:szCs w:val="21"/>
        </w:rPr>
      </w:pPr>
      <w:r w:rsidRPr="006F2745">
        <w:rPr>
          <w:rFonts w:asciiTheme="majorHAnsi" w:hAnsiTheme="majorHAnsi" w:cstheme="majorHAnsi"/>
          <w:sz w:val="21"/>
          <w:szCs w:val="21"/>
        </w:rPr>
        <w:t>The c</w:t>
      </w:r>
      <w:r w:rsidRPr="00E57E8B">
        <w:rPr>
          <w:rFonts w:asciiTheme="majorHAnsi" w:hAnsiTheme="majorHAnsi" w:cstheme="majorHAnsi"/>
          <w:sz w:val="21"/>
          <w:szCs w:val="21"/>
        </w:rPr>
        <w:t>omplement</w:t>
      </w:r>
      <w:r w:rsidRPr="006F2745">
        <w:rPr>
          <w:rFonts w:asciiTheme="majorHAnsi" w:hAnsiTheme="majorHAnsi" w:cstheme="majorHAnsi"/>
          <w:sz w:val="21"/>
          <w:szCs w:val="21"/>
        </w:rPr>
        <w:t xml:space="preserve"> system</w:t>
      </w:r>
      <w:r w:rsidRPr="00E57E8B">
        <w:rPr>
          <w:rFonts w:asciiTheme="majorHAnsi" w:hAnsiTheme="majorHAnsi" w:cstheme="majorHAnsi"/>
          <w:sz w:val="21"/>
          <w:szCs w:val="21"/>
        </w:rPr>
        <w:t xml:space="preserve"> is </w:t>
      </w:r>
      <w:r w:rsidRPr="006F2745">
        <w:rPr>
          <w:rFonts w:asciiTheme="majorHAnsi" w:hAnsiTheme="majorHAnsi" w:cstheme="majorHAnsi"/>
          <w:sz w:val="21"/>
          <w:szCs w:val="21"/>
        </w:rPr>
        <w:t>a part of the</w:t>
      </w:r>
      <w:r w:rsidRPr="00E57E8B">
        <w:rPr>
          <w:rFonts w:asciiTheme="majorHAnsi" w:hAnsiTheme="majorHAnsi" w:cstheme="majorHAnsi"/>
          <w:sz w:val="21"/>
          <w:szCs w:val="21"/>
        </w:rPr>
        <w:t xml:space="preserve"> innate immune system that consists</w:t>
      </w:r>
      <w:r>
        <w:rPr>
          <w:rFonts w:asciiTheme="majorHAnsi" w:hAnsiTheme="majorHAnsi" w:cstheme="majorHAnsi"/>
          <w:sz w:val="21"/>
          <w:szCs w:val="21"/>
        </w:rPr>
        <w:t xml:space="preserve"> of a large number of plasma proteins. Initially, its major </w:t>
      </w:r>
      <w:r w:rsidRPr="00E57E8B">
        <w:rPr>
          <w:rFonts w:asciiTheme="majorHAnsi" w:hAnsiTheme="majorHAnsi" w:cstheme="majorHAnsi"/>
          <w:sz w:val="21"/>
          <w:szCs w:val="21"/>
        </w:rPr>
        <w:t>function was thought to be the elimination of pathogens in the innate immune system. However, complements were</w:t>
      </w:r>
      <w:r>
        <w:rPr>
          <w:rFonts w:asciiTheme="majorHAnsi" w:hAnsiTheme="majorHAnsi" w:cstheme="majorHAnsi"/>
          <w:sz w:val="21"/>
          <w:szCs w:val="21"/>
        </w:rPr>
        <w:t xml:space="preserve"> found to be involved in the pathogenesis of autoimmune diseases. The c</w:t>
      </w:r>
      <w:r>
        <w:rPr>
          <w:rFonts w:asciiTheme="majorHAnsi" w:hAnsiTheme="majorHAnsi" w:cstheme="majorHAnsi" w:hint="eastAsia"/>
          <w:sz w:val="21"/>
          <w:szCs w:val="21"/>
        </w:rPr>
        <w:t xml:space="preserve">omplement </w:t>
      </w:r>
      <w:r>
        <w:rPr>
          <w:rFonts w:asciiTheme="majorHAnsi" w:hAnsiTheme="majorHAnsi" w:cstheme="majorHAnsi"/>
          <w:sz w:val="21"/>
          <w:szCs w:val="21"/>
        </w:rPr>
        <w:t xml:space="preserve">system is activated via three pathways, the classical, alternative and lectin pathways. In the classical pathway, the complement activation depends on IgG or IgM immune complexes. C1q binds to the IgG or IgM of immune complexes through the Fc portion. This is the initial trigger for the classical pathway. These three pathways lead to the activation of </w:t>
      </w:r>
      <w:r w:rsidRPr="00E61E42">
        <w:rPr>
          <w:rFonts w:ascii="Arial" w:eastAsia="Times New Roman" w:hAnsi="Arial" w:cs="Arial"/>
          <w:sz w:val="21"/>
          <w:szCs w:val="21"/>
        </w:rPr>
        <w:t xml:space="preserve">C3 convertase, </w:t>
      </w:r>
      <w:r>
        <w:rPr>
          <w:rFonts w:ascii="Arial" w:eastAsia="Times New Roman" w:hAnsi="Arial" w:cs="Arial"/>
          <w:sz w:val="21"/>
          <w:szCs w:val="21"/>
        </w:rPr>
        <w:t xml:space="preserve">and </w:t>
      </w:r>
      <w:r w:rsidRPr="00E61E42">
        <w:rPr>
          <w:rFonts w:ascii="Arial" w:eastAsia="Times New Roman" w:hAnsi="Arial" w:cs="Arial"/>
          <w:sz w:val="21"/>
          <w:szCs w:val="21"/>
        </w:rPr>
        <w:t xml:space="preserve">then this enzyme </w:t>
      </w:r>
      <w:r>
        <w:rPr>
          <w:rFonts w:ascii="Arial" w:eastAsia="Times New Roman" w:hAnsi="Arial" w:cs="Arial"/>
          <w:sz w:val="21"/>
          <w:szCs w:val="21"/>
        </w:rPr>
        <w:t>cleaves</w:t>
      </w:r>
      <w:r w:rsidRPr="00E61E42">
        <w:rPr>
          <w:rFonts w:ascii="Arial" w:eastAsia="Times New Roman" w:hAnsi="Arial" w:cs="Arial"/>
          <w:sz w:val="21"/>
          <w:szCs w:val="21"/>
        </w:rPr>
        <w:t xml:space="preserve"> C3 into anaphylactic peptide C3a and opsonin C3b. </w:t>
      </w:r>
      <w:r>
        <w:rPr>
          <w:rFonts w:ascii="Arial" w:eastAsia="Times New Roman" w:hAnsi="Arial" w:cs="Arial"/>
          <w:sz w:val="21"/>
          <w:szCs w:val="21"/>
        </w:rPr>
        <w:t xml:space="preserve">The </w:t>
      </w:r>
      <w:r w:rsidRPr="00E61E42">
        <w:rPr>
          <w:rFonts w:ascii="Arial" w:eastAsia="Times New Roman" w:hAnsi="Arial" w:cs="Arial"/>
          <w:sz w:val="21"/>
          <w:szCs w:val="21"/>
        </w:rPr>
        <w:t xml:space="preserve">C3b finally generates C5 convertase, </w:t>
      </w:r>
      <w:r>
        <w:rPr>
          <w:rFonts w:ascii="Arial" w:eastAsia="Times New Roman" w:hAnsi="Arial" w:cs="Arial"/>
          <w:sz w:val="21"/>
          <w:szCs w:val="21"/>
        </w:rPr>
        <w:t xml:space="preserve">and </w:t>
      </w:r>
      <w:r w:rsidRPr="00E61E42">
        <w:rPr>
          <w:rFonts w:ascii="Arial" w:eastAsia="Times New Roman" w:hAnsi="Arial" w:cs="Arial"/>
          <w:sz w:val="21"/>
          <w:szCs w:val="21"/>
        </w:rPr>
        <w:t xml:space="preserve">then C5 </w:t>
      </w:r>
      <w:r>
        <w:rPr>
          <w:rFonts w:ascii="Arial" w:eastAsia="Times New Roman" w:hAnsi="Arial" w:cs="Arial"/>
          <w:sz w:val="21"/>
          <w:szCs w:val="21"/>
        </w:rPr>
        <w:t>cleaves</w:t>
      </w:r>
      <w:r w:rsidRPr="00E61E42">
        <w:rPr>
          <w:rFonts w:ascii="Arial" w:eastAsia="Times New Roman" w:hAnsi="Arial" w:cs="Arial"/>
          <w:sz w:val="21"/>
          <w:szCs w:val="21"/>
        </w:rPr>
        <w:t xml:space="preserve"> into C5a and C5b.</w:t>
      </w:r>
      <w:r>
        <w:rPr>
          <w:rFonts w:ascii="Arial" w:eastAsia="Times New Roman" w:hAnsi="Arial" w:cs="Arial"/>
          <w:sz w:val="21"/>
          <w:szCs w:val="21"/>
        </w:rPr>
        <w:t xml:space="preserve"> The </w:t>
      </w:r>
      <w:r>
        <w:rPr>
          <w:rFonts w:asciiTheme="majorHAnsi" w:hAnsiTheme="majorHAnsi" w:cstheme="majorHAnsi"/>
          <w:sz w:val="21"/>
          <w:szCs w:val="21"/>
        </w:rPr>
        <w:t xml:space="preserve">C5b finally forms membrane attack complex (MAC) C5b-9, which can cause cell lysis. </w:t>
      </w:r>
      <w:r w:rsidRPr="00E61E42">
        <w:rPr>
          <w:rFonts w:ascii="Arial" w:eastAsia="Times New Roman" w:hAnsi="Arial" w:cs="Arial"/>
          <w:sz w:val="21"/>
          <w:szCs w:val="21"/>
        </w:rPr>
        <w:t xml:space="preserve">Both anaphylactic C3a and C5a can induce inflammation via </w:t>
      </w:r>
      <w:r>
        <w:rPr>
          <w:rFonts w:ascii="Arial" w:eastAsia="Times New Roman" w:hAnsi="Arial" w:cs="Arial"/>
          <w:sz w:val="21"/>
          <w:szCs w:val="21"/>
        </w:rPr>
        <w:t xml:space="preserve">the </w:t>
      </w:r>
      <w:r w:rsidRPr="00E61E42">
        <w:rPr>
          <w:rFonts w:ascii="Arial" w:eastAsia="Times New Roman" w:hAnsi="Arial" w:cs="Arial"/>
          <w:sz w:val="21"/>
          <w:szCs w:val="21"/>
        </w:rPr>
        <w:t xml:space="preserve">recruitment of neutrophils or macrophages, </w:t>
      </w:r>
      <w:r>
        <w:rPr>
          <w:rFonts w:ascii="Arial" w:eastAsia="Times New Roman" w:hAnsi="Arial" w:cs="Arial"/>
          <w:sz w:val="21"/>
          <w:szCs w:val="21"/>
        </w:rPr>
        <w:t>and</w:t>
      </w:r>
      <w:r w:rsidRPr="00E61E42">
        <w:rPr>
          <w:rFonts w:ascii="Arial" w:eastAsia="Times New Roman" w:hAnsi="Arial" w:cs="Arial"/>
          <w:sz w:val="21"/>
          <w:szCs w:val="21"/>
        </w:rPr>
        <w:t xml:space="preserve"> C5a is </w:t>
      </w:r>
      <w:r>
        <w:rPr>
          <w:rFonts w:ascii="Arial" w:eastAsia="Times New Roman" w:hAnsi="Arial" w:cs="Arial"/>
          <w:sz w:val="21"/>
          <w:szCs w:val="21"/>
        </w:rPr>
        <w:t xml:space="preserve">a </w:t>
      </w:r>
      <w:r w:rsidRPr="00E61E42">
        <w:rPr>
          <w:rFonts w:ascii="Arial" w:eastAsia="Times New Roman" w:hAnsi="Arial" w:cs="Arial"/>
          <w:sz w:val="21"/>
          <w:szCs w:val="21"/>
        </w:rPr>
        <w:t xml:space="preserve">more powerful anaphylactic </w:t>
      </w:r>
      <w:r w:rsidRPr="00E57E8B">
        <w:rPr>
          <w:rFonts w:ascii="Arial" w:eastAsia="Times New Roman" w:hAnsi="Arial" w:cs="Arial"/>
          <w:sz w:val="21"/>
          <w:szCs w:val="21"/>
        </w:rPr>
        <w:t xml:space="preserve">peptide than C3a </w:t>
      </w:r>
      <w:r w:rsidRPr="00E57E8B">
        <w:rPr>
          <w:rFonts w:ascii="Arial" w:eastAsia="Times New Roman" w:hAnsi="Arial" w:cs="Arial"/>
          <w:i/>
          <w:sz w:val="21"/>
          <w:szCs w:val="21"/>
        </w:rPr>
        <w:t>in vivo</w:t>
      </w:r>
      <w:r w:rsidRPr="00E57E8B">
        <w:rPr>
          <w:rFonts w:ascii="Arial" w:eastAsia="Times New Roman" w:hAnsi="Arial" w:cs="Arial"/>
          <w:sz w:val="21"/>
          <w:szCs w:val="21"/>
        </w:rPr>
        <w:t xml:space="preserve">.  </w:t>
      </w:r>
    </w:p>
    <w:p w:rsidR="00786151" w:rsidRDefault="00786151">
      <w:pPr>
        <w:spacing w:after="0" w:line="240" w:lineRule="auto"/>
        <w:jc w:val="left"/>
      </w:pPr>
      <w:r>
        <w:br w:type="page"/>
      </w:r>
    </w:p>
    <w:p w:rsidR="00786151" w:rsidRDefault="00786151" w:rsidP="00786151">
      <w:pPr>
        <w:autoSpaceDE w:val="0"/>
        <w:autoSpaceDN w:val="0"/>
        <w:adjustRightInd w:val="0"/>
        <w:spacing w:line="480" w:lineRule="auto"/>
        <w:ind w:left="640" w:hanging="640"/>
        <w:jc w:val="left"/>
        <w:rPr>
          <w:rFonts w:ascii="Arial" w:hAnsi="Arial" w:cs="Arial"/>
          <w:noProof/>
          <w:sz w:val="20"/>
          <w:szCs w:val="24"/>
        </w:rPr>
      </w:pPr>
      <w:r>
        <w:rPr>
          <w:rFonts w:ascii="Arial" w:hAnsi="Arial" w:cs="Arial" w:hint="eastAsia"/>
          <w:noProof/>
          <w:sz w:val="20"/>
          <w:szCs w:val="24"/>
        </w:rPr>
        <w:lastRenderedPageBreak/>
        <w:t>Supplementary reference</w:t>
      </w:r>
    </w:p>
    <w:p w:rsidR="00786151" w:rsidRPr="00786151" w:rsidRDefault="00786151" w:rsidP="00786151">
      <w:pPr>
        <w:autoSpaceDE w:val="0"/>
        <w:autoSpaceDN w:val="0"/>
        <w:adjustRightInd w:val="0"/>
        <w:spacing w:line="360" w:lineRule="auto"/>
        <w:ind w:left="641" w:hanging="641"/>
        <w:contextualSpacing/>
        <w:jc w:val="left"/>
        <w:rPr>
          <w:rFonts w:ascii="Arial" w:hAnsi="Arial" w:cs="Arial"/>
          <w:noProof/>
          <w:sz w:val="20"/>
          <w:szCs w:val="24"/>
        </w:rPr>
      </w:pPr>
      <w:r w:rsidRPr="00786151">
        <w:rPr>
          <w:rFonts w:ascii="Arial" w:hAnsi="Arial" w:cs="Arial"/>
          <w:noProof/>
          <w:sz w:val="20"/>
          <w:szCs w:val="24"/>
        </w:rPr>
        <w:t>S1</w:t>
      </w:r>
      <w:r w:rsidRPr="00786151">
        <w:rPr>
          <w:rFonts w:ascii="Arial" w:hAnsi="Arial" w:cs="Arial"/>
          <w:noProof/>
          <w:sz w:val="20"/>
          <w:szCs w:val="24"/>
        </w:rPr>
        <w:tab/>
      </w:r>
      <w:r w:rsidRPr="00786151">
        <w:rPr>
          <w:rFonts w:ascii="Arial" w:hAnsi="Arial" w:cs="Arial"/>
          <w:noProof/>
          <w:sz w:val="20"/>
          <w:szCs w:val="24"/>
        </w:rPr>
        <w:t xml:space="preserve">Ballanti E, Perricone C, Greco E </w:t>
      </w:r>
      <w:r w:rsidRPr="00786151">
        <w:rPr>
          <w:rFonts w:ascii="Arial" w:hAnsi="Arial" w:cs="Arial"/>
          <w:i/>
          <w:iCs/>
          <w:noProof/>
          <w:sz w:val="20"/>
          <w:szCs w:val="24"/>
        </w:rPr>
        <w:t>et al.</w:t>
      </w:r>
      <w:r w:rsidRPr="00786151">
        <w:rPr>
          <w:rFonts w:ascii="Arial" w:hAnsi="Arial" w:cs="Arial"/>
          <w:noProof/>
          <w:sz w:val="20"/>
          <w:szCs w:val="24"/>
        </w:rPr>
        <w:t xml:space="preserve"> Complement and autoimmunity. Immunol Res 2013: </w:t>
      </w:r>
      <w:r w:rsidRPr="00786151">
        <w:rPr>
          <w:rFonts w:ascii="Arial" w:hAnsi="Arial" w:cs="Arial"/>
          <w:bCs/>
          <w:noProof/>
          <w:sz w:val="20"/>
          <w:szCs w:val="24"/>
        </w:rPr>
        <w:t>56</w:t>
      </w:r>
      <w:r w:rsidRPr="00786151">
        <w:rPr>
          <w:rFonts w:ascii="Arial" w:hAnsi="Arial" w:cs="Arial"/>
          <w:noProof/>
          <w:sz w:val="20"/>
          <w:szCs w:val="24"/>
        </w:rPr>
        <w:t>: 477–91.</w:t>
      </w:r>
    </w:p>
    <w:p w:rsidR="00786151" w:rsidRPr="00786151" w:rsidRDefault="00786151" w:rsidP="00786151">
      <w:pPr>
        <w:autoSpaceDE w:val="0"/>
        <w:autoSpaceDN w:val="0"/>
        <w:adjustRightInd w:val="0"/>
        <w:spacing w:line="360" w:lineRule="auto"/>
        <w:ind w:left="641" w:hanging="641"/>
        <w:contextualSpacing/>
        <w:jc w:val="left"/>
        <w:rPr>
          <w:rFonts w:ascii="Arial" w:hAnsi="Arial" w:cs="Arial"/>
          <w:noProof/>
          <w:sz w:val="20"/>
          <w:szCs w:val="24"/>
        </w:rPr>
      </w:pPr>
      <w:r w:rsidRPr="00786151">
        <w:rPr>
          <w:rFonts w:ascii="Arial" w:hAnsi="Arial" w:cs="Arial"/>
          <w:bCs/>
          <w:noProof/>
          <w:sz w:val="20"/>
          <w:szCs w:val="24"/>
        </w:rPr>
        <w:t>S2</w:t>
      </w:r>
      <w:r w:rsidRPr="00786151">
        <w:rPr>
          <w:rFonts w:ascii="Arial" w:hAnsi="Arial" w:cs="Arial"/>
          <w:noProof/>
          <w:sz w:val="20"/>
          <w:szCs w:val="24"/>
        </w:rPr>
        <w:tab/>
        <w:t xml:space="preserve">Mackay I R, Rosen F S, Walport M J. Complement. Second of two parts. N Engl J Med 2001: </w:t>
      </w:r>
      <w:r w:rsidRPr="00786151">
        <w:rPr>
          <w:rFonts w:ascii="Arial" w:hAnsi="Arial" w:cs="Arial"/>
          <w:bCs/>
          <w:noProof/>
          <w:sz w:val="20"/>
          <w:szCs w:val="24"/>
        </w:rPr>
        <w:t>344</w:t>
      </w:r>
      <w:r w:rsidRPr="00786151">
        <w:rPr>
          <w:rFonts w:ascii="Arial" w:hAnsi="Arial" w:cs="Arial"/>
          <w:noProof/>
          <w:sz w:val="20"/>
          <w:szCs w:val="24"/>
        </w:rPr>
        <w:t>: 1140–1144.</w:t>
      </w:r>
    </w:p>
    <w:p w:rsidR="00786151" w:rsidRPr="00786151" w:rsidRDefault="00786151" w:rsidP="00786151">
      <w:pPr>
        <w:autoSpaceDE w:val="0"/>
        <w:autoSpaceDN w:val="0"/>
        <w:adjustRightInd w:val="0"/>
        <w:spacing w:line="360" w:lineRule="auto"/>
        <w:ind w:left="641" w:hanging="641"/>
        <w:contextualSpacing/>
        <w:jc w:val="left"/>
        <w:rPr>
          <w:rFonts w:ascii="Arial" w:hAnsi="Arial" w:cs="Arial"/>
          <w:noProof/>
          <w:sz w:val="20"/>
          <w:szCs w:val="24"/>
        </w:rPr>
      </w:pPr>
      <w:r w:rsidRPr="00786151">
        <w:rPr>
          <w:rFonts w:ascii="Arial" w:hAnsi="Arial" w:cs="Arial"/>
          <w:bCs/>
          <w:noProof/>
          <w:sz w:val="20"/>
          <w:szCs w:val="24"/>
        </w:rPr>
        <w:t>S3</w:t>
      </w:r>
      <w:r w:rsidRPr="00786151">
        <w:rPr>
          <w:rFonts w:ascii="Arial" w:hAnsi="Arial" w:cs="Arial"/>
          <w:noProof/>
          <w:sz w:val="20"/>
          <w:szCs w:val="24"/>
        </w:rPr>
        <w:tab/>
        <w:t xml:space="preserve">Stegert M, Bock M, Trendelenburg M. Clinical presentation of human C1q deficiency: How much of a lupus? Mol Immunol 2015: </w:t>
      </w:r>
      <w:r w:rsidRPr="00786151">
        <w:rPr>
          <w:rFonts w:ascii="Arial" w:hAnsi="Arial" w:cs="Arial"/>
          <w:bCs/>
          <w:noProof/>
          <w:sz w:val="20"/>
          <w:szCs w:val="24"/>
        </w:rPr>
        <w:t>67</w:t>
      </w:r>
      <w:r w:rsidRPr="00786151">
        <w:rPr>
          <w:rFonts w:ascii="Arial" w:hAnsi="Arial" w:cs="Arial"/>
          <w:noProof/>
          <w:sz w:val="20"/>
          <w:szCs w:val="24"/>
        </w:rPr>
        <w:t>: 3–11.</w:t>
      </w:r>
    </w:p>
    <w:p w:rsidR="00786151" w:rsidRPr="00786151" w:rsidRDefault="00786151" w:rsidP="00786151">
      <w:pPr>
        <w:autoSpaceDE w:val="0"/>
        <w:autoSpaceDN w:val="0"/>
        <w:adjustRightInd w:val="0"/>
        <w:spacing w:line="360" w:lineRule="auto"/>
        <w:ind w:left="641" w:hanging="641"/>
        <w:contextualSpacing/>
        <w:jc w:val="left"/>
        <w:rPr>
          <w:rFonts w:ascii="Arial" w:hAnsi="Arial" w:cs="Arial"/>
          <w:noProof/>
          <w:sz w:val="20"/>
          <w:szCs w:val="24"/>
        </w:rPr>
      </w:pPr>
      <w:r w:rsidRPr="00786151">
        <w:rPr>
          <w:rFonts w:ascii="Arial" w:hAnsi="Arial" w:cs="Arial"/>
          <w:bCs/>
          <w:noProof/>
          <w:sz w:val="20"/>
          <w:szCs w:val="24"/>
        </w:rPr>
        <w:t>S4</w:t>
      </w:r>
      <w:r w:rsidRPr="00786151">
        <w:rPr>
          <w:rFonts w:ascii="Arial" w:hAnsi="Arial" w:cs="Arial"/>
          <w:noProof/>
          <w:sz w:val="20"/>
          <w:szCs w:val="24"/>
        </w:rPr>
        <w:t xml:space="preserve"> </w:t>
      </w:r>
      <w:r w:rsidRPr="00786151">
        <w:rPr>
          <w:rFonts w:ascii="Arial" w:hAnsi="Arial" w:cs="Arial"/>
          <w:noProof/>
          <w:sz w:val="20"/>
          <w:szCs w:val="24"/>
        </w:rPr>
        <w:tab/>
        <w:t xml:space="preserve">Thurman J M, Holers V M. The central role of the alternative complement pathway in human disease. J Immunol 2006: </w:t>
      </w:r>
      <w:r w:rsidRPr="00786151">
        <w:rPr>
          <w:rFonts w:ascii="Arial" w:hAnsi="Arial" w:cs="Arial"/>
          <w:bCs/>
          <w:noProof/>
          <w:sz w:val="20"/>
          <w:szCs w:val="24"/>
        </w:rPr>
        <w:t>176</w:t>
      </w:r>
      <w:r w:rsidRPr="00786151">
        <w:rPr>
          <w:rFonts w:ascii="Arial" w:hAnsi="Arial" w:cs="Arial"/>
          <w:noProof/>
          <w:sz w:val="20"/>
          <w:szCs w:val="24"/>
        </w:rPr>
        <w:t>: 1305–10.</w:t>
      </w:r>
    </w:p>
    <w:p w:rsidR="00786151" w:rsidRPr="00786151" w:rsidRDefault="00786151" w:rsidP="00786151">
      <w:pPr>
        <w:autoSpaceDE w:val="0"/>
        <w:autoSpaceDN w:val="0"/>
        <w:adjustRightInd w:val="0"/>
        <w:spacing w:line="360" w:lineRule="auto"/>
        <w:ind w:left="641" w:hanging="641"/>
        <w:contextualSpacing/>
        <w:jc w:val="left"/>
        <w:rPr>
          <w:rFonts w:ascii="Arial" w:hAnsi="Arial" w:cs="Arial"/>
          <w:noProof/>
          <w:sz w:val="20"/>
          <w:szCs w:val="24"/>
        </w:rPr>
      </w:pPr>
      <w:r w:rsidRPr="00786151">
        <w:rPr>
          <w:rFonts w:ascii="Arial" w:hAnsi="Arial" w:cs="Arial"/>
          <w:bCs/>
          <w:noProof/>
          <w:sz w:val="20"/>
          <w:szCs w:val="24"/>
        </w:rPr>
        <w:t>S5</w:t>
      </w:r>
      <w:r w:rsidRPr="00786151">
        <w:rPr>
          <w:rFonts w:ascii="Arial" w:hAnsi="Arial" w:cs="Arial"/>
          <w:noProof/>
          <w:sz w:val="20"/>
          <w:szCs w:val="24"/>
        </w:rPr>
        <w:tab/>
        <w:t xml:space="preserve">Tsao P Y, Arora V, Ji M Q </w:t>
      </w:r>
      <w:r w:rsidRPr="00786151">
        <w:rPr>
          <w:rFonts w:ascii="Arial" w:hAnsi="Arial" w:cs="Arial"/>
          <w:i/>
          <w:iCs/>
          <w:noProof/>
          <w:sz w:val="20"/>
          <w:szCs w:val="24"/>
        </w:rPr>
        <w:t>et al.</w:t>
      </w:r>
      <w:r w:rsidRPr="00786151">
        <w:rPr>
          <w:rFonts w:ascii="Arial" w:hAnsi="Arial" w:cs="Arial"/>
          <w:noProof/>
          <w:sz w:val="20"/>
          <w:szCs w:val="24"/>
        </w:rPr>
        <w:t xml:space="preserve"> KRN/I-Ag7 Mouse Arthritis Is Independent of Complement C3. J Clin Immunol 2011: </w:t>
      </w:r>
      <w:r w:rsidRPr="00786151">
        <w:rPr>
          <w:rFonts w:ascii="Arial" w:hAnsi="Arial" w:cs="Arial"/>
          <w:bCs/>
          <w:noProof/>
          <w:sz w:val="20"/>
          <w:szCs w:val="24"/>
        </w:rPr>
        <w:t>31</w:t>
      </w:r>
      <w:r w:rsidRPr="00786151">
        <w:rPr>
          <w:rFonts w:ascii="Arial" w:hAnsi="Arial" w:cs="Arial"/>
          <w:noProof/>
          <w:sz w:val="20"/>
          <w:szCs w:val="24"/>
        </w:rPr>
        <w:t>: 857–863.</w:t>
      </w:r>
    </w:p>
    <w:p w:rsidR="00786151" w:rsidRPr="00786151" w:rsidRDefault="00786151" w:rsidP="00786151">
      <w:pPr>
        <w:autoSpaceDE w:val="0"/>
        <w:autoSpaceDN w:val="0"/>
        <w:adjustRightInd w:val="0"/>
        <w:spacing w:line="360" w:lineRule="auto"/>
        <w:ind w:left="641" w:hanging="641"/>
        <w:contextualSpacing/>
        <w:jc w:val="left"/>
        <w:rPr>
          <w:rFonts w:ascii="Arial" w:hAnsi="Arial" w:cs="Arial"/>
          <w:noProof/>
          <w:sz w:val="20"/>
          <w:szCs w:val="24"/>
        </w:rPr>
      </w:pPr>
      <w:r w:rsidRPr="00786151">
        <w:rPr>
          <w:rFonts w:ascii="Arial" w:hAnsi="Arial" w:cs="Arial"/>
          <w:bCs/>
          <w:noProof/>
          <w:sz w:val="20"/>
          <w:szCs w:val="24"/>
        </w:rPr>
        <w:t>S6</w:t>
      </w:r>
      <w:r w:rsidRPr="00786151">
        <w:rPr>
          <w:rFonts w:ascii="Arial" w:hAnsi="Arial" w:cs="Arial"/>
          <w:noProof/>
          <w:sz w:val="20"/>
          <w:szCs w:val="24"/>
        </w:rPr>
        <w:tab/>
        <w:t xml:space="preserve">Solomon S, Kolb C, Mohanty S </w:t>
      </w:r>
      <w:r w:rsidRPr="00786151">
        <w:rPr>
          <w:rFonts w:ascii="Arial" w:hAnsi="Arial" w:cs="Arial"/>
          <w:i/>
          <w:iCs/>
          <w:noProof/>
          <w:sz w:val="20"/>
          <w:szCs w:val="24"/>
        </w:rPr>
        <w:t>et al.</w:t>
      </w:r>
      <w:r w:rsidRPr="00786151">
        <w:rPr>
          <w:rFonts w:ascii="Arial" w:hAnsi="Arial" w:cs="Arial"/>
          <w:noProof/>
          <w:sz w:val="20"/>
          <w:szCs w:val="24"/>
        </w:rPr>
        <w:t xml:space="preserve"> Transmission of antibody-induced arthritis is independent of complement component 4 (C4) and the complement receptors 1 and 2 (CD21/35). Eur J Immunol 2002: </w:t>
      </w:r>
      <w:r w:rsidRPr="00786151">
        <w:rPr>
          <w:rFonts w:ascii="Arial" w:hAnsi="Arial" w:cs="Arial"/>
          <w:bCs/>
          <w:noProof/>
          <w:sz w:val="20"/>
          <w:szCs w:val="24"/>
        </w:rPr>
        <w:t>32</w:t>
      </w:r>
      <w:r w:rsidRPr="00786151">
        <w:rPr>
          <w:rFonts w:ascii="Arial" w:hAnsi="Arial" w:cs="Arial"/>
          <w:noProof/>
          <w:sz w:val="20"/>
          <w:szCs w:val="24"/>
        </w:rPr>
        <w:t>: 644–51.</w:t>
      </w:r>
    </w:p>
    <w:p w:rsidR="00786151" w:rsidRPr="0096342E" w:rsidRDefault="00786151" w:rsidP="00786151">
      <w:pPr>
        <w:autoSpaceDE w:val="0"/>
        <w:autoSpaceDN w:val="0"/>
        <w:adjustRightInd w:val="0"/>
        <w:spacing w:line="360" w:lineRule="auto"/>
        <w:ind w:left="641" w:hanging="641"/>
        <w:contextualSpacing/>
        <w:jc w:val="left"/>
        <w:rPr>
          <w:rFonts w:ascii="Arial" w:hAnsi="Arial" w:cs="Arial"/>
          <w:noProof/>
          <w:sz w:val="20"/>
          <w:szCs w:val="24"/>
        </w:rPr>
      </w:pPr>
      <w:r>
        <w:rPr>
          <w:rFonts w:ascii="Arial" w:hAnsi="Arial" w:cs="Arial"/>
          <w:noProof/>
          <w:sz w:val="20"/>
          <w:szCs w:val="24"/>
        </w:rPr>
        <w:t>S7</w:t>
      </w:r>
      <w:r>
        <w:rPr>
          <w:rFonts w:ascii="Arial" w:hAnsi="Arial" w:cs="Arial"/>
          <w:noProof/>
          <w:sz w:val="20"/>
          <w:szCs w:val="24"/>
        </w:rPr>
        <w:tab/>
      </w:r>
      <w:r w:rsidRPr="0096342E">
        <w:rPr>
          <w:rFonts w:ascii="Arial" w:hAnsi="Arial" w:cs="Arial"/>
          <w:noProof/>
          <w:sz w:val="20"/>
          <w:szCs w:val="24"/>
        </w:rPr>
        <w:t xml:space="preserve">Sitaru C. Experimental models of epidermolysis bullosa acquisita. Exp Dermatol 2007: </w:t>
      </w:r>
      <w:r w:rsidRPr="0096342E">
        <w:rPr>
          <w:rFonts w:ascii="Arial" w:hAnsi="Arial" w:cs="Arial"/>
          <w:b/>
          <w:bCs/>
          <w:noProof/>
          <w:sz w:val="20"/>
          <w:szCs w:val="24"/>
        </w:rPr>
        <w:t>16</w:t>
      </w:r>
      <w:r w:rsidRPr="0096342E">
        <w:rPr>
          <w:rFonts w:ascii="Arial" w:hAnsi="Arial" w:cs="Arial"/>
          <w:noProof/>
          <w:sz w:val="20"/>
          <w:szCs w:val="24"/>
        </w:rPr>
        <w:t>: 520–31.</w:t>
      </w:r>
    </w:p>
    <w:p w:rsidR="00786151" w:rsidRPr="00786151" w:rsidRDefault="00786151" w:rsidP="00786151">
      <w:pPr>
        <w:autoSpaceDE w:val="0"/>
        <w:autoSpaceDN w:val="0"/>
        <w:adjustRightInd w:val="0"/>
        <w:spacing w:line="360" w:lineRule="auto"/>
        <w:ind w:left="641" w:hanging="641"/>
        <w:contextualSpacing/>
        <w:jc w:val="left"/>
        <w:rPr>
          <w:rFonts w:ascii="Arial" w:hAnsi="Arial" w:cs="Arial"/>
          <w:noProof/>
          <w:sz w:val="20"/>
          <w:szCs w:val="24"/>
        </w:rPr>
      </w:pPr>
      <w:r w:rsidRPr="00786151">
        <w:rPr>
          <w:rFonts w:ascii="Arial" w:hAnsi="Arial" w:cs="Arial"/>
          <w:bCs/>
          <w:noProof/>
          <w:sz w:val="20"/>
          <w:szCs w:val="24"/>
        </w:rPr>
        <w:t>S8</w:t>
      </w:r>
      <w:r w:rsidRPr="00786151">
        <w:rPr>
          <w:rFonts w:ascii="Arial" w:hAnsi="Arial" w:cs="Arial"/>
          <w:noProof/>
          <w:sz w:val="20"/>
          <w:szCs w:val="24"/>
        </w:rPr>
        <w:tab/>
        <w:t xml:space="preserve">Bieber K, Sun S, Ishii N </w:t>
      </w:r>
      <w:r w:rsidRPr="00786151">
        <w:rPr>
          <w:rFonts w:ascii="Arial" w:hAnsi="Arial" w:cs="Arial"/>
          <w:i/>
          <w:iCs/>
          <w:noProof/>
          <w:sz w:val="20"/>
          <w:szCs w:val="24"/>
        </w:rPr>
        <w:t>et al.</w:t>
      </w:r>
      <w:r w:rsidRPr="00786151">
        <w:rPr>
          <w:rFonts w:ascii="Arial" w:hAnsi="Arial" w:cs="Arial"/>
          <w:noProof/>
          <w:sz w:val="20"/>
          <w:szCs w:val="24"/>
        </w:rPr>
        <w:t xml:space="preserve"> Animal models for autoimmune bullous dermatoses. Exp </w:t>
      </w:r>
      <w:bookmarkStart w:id="0" w:name="_GoBack"/>
      <w:bookmarkEnd w:id="0"/>
      <w:r w:rsidRPr="00786151">
        <w:rPr>
          <w:rFonts w:ascii="Arial" w:hAnsi="Arial" w:cs="Arial"/>
          <w:noProof/>
          <w:sz w:val="20"/>
          <w:szCs w:val="24"/>
        </w:rPr>
        <w:t xml:space="preserve">Dermatol 2010: </w:t>
      </w:r>
      <w:r w:rsidRPr="00786151">
        <w:rPr>
          <w:rFonts w:ascii="Arial" w:hAnsi="Arial" w:cs="Arial"/>
          <w:bCs/>
          <w:noProof/>
          <w:sz w:val="20"/>
          <w:szCs w:val="24"/>
        </w:rPr>
        <w:t>19</w:t>
      </w:r>
      <w:r w:rsidRPr="00786151">
        <w:rPr>
          <w:rFonts w:ascii="Arial" w:hAnsi="Arial" w:cs="Arial"/>
          <w:noProof/>
          <w:sz w:val="20"/>
          <w:szCs w:val="24"/>
        </w:rPr>
        <w:t>: 2–11.</w:t>
      </w:r>
    </w:p>
    <w:p w:rsidR="00786151" w:rsidRPr="00786151" w:rsidRDefault="00786151" w:rsidP="00786151">
      <w:pPr>
        <w:autoSpaceDE w:val="0"/>
        <w:autoSpaceDN w:val="0"/>
        <w:adjustRightInd w:val="0"/>
        <w:spacing w:line="360" w:lineRule="auto"/>
        <w:ind w:left="641" w:hanging="641"/>
        <w:contextualSpacing/>
        <w:jc w:val="left"/>
        <w:rPr>
          <w:rFonts w:ascii="Arial" w:hAnsi="Arial" w:cs="Arial"/>
          <w:noProof/>
          <w:sz w:val="20"/>
          <w:szCs w:val="24"/>
        </w:rPr>
      </w:pPr>
      <w:r w:rsidRPr="00786151">
        <w:rPr>
          <w:rFonts w:ascii="Arial" w:hAnsi="Arial" w:cs="Arial"/>
          <w:bCs/>
          <w:noProof/>
          <w:sz w:val="20"/>
          <w:szCs w:val="24"/>
        </w:rPr>
        <w:t>S9</w:t>
      </w:r>
      <w:r w:rsidRPr="00786151">
        <w:rPr>
          <w:rFonts w:ascii="Arial" w:hAnsi="Arial" w:cs="Arial"/>
          <w:noProof/>
          <w:sz w:val="20"/>
          <w:szCs w:val="24"/>
        </w:rPr>
        <w:tab/>
        <w:t xml:space="preserve">Sitaru C, Mihai S, Otto C </w:t>
      </w:r>
      <w:r w:rsidRPr="00786151">
        <w:rPr>
          <w:rFonts w:ascii="Arial" w:hAnsi="Arial" w:cs="Arial"/>
          <w:i/>
          <w:iCs/>
          <w:noProof/>
          <w:sz w:val="20"/>
          <w:szCs w:val="24"/>
        </w:rPr>
        <w:t>et al.</w:t>
      </w:r>
      <w:r w:rsidRPr="00786151">
        <w:rPr>
          <w:rFonts w:ascii="Arial" w:hAnsi="Arial" w:cs="Arial"/>
          <w:noProof/>
          <w:sz w:val="20"/>
          <w:szCs w:val="24"/>
        </w:rPr>
        <w:t xml:space="preserve"> Induction of dermal-epidermal separation in mice by passive transfer of antibodies specific to type VII collagen. 2005: </w:t>
      </w:r>
      <w:r w:rsidRPr="00786151">
        <w:rPr>
          <w:rFonts w:ascii="Arial" w:hAnsi="Arial" w:cs="Arial"/>
          <w:bCs/>
          <w:noProof/>
          <w:sz w:val="20"/>
          <w:szCs w:val="24"/>
        </w:rPr>
        <w:t>115</w:t>
      </w:r>
    </w:p>
    <w:p w:rsidR="00786151" w:rsidRPr="0096342E" w:rsidRDefault="00786151" w:rsidP="00786151">
      <w:pPr>
        <w:autoSpaceDE w:val="0"/>
        <w:autoSpaceDN w:val="0"/>
        <w:adjustRightInd w:val="0"/>
        <w:spacing w:line="360" w:lineRule="auto"/>
        <w:ind w:left="641" w:hanging="641"/>
        <w:contextualSpacing/>
        <w:jc w:val="left"/>
        <w:rPr>
          <w:rFonts w:ascii="Arial" w:hAnsi="Arial" w:cs="Arial"/>
          <w:noProof/>
          <w:sz w:val="20"/>
          <w:szCs w:val="24"/>
        </w:rPr>
      </w:pPr>
      <w:r w:rsidRPr="00786151">
        <w:rPr>
          <w:rFonts w:ascii="Arial" w:hAnsi="Arial" w:cs="Arial"/>
          <w:bCs/>
          <w:noProof/>
          <w:sz w:val="20"/>
          <w:szCs w:val="24"/>
        </w:rPr>
        <w:t>S10</w:t>
      </w:r>
      <w:r w:rsidRPr="00786151">
        <w:rPr>
          <w:rFonts w:ascii="Arial" w:hAnsi="Arial" w:cs="Arial"/>
          <w:noProof/>
          <w:sz w:val="20"/>
          <w:szCs w:val="24"/>
        </w:rPr>
        <w:tab/>
        <w:t>W</w:t>
      </w:r>
      <w:r w:rsidRPr="0096342E">
        <w:rPr>
          <w:rFonts w:ascii="Arial" w:hAnsi="Arial" w:cs="Arial"/>
          <w:noProof/>
          <w:sz w:val="20"/>
          <w:szCs w:val="24"/>
        </w:rPr>
        <w:t xml:space="preserve">oof J M, Russell M W. Structure and function relationships in IgA. Mucosal Immunol 2011: </w:t>
      </w:r>
      <w:r w:rsidRPr="0096342E">
        <w:rPr>
          <w:rFonts w:ascii="Arial" w:hAnsi="Arial" w:cs="Arial"/>
          <w:b/>
          <w:bCs/>
          <w:noProof/>
          <w:sz w:val="20"/>
          <w:szCs w:val="24"/>
        </w:rPr>
        <w:t>4</w:t>
      </w:r>
      <w:r w:rsidRPr="0096342E">
        <w:rPr>
          <w:rFonts w:ascii="Arial" w:hAnsi="Arial" w:cs="Arial"/>
          <w:noProof/>
          <w:sz w:val="20"/>
          <w:szCs w:val="24"/>
        </w:rPr>
        <w:t>: 590–597.</w:t>
      </w:r>
    </w:p>
    <w:p w:rsidR="002314AE" w:rsidRPr="00786151" w:rsidRDefault="002314AE"/>
    <w:sectPr w:rsidR="002314AE" w:rsidRPr="0078615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0AF" w:rsidRDefault="001520AF" w:rsidP="00786151">
      <w:pPr>
        <w:spacing w:after="0" w:line="240" w:lineRule="auto"/>
      </w:pPr>
      <w:r>
        <w:separator/>
      </w:r>
    </w:p>
  </w:endnote>
  <w:endnote w:type="continuationSeparator" w:id="0">
    <w:p w:rsidR="001520AF" w:rsidRDefault="001520AF" w:rsidP="00786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0AF" w:rsidRDefault="001520AF" w:rsidP="00786151">
      <w:pPr>
        <w:spacing w:after="0" w:line="240" w:lineRule="auto"/>
      </w:pPr>
      <w:r>
        <w:separator/>
      </w:r>
    </w:p>
  </w:footnote>
  <w:footnote w:type="continuationSeparator" w:id="0">
    <w:p w:rsidR="001520AF" w:rsidRDefault="001520AF" w:rsidP="007861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93"/>
    <w:rsid w:val="001520AF"/>
    <w:rsid w:val="002314AE"/>
    <w:rsid w:val="00786151"/>
    <w:rsid w:val="00C4145A"/>
    <w:rsid w:val="00F37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287C88A-0842-484F-BD45-AA25B22F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893"/>
    <w:pPr>
      <w:spacing w:after="200" w:line="276" w:lineRule="auto"/>
      <w:jc w:val="both"/>
    </w:pPr>
    <w:rPr>
      <w:rFonts w:ascii="Calibri" w:eastAsia="ＭＳ 明朝" w:hAnsi="Calibri" w:cs="Calibri"/>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6151"/>
    <w:pPr>
      <w:tabs>
        <w:tab w:val="center" w:pos="4252"/>
        <w:tab w:val="right" w:pos="8504"/>
      </w:tabs>
      <w:snapToGrid w:val="0"/>
    </w:pPr>
  </w:style>
  <w:style w:type="character" w:customStyle="1" w:styleId="a4">
    <w:name w:val="ヘッダー (文字)"/>
    <w:basedOn w:val="a0"/>
    <w:link w:val="a3"/>
    <w:uiPriority w:val="99"/>
    <w:rsid w:val="00786151"/>
    <w:rPr>
      <w:rFonts w:ascii="Calibri" w:eastAsia="ＭＳ 明朝" w:hAnsi="Calibri" w:cs="Calibri"/>
      <w:kern w:val="0"/>
      <w:sz w:val="22"/>
    </w:rPr>
  </w:style>
  <w:style w:type="paragraph" w:styleId="a5">
    <w:name w:val="footer"/>
    <w:basedOn w:val="a"/>
    <w:link w:val="a6"/>
    <w:uiPriority w:val="99"/>
    <w:unhideWhenUsed/>
    <w:rsid w:val="00786151"/>
    <w:pPr>
      <w:tabs>
        <w:tab w:val="center" w:pos="4252"/>
        <w:tab w:val="right" w:pos="8504"/>
      </w:tabs>
      <w:snapToGrid w:val="0"/>
    </w:pPr>
  </w:style>
  <w:style w:type="character" w:customStyle="1" w:styleId="a6">
    <w:name w:val="フッター (文字)"/>
    <w:basedOn w:val="a0"/>
    <w:link w:val="a5"/>
    <w:uiPriority w:val="99"/>
    <w:rsid w:val="00786151"/>
    <w:rPr>
      <w:rFonts w:ascii="Calibri" w:eastAsia="ＭＳ 明朝" w:hAnsi="Calibri" w:cs="Calibr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Pages>
  <Words>365</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dc:creator>
  <cp:keywords/>
  <dc:description/>
  <cp:lastModifiedBy>Hiro</cp:lastModifiedBy>
  <cp:revision>3</cp:revision>
  <dcterms:created xsi:type="dcterms:W3CDTF">2017-03-23T03:05:00Z</dcterms:created>
  <dcterms:modified xsi:type="dcterms:W3CDTF">2017-03-23T08:10:00Z</dcterms:modified>
</cp:coreProperties>
</file>