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F3" w:rsidRPr="00B6128C" w:rsidRDefault="00BE5DF3" w:rsidP="00A52587">
      <w:pPr>
        <w:spacing w:line="480" w:lineRule="auto"/>
        <w:rPr>
          <w:rFonts w:ascii="Arial" w:hAnsi="Arial" w:cs="Arial"/>
          <w:b/>
          <w:bCs/>
          <w:kern w:val="0"/>
          <w:sz w:val="22"/>
          <w:szCs w:val="22"/>
        </w:rPr>
      </w:pPr>
      <w:r w:rsidRPr="00B6128C">
        <w:rPr>
          <w:rFonts w:ascii="Arial" w:hAnsi="Arial" w:cs="Arial" w:hint="eastAsia"/>
          <w:b/>
          <w:bCs/>
          <w:kern w:val="0"/>
          <w:sz w:val="22"/>
          <w:szCs w:val="22"/>
        </w:rPr>
        <w:t>Supporting Information</w:t>
      </w:r>
    </w:p>
    <w:p w:rsidR="0076422F" w:rsidRPr="00B6128C" w:rsidRDefault="0076422F" w:rsidP="00A52587">
      <w:pPr>
        <w:spacing w:line="480" w:lineRule="auto"/>
        <w:rPr>
          <w:rFonts w:ascii="Arial" w:hAnsi="Arial" w:cs="Arial"/>
          <w:b/>
          <w:bCs/>
          <w:kern w:val="0"/>
          <w:sz w:val="22"/>
          <w:szCs w:val="22"/>
        </w:rPr>
      </w:pPr>
      <w:r w:rsidRPr="00B6128C">
        <w:rPr>
          <w:rFonts w:ascii="Arial" w:hAnsi="Arial" w:cs="Arial" w:hint="eastAsia"/>
          <w:b/>
          <w:bCs/>
          <w:kern w:val="0"/>
          <w:sz w:val="22"/>
          <w:szCs w:val="22"/>
        </w:rPr>
        <w:t>Experimental Design</w:t>
      </w:r>
    </w:p>
    <w:p w:rsidR="006D682C" w:rsidRPr="00B6128C" w:rsidRDefault="006D682C" w:rsidP="006D682C">
      <w:pPr>
        <w:spacing w:line="480" w:lineRule="auto"/>
        <w:rPr>
          <w:rFonts w:ascii="Arial" w:hAnsi="Arial" w:cs="Arial"/>
          <w:bCs/>
          <w:i/>
          <w:sz w:val="24"/>
          <w:szCs w:val="24"/>
        </w:rPr>
      </w:pPr>
      <w:r w:rsidRPr="00B6128C">
        <w:rPr>
          <w:rFonts w:ascii="Arial" w:hAnsi="Arial" w:cs="Arial"/>
          <w:bCs/>
          <w:i/>
          <w:kern w:val="0"/>
          <w:sz w:val="24"/>
          <w:szCs w:val="24"/>
        </w:rPr>
        <w:t>BP patients and IgG purification</w:t>
      </w:r>
    </w:p>
    <w:p w:rsidR="006D682C" w:rsidRPr="00B6128C" w:rsidRDefault="006D682C" w:rsidP="006D682C">
      <w:pPr>
        <w:autoSpaceDE w:val="0"/>
        <w:autoSpaceDN w:val="0"/>
        <w:adjustRightInd w:val="0"/>
        <w:spacing w:line="480" w:lineRule="auto"/>
        <w:rPr>
          <w:rFonts w:ascii="Arial" w:hAnsi="Arial" w:cs="Arial"/>
          <w:kern w:val="0"/>
          <w:sz w:val="24"/>
          <w:szCs w:val="24"/>
        </w:rPr>
      </w:pPr>
      <w:r w:rsidRPr="00B6128C">
        <w:rPr>
          <w:rFonts w:ascii="Arial" w:hAnsi="Arial" w:cs="Arial"/>
          <w:kern w:val="0"/>
          <w:sz w:val="24"/>
          <w:szCs w:val="24"/>
        </w:rPr>
        <w:t>The BP patients fulfilled the following inclusion criteria: (i) clinical blistering or erosion on the skin and (ii) circulating autoantibodies against COL17 as detected by BP180-NC16A ELISA/CLEIA (</w:t>
      </w:r>
      <w:r w:rsidRPr="00B6128C">
        <w:rPr>
          <w:rFonts w:ascii="Arial" w:hAnsi="Arial" w:cs="Arial"/>
          <w:sz w:val="24"/>
          <w:szCs w:val="24"/>
        </w:rPr>
        <w:t>MBL, Nagoya, Japan</w:t>
      </w:r>
      <w:r w:rsidRPr="00B6128C">
        <w:rPr>
          <w:rFonts w:ascii="Arial" w:hAnsi="Arial" w:cs="Arial"/>
          <w:kern w:val="0"/>
          <w:sz w:val="24"/>
          <w:szCs w:val="24"/>
        </w:rPr>
        <w:t xml:space="preserve">), by a recently established full-length COL17 ELISA </w:t>
      </w:r>
      <w:r w:rsidRPr="00B6128C">
        <w:rPr>
          <w:rFonts w:ascii="Arial" w:hAnsi="Arial" w:cs="Arial"/>
          <w:bCs/>
          <w:sz w:val="24"/>
          <w:szCs w:val="24"/>
        </w:rPr>
        <w:fldChar w:fldCharType="begin" w:fldLock="1"/>
      </w:r>
      <w:r w:rsidR="00D411C9" w:rsidRPr="00B6128C">
        <w:rPr>
          <w:rFonts w:ascii="Arial" w:hAnsi="Arial" w:cs="Arial"/>
          <w:bCs/>
          <w:sz w:val="24"/>
          <w:szCs w:val="24"/>
        </w:rPr>
        <w:instrText>ADDIN CSL_CITATION { "citationItems" : [ { "id" : "ITEM-1", "itemData" : { "ISSN" : "1523-1747", "PMID" : "27424319", "abstract" : "Bullous pemphigoid (BP) is a major autoimmune blistering skin disorder, in which a majority of the autoantibodies (autoAbs) target the juxtamembranous extracellular noncollagenous 16A domain (NC16A) domain of hemidesmosomal collagen XVII. BP-autoAbs may target regions of collagen XVII other than the NC16A domain; however, correlations between epitopes of BP-autoAbs and clinical features have not been fully elucidated. To address correlations between the clinical features and specific epitopes of BP-autoAbs, we evaluated the epitope profiles of BP-autoAbs in 121 patients. A total of 87 patients showed a typical inflammatory phenotype with erythema and autoAbs targeting the anti-NC16A domain, whereas 14 patients showed a distinct noninflammatory phenotype, in which autoAbs specifically targeted the midportion of collagen XVII, but not NC16A. Interestingly, this group clinically showed significantly reduced erythema associated with scant lesional infiltration of eosinophils. Surprisingly, 7 of the 14 cases (50.0%) received dipeptidyl peptidase-IV inhibitors for the treatment of diabetes. Dipeptidyl peptidase-IV inhibitors were used in 3 of 76 (3.9%) typical cases of BP with autoAbs targeting NC16A; thus, dipeptidyl peptidase-IV inhibitors are thought to be involved in the development of atypical noninflammatory BP. This study shows that the autoAb profile differentiates between inflammatory and noninflammatory BP, and that noninflammatory BP may be associated with dipeptidyl peptidase-IV inhibitors.", "author" : [ { "dropping-particle" : "", "family" : "Izumi", "given" : "Kentaro", "non-dropping-particle" : "", "parse-names" : false, "suffix" : "" }, { "dropping-particle" : "", "family" : "Nishie", "given" : "Wataru", "non-dropping-particle" : "", "parse-names" : false, "suffix" : "" }, { "dropping-particle" : "", "family" : "Mai", "given" : "Yosuke", "non-dropping-particle" : "", "parse-names" : false, "suffix" : "" }, { "dropping-particle" : "", "family" : "Wada", "given" : "Mayumi", "non-dropping-particle" : "", "parse-names" : false, "suffix" : "" }, { "dropping-particle" : "", "family" : "Natsuga", "given" : "Ken", "non-dropping-particle" : "", "parse-names" : false, "suffix" : "" }, { "dropping-particle" : "", "family" : "Ujiie", "given" : "Hideyuki", "non-dropping-particle" : "", "parse-names" : false, "suffix" : "" }, { "dropping-particle" : "", "family" : "Iwata", "given" : "Hiroaki", "non-dropping-particle" : "", "parse-names" : false, "suffix" : "" }, { "dropping-particle" : "", "family" : "Yamagami", "given" : "Jun", "non-dropping-particle" : "", "parse-names" : false, "suffix" : "" }, { "dropping-particle" : "", "family" : "Shimizu", "given" : "Hiroshi", "non-dropping-particle" : "", "parse-names" : false, "suffix" : "" } ], "container-title" : "The Journal of investigative dermatology", "id" : "ITEM-1", "issue" : "11", "issued" : { "date-parts" : [ [ "2016", "11", "13" ] ] }, "page" : "2201-2210", "title" : "Autoantibody Profile Differentiates between Inflammatory and Noninflammatory Bullous Pemphigoid.", "type" : "article-journal", "volume" : "136" }, "uris" : [ "http://www.mendeley.com/documents/?uuid=eb704f9d-81ad-3d83-bfb0-d03c1e070ae9" ] } ], "mendeley" : { "formattedCitation" : "(1)", "plainTextFormattedCitation" : "(1)", "previouslyFormattedCitation" : "(1)" }, "properties" : { "noteIndex" : 0 }, "schema" : "https://github.com/citation-style-language/schema/raw/master/csl-citation.json" }</w:instrText>
      </w:r>
      <w:r w:rsidRPr="00B6128C">
        <w:rPr>
          <w:rFonts w:ascii="Arial" w:hAnsi="Arial" w:cs="Arial"/>
          <w:bCs/>
          <w:sz w:val="24"/>
          <w:szCs w:val="24"/>
        </w:rPr>
        <w:fldChar w:fldCharType="separate"/>
      </w:r>
      <w:r w:rsidRPr="00B6128C">
        <w:rPr>
          <w:rFonts w:ascii="Arial" w:hAnsi="Arial" w:cs="Arial"/>
          <w:bCs/>
          <w:noProof/>
          <w:sz w:val="24"/>
          <w:szCs w:val="24"/>
        </w:rPr>
        <w:t>(1)</w:t>
      </w:r>
      <w:r w:rsidRPr="00B6128C">
        <w:rPr>
          <w:rFonts w:ascii="Arial" w:hAnsi="Arial" w:cs="Arial"/>
          <w:bCs/>
          <w:sz w:val="24"/>
          <w:szCs w:val="24"/>
        </w:rPr>
        <w:fldChar w:fldCharType="end"/>
      </w:r>
      <w:r w:rsidRPr="00B6128C">
        <w:rPr>
          <w:rFonts w:ascii="Arial" w:hAnsi="Arial" w:cs="Arial"/>
          <w:kern w:val="0"/>
          <w:sz w:val="24"/>
          <w:szCs w:val="24"/>
        </w:rPr>
        <w:t xml:space="preserve"> or by Western blotting using epidermal extract </w:t>
      </w:r>
      <w:r w:rsidRPr="00B6128C">
        <w:rPr>
          <w:rFonts w:ascii="Arial" w:hAnsi="Arial" w:cs="Arial"/>
          <w:kern w:val="0"/>
          <w:sz w:val="24"/>
          <w:szCs w:val="24"/>
        </w:rPr>
        <w:fldChar w:fldCharType="begin" w:fldLock="1"/>
      </w:r>
      <w:r w:rsidR="00D411C9" w:rsidRPr="00B6128C">
        <w:rPr>
          <w:rFonts w:ascii="Arial" w:hAnsi="Arial" w:cs="Arial"/>
          <w:kern w:val="0"/>
          <w:sz w:val="24"/>
          <w:szCs w:val="24"/>
        </w:rPr>
        <w:instrText>ADDIN CSL_CITATION { "citationItems" : [ { "id" : "ITEM-1", "itemData" : { "ISSN" : "0923-1811", "PMID" : "8136317", "abstract" : "Patients with linear IgA deposits at the basement membrane zone (BMZ) detected by direct immunofluorescence (IF) may show diverse clinical and laboratory findings. The aim of this study was to investigate the issue of target antigens for linear IgA disease (LAD) antibodies. We examined sera from 46 adults and children with exclusive IgA deposits at the BMZ, by both indirect IF on 1 M NaCl split human skin and immunoblotting. IgA anti-BMZ antibodies binding to the epidermal side of the split were found in 31 LAD sera. IgA anti-BMZ antibodies binding to the dermal side of the split were detected only in 4 LAD sera. No sera contained IgA anti-BMZ antibodies binding to both sides of the split. Immunoblotting revealed that 12 epidermal side-positive LAD sera reacted with the 97 kDa protein in the human epidermal extracts. Moreover, we found that 2 dermal side-positive LAD sera reacted with a protein of approximately 255 kDa on immunoblotting of the dermal extract. We conclude that there are at least two types of LAD. However, the nature of target antigens for LAD antibodies remains to be determined.", "author" : [ { "dropping-particle" : "", "family" : "Dmochowski", "given" : "M", "non-dropping-particle" : "", "parse-names" : false, "suffix" : "" }, { "dropping-particle" : "", "family" : "Hashimoto", "given" : "T", "non-dropping-particle" : "", "parse-names" : false, "suffix" : "" }, { "dropping-particle" : "", "family" : "Bhogal", "given" : "B S", "non-dropping-particle" : "", "parse-names" : false, "suffix" : "" }, { "dropping-particle" : "", "family" : "Black", "given" : "M M", "non-dropping-particle" : "", "parse-names" : false, "suffix" : "" }, { "dropping-particle" : "", "family" : "Zone", "given" : "J J", "non-dropping-particle" : "", "parse-names" : false, "suffix" : "" }, { "dropping-particle" : "", "family" : "Nishikawa", "given" : "T", "non-dropping-particle" : "", "parse-names" : false, "suffix" : "" } ], "container-title" : "Journal of dermatological science", "id" : "ITEM-1", "issue" : "3", "issued" : { "date-parts" : [ [ "1993", "12" ] ] }, "page" : "194-200", "title" : "Immunoblotting studies of linear IgA disease.", "type" : "article-journal", "volume" : "6" }, "uris" : [ "http://www.mendeley.com/documents/?uuid=74e439a7-cd52-493c-80a4-d1a784f63cf9" ] } ], "mendeley" : { "formattedCitation" : "(2)", "plainTextFormattedCitation" : "(2)", "previouslyFormattedCitation" : "(2)" }, "properties" : { "noteIndex" : 0 }, "schema" : "https://github.com/citation-style-language/schema/raw/master/csl-citation.json" }</w:instrText>
      </w:r>
      <w:r w:rsidRPr="00B6128C">
        <w:rPr>
          <w:rFonts w:ascii="Arial" w:hAnsi="Arial" w:cs="Arial"/>
          <w:kern w:val="0"/>
          <w:sz w:val="24"/>
          <w:szCs w:val="24"/>
        </w:rPr>
        <w:fldChar w:fldCharType="separate"/>
      </w:r>
      <w:r w:rsidRPr="00B6128C">
        <w:rPr>
          <w:rFonts w:ascii="Arial" w:hAnsi="Arial" w:cs="Arial"/>
          <w:noProof/>
          <w:kern w:val="0"/>
          <w:sz w:val="24"/>
          <w:szCs w:val="24"/>
        </w:rPr>
        <w:t>(2)</w:t>
      </w:r>
      <w:r w:rsidRPr="00B6128C">
        <w:rPr>
          <w:rFonts w:ascii="Arial" w:hAnsi="Arial" w:cs="Arial"/>
          <w:kern w:val="0"/>
          <w:sz w:val="24"/>
          <w:szCs w:val="24"/>
        </w:rPr>
        <w:fldChar w:fldCharType="end"/>
      </w:r>
      <w:r w:rsidRPr="00B6128C">
        <w:rPr>
          <w:rFonts w:ascii="Arial" w:hAnsi="Arial" w:cs="Arial"/>
          <w:kern w:val="0"/>
          <w:sz w:val="24"/>
          <w:szCs w:val="24"/>
        </w:rPr>
        <w:t>.</w:t>
      </w:r>
      <w:r w:rsidRPr="00B6128C">
        <w:rPr>
          <w:rFonts w:ascii="Arial" w:hAnsi="Arial" w:cs="Arial" w:hint="eastAsia"/>
          <w:kern w:val="0"/>
          <w:sz w:val="24"/>
          <w:szCs w:val="24"/>
        </w:rPr>
        <w:t xml:space="preserve"> </w:t>
      </w:r>
      <w:r w:rsidRPr="00B6128C">
        <w:rPr>
          <w:rFonts w:ascii="Arial" w:hAnsi="Arial" w:cs="Arial"/>
          <w:kern w:val="0"/>
          <w:sz w:val="24"/>
          <w:szCs w:val="24"/>
        </w:rPr>
        <w:t>Patients’ serum were obtained before systemic therapy. BP patients were subdivided into two types: NC16A-BP patients, who had autoantibodies against NC16A, and non-NC16A-BP patients, who did not have autoantibodies against NC16A but who did have autoantibodies against parts of COL17 outside the NC16A domain.</w:t>
      </w:r>
    </w:p>
    <w:p w:rsidR="006D682C" w:rsidRPr="00B6128C" w:rsidRDefault="006D682C" w:rsidP="006D682C">
      <w:pPr>
        <w:autoSpaceDE w:val="0"/>
        <w:autoSpaceDN w:val="0"/>
        <w:adjustRightInd w:val="0"/>
        <w:spacing w:line="480" w:lineRule="auto"/>
        <w:rPr>
          <w:rFonts w:ascii="Arial" w:hAnsi="Arial" w:cs="Arial"/>
          <w:kern w:val="0"/>
          <w:sz w:val="24"/>
          <w:szCs w:val="24"/>
        </w:rPr>
      </w:pPr>
      <w:r w:rsidRPr="00B6128C">
        <w:rPr>
          <w:rFonts w:ascii="Arial" w:hAnsi="Arial" w:cs="Arial"/>
          <w:kern w:val="0"/>
          <w:sz w:val="24"/>
          <w:szCs w:val="24"/>
        </w:rPr>
        <w:t xml:space="preserve">For this study, </w:t>
      </w:r>
      <w:r w:rsidRPr="00B6128C">
        <w:rPr>
          <w:rFonts w:ascii="Arial" w:hAnsi="Arial" w:cs="Arial" w:hint="eastAsia"/>
          <w:kern w:val="0"/>
          <w:sz w:val="24"/>
          <w:szCs w:val="24"/>
        </w:rPr>
        <w:t>8</w:t>
      </w:r>
      <w:r w:rsidRPr="00B6128C">
        <w:rPr>
          <w:rFonts w:ascii="Arial" w:hAnsi="Arial" w:cs="Arial"/>
          <w:kern w:val="0"/>
          <w:sz w:val="24"/>
          <w:szCs w:val="24"/>
        </w:rPr>
        <w:t xml:space="preserve"> patients with BP (4 with NC16A-</w:t>
      </w:r>
      <w:r w:rsidR="000D7D6B" w:rsidRPr="00B6128C">
        <w:rPr>
          <w:rFonts w:ascii="Arial" w:hAnsi="Arial" w:cs="Arial"/>
          <w:kern w:val="0"/>
          <w:sz w:val="24"/>
          <w:szCs w:val="24"/>
        </w:rPr>
        <w:t>BP and 4 with non-NC16A-BP, Supplementary Table 1) and 4</w:t>
      </w:r>
      <w:r w:rsidRPr="00B6128C">
        <w:rPr>
          <w:rFonts w:ascii="Arial" w:hAnsi="Arial" w:cs="Arial"/>
          <w:kern w:val="0"/>
          <w:sz w:val="24"/>
          <w:szCs w:val="24"/>
        </w:rPr>
        <w:t xml:space="preserve"> health</w:t>
      </w:r>
      <w:r w:rsidR="000D7D6B" w:rsidRPr="00B6128C">
        <w:rPr>
          <w:rFonts w:ascii="Arial" w:hAnsi="Arial" w:cs="Arial"/>
          <w:kern w:val="0"/>
          <w:sz w:val="24"/>
          <w:szCs w:val="24"/>
        </w:rPr>
        <w:t>y volunteers were investigated</w:t>
      </w:r>
      <w:r w:rsidRPr="00B6128C">
        <w:rPr>
          <w:rFonts w:ascii="Arial" w:hAnsi="Arial" w:cs="Arial"/>
          <w:kern w:val="0"/>
          <w:sz w:val="24"/>
          <w:szCs w:val="24"/>
        </w:rPr>
        <w:t xml:space="preserve">. Total IgG was purified using the protein G affinity column according to the manufacturer’s instructions (GE Healthcare, Amersham, UK). In accordance with the Hokkaido University Hospital bylaws and standard operating procedures approved by the Hokkaido University Hospital Review Board, we obtained consent from each </w:t>
      </w:r>
      <w:r w:rsidRPr="00B6128C">
        <w:rPr>
          <w:rFonts w:ascii="Arial" w:hAnsi="Arial" w:cs="Arial"/>
          <w:kern w:val="0"/>
          <w:sz w:val="24"/>
          <w:szCs w:val="24"/>
        </w:rPr>
        <w:lastRenderedPageBreak/>
        <w:t xml:space="preserve">participating patient upon his or her first visit to the hospital for experimental procedures to be performed at Hokkaido University Hospital. The studies were conducted according to the </w:t>
      </w:r>
      <w:r w:rsidRPr="00B6128C">
        <w:rPr>
          <w:rFonts w:ascii="Arial" w:hAnsi="Arial" w:cs="Arial"/>
          <w:i/>
          <w:kern w:val="0"/>
          <w:sz w:val="24"/>
          <w:szCs w:val="24"/>
        </w:rPr>
        <w:t>Declaration of Helsinki</w:t>
      </w:r>
      <w:r w:rsidRPr="00B6128C">
        <w:rPr>
          <w:rFonts w:ascii="Arial" w:hAnsi="Arial" w:cs="Arial"/>
          <w:kern w:val="0"/>
          <w:sz w:val="24"/>
          <w:szCs w:val="24"/>
        </w:rPr>
        <w:t>.</w:t>
      </w:r>
    </w:p>
    <w:p w:rsidR="006D682C" w:rsidRPr="00B6128C" w:rsidRDefault="006D682C" w:rsidP="006D682C">
      <w:pPr>
        <w:autoSpaceDE w:val="0"/>
        <w:autoSpaceDN w:val="0"/>
        <w:adjustRightInd w:val="0"/>
        <w:spacing w:line="480" w:lineRule="auto"/>
        <w:rPr>
          <w:rFonts w:ascii="Arial" w:hAnsi="Arial" w:cs="Arial"/>
          <w:b/>
          <w:bCs/>
          <w:sz w:val="24"/>
          <w:szCs w:val="24"/>
        </w:rPr>
      </w:pPr>
    </w:p>
    <w:p w:rsidR="006D682C" w:rsidRPr="00B6128C" w:rsidRDefault="006D682C" w:rsidP="006D682C">
      <w:pPr>
        <w:autoSpaceDE w:val="0"/>
        <w:autoSpaceDN w:val="0"/>
        <w:adjustRightInd w:val="0"/>
        <w:spacing w:line="480" w:lineRule="auto"/>
        <w:rPr>
          <w:rFonts w:ascii="Arial" w:hAnsi="Arial" w:cs="Arial"/>
          <w:bCs/>
          <w:i/>
          <w:sz w:val="24"/>
          <w:szCs w:val="24"/>
        </w:rPr>
      </w:pPr>
      <w:r w:rsidRPr="00B6128C">
        <w:rPr>
          <w:rFonts w:ascii="Arial" w:hAnsi="Arial" w:cs="Arial"/>
          <w:bCs/>
          <w:i/>
          <w:sz w:val="24"/>
          <w:szCs w:val="24"/>
        </w:rPr>
        <w:t xml:space="preserve">Immunofluorescent (IF) microscopy </w:t>
      </w:r>
    </w:p>
    <w:p w:rsidR="006D682C" w:rsidRPr="00B6128C" w:rsidRDefault="006D682C" w:rsidP="006D682C">
      <w:pPr>
        <w:spacing w:line="480" w:lineRule="auto"/>
        <w:rPr>
          <w:rFonts w:ascii="Arial" w:eastAsia="AdvOptima" w:hAnsi="Arial" w:cs="Arial"/>
          <w:sz w:val="24"/>
          <w:szCs w:val="24"/>
        </w:rPr>
      </w:pPr>
      <w:r w:rsidRPr="00B6128C">
        <w:rPr>
          <w:rFonts w:ascii="Arial" w:eastAsia="LegacySerifStd-Book" w:hAnsi="Arial" w:cs="Arial"/>
          <w:sz w:val="24"/>
          <w:szCs w:val="24"/>
        </w:rPr>
        <w:t xml:space="preserve">Indirect IF microscopy was performed to detect IgG and IgG subclasses. Briefly, 5-µm frozen healthy human skin sections were incubated with 100-fold patients’ serum and then stained using 100-fold diluted FITC-conjugated anti-human IgG (Jackson ImmunoResearch Laboratories, West Grove, PA) or FITC-conjugated anti-human IgG </w:t>
      </w:r>
      <w:r w:rsidRPr="00B6128C">
        <w:rPr>
          <w:rFonts w:ascii="Arial" w:hAnsi="Arial" w:cs="Arial"/>
          <w:kern w:val="0"/>
          <w:sz w:val="24"/>
          <w:szCs w:val="24"/>
        </w:rPr>
        <w:t>subclasses, including IgG1, IgG2, IgG3 and IgG4 (Sigma Aldrich, St. Luis, MO)</w:t>
      </w:r>
      <w:r w:rsidRPr="00B6128C">
        <w:rPr>
          <w:rFonts w:ascii="Arial" w:eastAsia="AdvOptima" w:hAnsi="Arial" w:cs="Arial"/>
          <w:sz w:val="24"/>
          <w:szCs w:val="24"/>
        </w:rPr>
        <w:t xml:space="preserve">. </w:t>
      </w:r>
    </w:p>
    <w:p w:rsidR="006D682C" w:rsidRPr="00B6128C" w:rsidRDefault="006D682C" w:rsidP="006D682C">
      <w:pPr>
        <w:autoSpaceDE w:val="0"/>
        <w:autoSpaceDN w:val="0"/>
        <w:adjustRightInd w:val="0"/>
        <w:spacing w:line="480" w:lineRule="auto"/>
        <w:rPr>
          <w:rFonts w:ascii="Arial" w:hAnsi="Arial" w:cs="Arial"/>
          <w:bCs/>
          <w:sz w:val="24"/>
          <w:szCs w:val="24"/>
        </w:rPr>
      </w:pPr>
    </w:p>
    <w:p w:rsidR="006D682C" w:rsidRPr="00B6128C" w:rsidRDefault="006D682C" w:rsidP="006D682C">
      <w:pPr>
        <w:autoSpaceDE w:val="0"/>
        <w:autoSpaceDN w:val="0"/>
        <w:adjustRightInd w:val="0"/>
        <w:spacing w:line="480" w:lineRule="auto"/>
        <w:rPr>
          <w:rFonts w:ascii="Arial" w:hAnsi="Arial" w:cs="Arial"/>
          <w:bCs/>
          <w:i/>
          <w:sz w:val="24"/>
          <w:szCs w:val="24"/>
        </w:rPr>
      </w:pPr>
      <w:r w:rsidRPr="00B6128C">
        <w:rPr>
          <w:rFonts w:ascii="Arial" w:hAnsi="Arial" w:cs="Arial"/>
          <w:bCs/>
          <w:i/>
          <w:sz w:val="24"/>
          <w:szCs w:val="24"/>
        </w:rPr>
        <w:t>Cell culture</w:t>
      </w:r>
    </w:p>
    <w:p w:rsidR="006D682C" w:rsidRPr="00B6128C" w:rsidRDefault="006D682C" w:rsidP="006D682C">
      <w:pPr>
        <w:autoSpaceDE w:val="0"/>
        <w:autoSpaceDN w:val="0"/>
        <w:adjustRightInd w:val="0"/>
        <w:spacing w:line="480" w:lineRule="auto"/>
        <w:rPr>
          <w:rFonts w:ascii="Arial" w:hAnsi="Arial" w:cs="Arial"/>
          <w:kern w:val="0"/>
          <w:sz w:val="24"/>
          <w:szCs w:val="24"/>
        </w:rPr>
      </w:pPr>
      <w:r w:rsidRPr="00B6128C">
        <w:rPr>
          <w:rFonts w:ascii="Arial" w:hAnsi="Arial" w:cs="Arial"/>
          <w:kern w:val="0"/>
          <w:sz w:val="24"/>
          <w:szCs w:val="24"/>
        </w:rPr>
        <w:t xml:space="preserve">NHEKs were cultured first in PCT medium containing 0.03 mM calcium (CELLnTEC, Bern, Switzerland). When used for experiments, they were cultured in Dulbecco's modified Eagle’s medium (DMEM) (Life Technologies, Tokyo, Japan), containing 1.8 mM calcium, for 24 hours. The antibiotic and antimycotic solution (Sigma Aldrich, St. Luis, MO) and 10% fetal calf serum were supplied in </w:t>
      </w:r>
      <w:r w:rsidRPr="00B6128C">
        <w:rPr>
          <w:rFonts w:ascii="Arial" w:hAnsi="Arial" w:cs="Arial"/>
          <w:kern w:val="0"/>
          <w:sz w:val="24"/>
          <w:szCs w:val="24"/>
        </w:rPr>
        <w:lastRenderedPageBreak/>
        <w:t xml:space="preserve">the medium. </w:t>
      </w:r>
    </w:p>
    <w:p w:rsidR="00D735BE" w:rsidRPr="00B6128C" w:rsidRDefault="00D735BE" w:rsidP="006D682C">
      <w:pPr>
        <w:autoSpaceDE w:val="0"/>
        <w:autoSpaceDN w:val="0"/>
        <w:adjustRightInd w:val="0"/>
        <w:spacing w:line="480" w:lineRule="auto"/>
        <w:rPr>
          <w:rFonts w:ascii="Arial" w:hAnsi="Arial" w:cs="Arial"/>
          <w:b/>
          <w:bCs/>
          <w:sz w:val="24"/>
          <w:szCs w:val="24"/>
        </w:rPr>
      </w:pPr>
    </w:p>
    <w:p w:rsidR="00D735BE" w:rsidRPr="00B6128C" w:rsidRDefault="00D735BE" w:rsidP="00D735BE">
      <w:pPr>
        <w:autoSpaceDE w:val="0"/>
        <w:autoSpaceDN w:val="0"/>
        <w:adjustRightInd w:val="0"/>
        <w:spacing w:line="480" w:lineRule="auto"/>
        <w:rPr>
          <w:rFonts w:ascii="Arial" w:hAnsi="Arial" w:cs="Arial"/>
          <w:bCs/>
          <w:i/>
          <w:sz w:val="24"/>
          <w:szCs w:val="24"/>
        </w:rPr>
      </w:pPr>
      <w:r w:rsidRPr="00B6128C">
        <w:rPr>
          <w:rFonts w:ascii="Arial" w:hAnsi="Arial" w:cs="Arial" w:hint="eastAsia"/>
          <w:bCs/>
          <w:i/>
          <w:sz w:val="24"/>
          <w:szCs w:val="24"/>
        </w:rPr>
        <w:t>Epidermal organ culture</w:t>
      </w:r>
    </w:p>
    <w:p w:rsidR="006D682C" w:rsidRPr="00B6128C" w:rsidRDefault="00D735BE" w:rsidP="00D735BE">
      <w:pPr>
        <w:autoSpaceDE w:val="0"/>
        <w:autoSpaceDN w:val="0"/>
        <w:adjustRightInd w:val="0"/>
        <w:spacing w:line="480" w:lineRule="auto"/>
        <w:rPr>
          <w:rFonts w:ascii="Arial" w:hAnsi="Arial" w:cs="Arial"/>
          <w:sz w:val="24"/>
          <w:szCs w:val="24"/>
        </w:rPr>
      </w:pPr>
      <w:r w:rsidRPr="00B6128C">
        <w:rPr>
          <w:rFonts w:ascii="Arial" w:hAnsi="Arial" w:cs="Arial"/>
          <w:bCs/>
          <w:sz w:val="24"/>
          <w:szCs w:val="24"/>
        </w:rPr>
        <w:t xml:space="preserve">Normal human skin obtained from uninvolved skin of surgical specimens were incubated with 1,000 PU/ml dispase in PBS (Wako Pure Chemical Industries, Osaka, Japan) at 4 </w:t>
      </w:r>
      <w:r w:rsidRPr="00B6128C">
        <w:rPr>
          <w:rFonts w:ascii="Arial" w:hAnsi="Arial" w:cs="Arial"/>
          <w:sz w:val="24"/>
          <w:szCs w:val="24"/>
        </w:rPr>
        <w:t xml:space="preserve">°C overnight. The epidermis was gently separated from the dermis, and placed onto polycarbonate membrane filter with basal cell side down (Isopore 0.45-μm pore size, Merck Millipore, Darmstadt, Germany). The epidermis with polycarbonate filter was placed on the DMEM medium and cultured with </w:t>
      </w:r>
      <w:r w:rsidRPr="00B6128C">
        <w:rPr>
          <w:rFonts w:ascii="Arial" w:hAnsi="Arial" w:cs="Arial"/>
          <w:kern w:val="0"/>
          <w:sz w:val="24"/>
          <w:szCs w:val="24"/>
        </w:rPr>
        <w:t>NC16A-BP-IgG and non-NC16A-BP-IgG</w:t>
      </w:r>
      <w:r w:rsidRPr="00B6128C">
        <w:rPr>
          <w:rFonts w:ascii="Arial" w:hAnsi="Arial" w:cs="Arial"/>
          <w:sz w:val="24"/>
          <w:szCs w:val="24"/>
        </w:rPr>
        <w:t xml:space="preserve"> at 37</w:t>
      </w:r>
      <w:r w:rsidRPr="00B6128C">
        <w:rPr>
          <w:rFonts w:ascii="Arial" w:hAnsi="Arial" w:cs="Arial"/>
          <w:bCs/>
          <w:sz w:val="24"/>
          <w:szCs w:val="24"/>
        </w:rPr>
        <w:t xml:space="preserve"> </w:t>
      </w:r>
      <w:r w:rsidRPr="00B6128C">
        <w:rPr>
          <w:rFonts w:ascii="Arial" w:hAnsi="Arial" w:cs="Arial"/>
          <w:sz w:val="24"/>
          <w:szCs w:val="24"/>
        </w:rPr>
        <w:t>°C for 2 hours.</w:t>
      </w:r>
    </w:p>
    <w:p w:rsidR="00D735BE" w:rsidRPr="00B6128C" w:rsidRDefault="00D735BE" w:rsidP="00D735BE">
      <w:pPr>
        <w:autoSpaceDE w:val="0"/>
        <w:autoSpaceDN w:val="0"/>
        <w:adjustRightInd w:val="0"/>
        <w:spacing w:line="480" w:lineRule="auto"/>
        <w:rPr>
          <w:rFonts w:ascii="Arial" w:hAnsi="Arial" w:cs="Arial"/>
          <w:b/>
          <w:bCs/>
          <w:sz w:val="24"/>
          <w:szCs w:val="24"/>
        </w:rPr>
      </w:pPr>
    </w:p>
    <w:p w:rsidR="006D682C" w:rsidRPr="00B6128C" w:rsidRDefault="006D682C" w:rsidP="006D682C">
      <w:pPr>
        <w:autoSpaceDE w:val="0"/>
        <w:autoSpaceDN w:val="0"/>
        <w:adjustRightInd w:val="0"/>
        <w:spacing w:line="480" w:lineRule="auto"/>
        <w:rPr>
          <w:rFonts w:ascii="Arial" w:hAnsi="Arial" w:cs="Arial"/>
          <w:bCs/>
          <w:i/>
          <w:kern w:val="0"/>
          <w:sz w:val="24"/>
          <w:szCs w:val="24"/>
          <w:u w:val="single"/>
        </w:rPr>
      </w:pPr>
      <w:r w:rsidRPr="00B6128C">
        <w:rPr>
          <w:rFonts w:ascii="Arial" w:hAnsi="Arial" w:cs="Arial"/>
          <w:bCs/>
          <w:i/>
          <w:sz w:val="24"/>
          <w:szCs w:val="24"/>
        </w:rPr>
        <w:t>Depletion assay and Western blotting</w:t>
      </w:r>
    </w:p>
    <w:p w:rsidR="006D682C" w:rsidRPr="00B6128C" w:rsidRDefault="006D682C" w:rsidP="006D682C">
      <w:pPr>
        <w:autoSpaceDE w:val="0"/>
        <w:autoSpaceDN w:val="0"/>
        <w:adjustRightInd w:val="0"/>
        <w:spacing w:line="480" w:lineRule="auto"/>
        <w:rPr>
          <w:rFonts w:ascii="Arial" w:hAnsi="Arial" w:cs="Arial"/>
          <w:kern w:val="0"/>
          <w:sz w:val="24"/>
          <w:szCs w:val="24"/>
        </w:rPr>
      </w:pPr>
      <w:r w:rsidRPr="00B6128C">
        <w:rPr>
          <w:rFonts w:ascii="Arial" w:hAnsi="Arial" w:cs="Arial"/>
          <w:kern w:val="0"/>
          <w:sz w:val="24"/>
          <w:szCs w:val="24"/>
        </w:rPr>
        <w:t xml:space="preserve">A depletion assay was performed as reported previously, with minor modifications </w:t>
      </w:r>
      <w:r w:rsidRPr="00B6128C">
        <w:rPr>
          <w:rFonts w:ascii="Arial" w:hAnsi="Arial" w:cs="Arial"/>
          <w:kern w:val="0"/>
          <w:sz w:val="24"/>
          <w:szCs w:val="24"/>
        </w:rPr>
        <w:fldChar w:fldCharType="begin" w:fldLock="1"/>
      </w:r>
      <w:r w:rsidR="00D411C9" w:rsidRPr="00B6128C">
        <w:rPr>
          <w:rFonts w:ascii="Arial" w:hAnsi="Arial" w:cs="Arial"/>
          <w:kern w:val="0"/>
          <w:sz w:val="24"/>
          <w:szCs w:val="24"/>
        </w:rPr>
        <w:instrText>ADDIN CSL_CITATION { "citationItems" : [ { "id" : "ITEM-1", "itemData" : { "ISSN" : "1523-1747", "PMID" : "19177144", "abstract" : "We have shown that binding of bullous pemphigoid (BP)-patient IgG (BP-IgG) causes the internalization of BP180 from the cell membrane. This study examined whether BP-IgG treatment can deplete cultured keratinocytes of BP180, how it affects cellular levels of alpha6 and beta4 integrins (by western blot analysis using monoclonal antibodies to these antigens), and whether it reduces adhesion of cells to the culture dish (by a vibration detachment assay). All BP-IgG or BP sera with high values of BP180-ELISA from 18 BP patients before and after oral corticosteroid treatment showed dramatically decreased BP180 in cells after 6 hours of BP-IgG stimulation, whereas alpha6 and beta4 integrin levels were not decreased. Even IgG from patients in whom oral corticosteroid had suppressed active blistering could deplete cells of BP180, as long as sera retained a high value of BP180-ELISA. On the other hand, reduction of cell BP180 content increased detachment of cells from the dish. These results suggest that BP-IgG reduces hemidesmosomal BP180 content, weakening the adhesion of hemidesmosomes to the lamina densa. In the presence of BP180 deficiency, inflammation generated by BP180 immune-complex formation might then tear the weakened lamina lucida, and this could lead to generation of the BP-specific split at the lamina lucida.", "author" : [ { "dropping-particle" : "", "family" : "Iwata", "given" : "Hiroaki", "non-dropping-particle" : "", "parse-names" : false, "suffix" : "" }, { "dropping-particle" : "", "family" : "Kamio", "given" : "Naoko", "non-dropping-particle" : "", "parse-names" : false, "suffix" : "" }, { "dropping-particle" : "", "family" : "Aoyama", "given" : "Yumi", "non-dropping-particle" : "", "parse-names" : false, "suffix" : "" }, { "dropping-particle" : "", "family" : "Yamamoto", "given" : "Yukari", "non-dropping-particle" : "", "parse-names" : false, "suffix" : "" }, { "dropping-particle" : "", "family" : "Hirako", "given" : "Yoshiaki", "non-dropping-particle" : "", "parse-names" : false, "suffix" : "" }, { "dropping-particle" : "", "family" : "Owaribe", "given" : "Katsushi", "non-dropping-particle" : "", "parse-names" : false, "suffix" : "" }, { "dropping-particle" : "", "family" : "Kitajima", "given" : "Yasuo", "non-dropping-particle" : "", "parse-names" : false, "suffix" : "" } ], "container-title" : "The Journal of investigative dermatology", "id" : "ITEM-1", "issue" : "4", "issued" : { "date-parts" : [ [ "2009", "4" ] ] }, "page" : "919-26", "title" : "IgG from patients with bullous pemphigoid depletes cultured keratinocytes of the 180-kDa bullous pemphigoid antigen (type XVII collagen) and weakens cell attachment.", "type" : "article-journal", "volume" : "129" }, "uris" : [ "http://www.mendeley.com/documents/?uuid=2acb521b-bfe5-405a-8185-496fbb2eb53b" ] } ], "mendeley" : { "formattedCitation" : "(3)", "plainTextFormattedCitation" : "(3)", "previouslyFormattedCitation" : "(3)" }, "properties" : { "noteIndex" : 0 }, "schema" : "https://github.com/citation-style-language/schema/raw/master/csl-citation.json" }</w:instrText>
      </w:r>
      <w:r w:rsidRPr="00B6128C">
        <w:rPr>
          <w:rFonts w:ascii="Arial" w:hAnsi="Arial" w:cs="Arial"/>
          <w:kern w:val="0"/>
          <w:sz w:val="24"/>
          <w:szCs w:val="24"/>
        </w:rPr>
        <w:fldChar w:fldCharType="separate"/>
      </w:r>
      <w:r w:rsidRPr="00B6128C">
        <w:rPr>
          <w:rFonts w:ascii="Arial" w:hAnsi="Arial" w:cs="Arial"/>
          <w:noProof/>
          <w:kern w:val="0"/>
          <w:sz w:val="24"/>
          <w:szCs w:val="24"/>
        </w:rPr>
        <w:t>(3)</w:t>
      </w:r>
      <w:r w:rsidRPr="00B6128C">
        <w:rPr>
          <w:rFonts w:ascii="Arial" w:hAnsi="Arial" w:cs="Arial"/>
          <w:kern w:val="0"/>
          <w:sz w:val="24"/>
          <w:szCs w:val="24"/>
        </w:rPr>
        <w:fldChar w:fldCharType="end"/>
      </w:r>
      <w:r w:rsidRPr="00B6128C">
        <w:rPr>
          <w:rFonts w:ascii="Arial" w:hAnsi="Arial" w:cs="Arial"/>
          <w:kern w:val="0"/>
          <w:sz w:val="24"/>
          <w:szCs w:val="24"/>
        </w:rPr>
        <w:t>. Briefly, NHEKs were cultured to approximately 40% confluence in 12-well plate. To examine the depletion of COL17 in NHEKs, BP-IgG or normal human IgG were added in culture medium and incubated for 6 hours. Cells were lysed in RIPA buffer (Thermo Fisher Scientific, Rockford, IL) containing protease inhibitor cocktail (</w:t>
      </w:r>
      <w:r w:rsidRPr="00B6128C">
        <w:rPr>
          <w:rFonts w:ascii="Arial" w:hAnsi="Arial" w:cs="Arial"/>
          <w:sz w:val="24"/>
          <w:szCs w:val="24"/>
        </w:rPr>
        <w:t>Sigma Aldrich, St. Louis, MO)</w:t>
      </w:r>
      <w:r w:rsidRPr="00B6128C">
        <w:rPr>
          <w:rFonts w:ascii="Arial" w:hAnsi="Arial" w:cs="Arial"/>
          <w:kern w:val="0"/>
          <w:sz w:val="24"/>
          <w:szCs w:val="24"/>
        </w:rPr>
        <w:t xml:space="preserve"> and the lysates were centrifuged </w:t>
      </w:r>
      <w:r w:rsidRPr="00B6128C">
        <w:rPr>
          <w:rFonts w:ascii="Arial" w:hAnsi="Arial" w:cs="Arial"/>
          <w:kern w:val="0"/>
          <w:sz w:val="24"/>
          <w:szCs w:val="24"/>
        </w:rPr>
        <w:lastRenderedPageBreak/>
        <w:t xml:space="preserve">at 20,000 g for 20 min. The lysates were mixed with 5x SDS sample buffer (final concentration: 62.5 mM Tris-HCl; pH 6.8; 30% glycerol; 2% mercaptoethanol) and samples were heated at 95°C for 5 min. Each fraction was subjected to SDS–PAGE in 6% polyacrylamide gel. Blotting was performed as described above, using rabbit polyclonal anti-COL17 </w:t>
      </w:r>
      <w:r w:rsidRPr="00B6128C">
        <w:rPr>
          <w:rFonts w:ascii="Arial" w:hAnsi="Arial" w:cs="Arial"/>
          <w:kern w:val="0"/>
          <w:sz w:val="24"/>
          <w:szCs w:val="24"/>
        </w:rPr>
        <w:fldChar w:fldCharType="begin" w:fldLock="1"/>
      </w:r>
      <w:r w:rsidR="00D411C9" w:rsidRPr="00B6128C">
        <w:rPr>
          <w:rFonts w:ascii="Arial" w:hAnsi="Arial" w:cs="Arial"/>
          <w:kern w:val="0"/>
          <w:sz w:val="24"/>
          <w:szCs w:val="24"/>
        </w:rPr>
        <w:instrText>ADDIN CSL_CITATION { "citationItems" : [ { "id" : "ITEM-1", "itemData" : { "ISSN" : "1550-6606", "PMID" : "22523387", "abstract" : "In bullous pemphigoid (BP), the most prevalent autoimmune blistering disease, type XVII collagen (COL17) is targeted by circulating autoantibodies. BP is thought to be an autoantibody-mediated complement-fixing blistering disease, and a juxtamembranous noncollagenous 16A (NC16A) domain spanning Glu(490) to Arg(566) was proved to be the main pathogenic region on COL17, although precise pathogenic epitopes within NC16A have not been elucidated. In this study, we showed that injection of rabbit IgG Abs targeting Asp(522) to Gln(545) induced skin fragility associated with in vivo deposition of IgG and complement in neonatal COL17-humanized mice. Notably, immunoadsorption of rabbit anti-NC16A IgG Ab with this epitope (Asp(522) to Gln(545)) or the anti-NC16A IgG administered together with the peptides of this epitope as a decoy ameliorated skin fragility in the injected neonatal COL17-humanized mice compared with the anti-NC16A IgG alone even though all of the mice showed both IgG and complement deposition. These results led us to investigate an additional, complement-independent mechanism of skin fragility in the mice injected with anti-COL17 Abs. The rabbit anti-NC16A IgG depleted the expression of COL17 in cultured normal human keratinocytes, whereas immunoadsorption of the same IgG with this epitope significantly suppressed the depletion effect. Moreover, passive transfer of F(ab')(2) fragments of the human BP or rabbit IgG Abs against COL17 demonstrated skin fragility in neonatal COL17-humanized mice. In summary, this study reveals the importance of Abs directed against distinct epitopes on COL17, which induce skin fragility in complement-dependent as well as complement-independent ways.", "author" : [ { "dropping-particle" : "", "family" : "Natsuga", "given" : "Ken", "non-dropping-particle" : "", "parse-names" : false, "suffix" : "" }, { "dropping-particle" : "", "family" : "Nishie", "given" : "Wataru", "non-dropping-particle" : "", "parse-names" : false, "suffix" : "" }, { "dropping-particle" : "", "family" : "Shinkuma", "given" : "Satoru", "non-dropping-particle" : "", "parse-names" : false, "suffix" : "" }, { "dropping-particle" : "", "family" : "Ujiie", "given" : "Hideyuki", "non-dropping-particle" : "", "parse-names" : false, "suffix" : "" }, { "dropping-particle" : "", "family" : "Nishimura", "given" : "Machiko", "non-dropping-particle" : "", "parse-names" : false, "suffix" : "" }, { "dropping-particle" : "", "family" : "Sawamura", "given" : "Daisuke", "non-dropping-particle" : "", "parse-names" : false, "suffix" : "" }, { "dropping-particle" : "", "family" : "Shimizu", "given" : "Hiroshi", "non-dropping-particle" : "", "parse-names" : false, "suffix" : "" } ], "container-title" : "Journal of immunology (Baltimore, Md. : 1950)", "id" : "ITEM-1", "issue" : "11", "issued" : { "date-parts" : [ [ "2012", "6", "1" ] ] }, "page" : "5792-9", "title" : "Antibodies to pathogenic epitopes on type XVII collagen cause skin fragility in a complement-dependent and -independent manner.", "type" : "article-journal", "volume" : "188" }, "uris" : [ "http://www.mendeley.com/documents/?uuid=a60d2507-7f46-4ca6-b0d0-00ef50a9a848" ] } ], "mendeley" : { "formattedCitation" : "(4)", "plainTextFormattedCitation" : "(4)", "previouslyFormattedCitation" : "(4)" }, "properties" : { "noteIndex" : 0 }, "schema" : "https://github.com/citation-style-language/schema/raw/master/csl-citation.json" }</w:instrText>
      </w:r>
      <w:r w:rsidRPr="00B6128C">
        <w:rPr>
          <w:rFonts w:ascii="Arial" w:hAnsi="Arial" w:cs="Arial"/>
          <w:kern w:val="0"/>
          <w:sz w:val="24"/>
          <w:szCs w:val="24"/>
        </w:rPr>
        <w:fldChar w:fldCharType="separate"/>
      </w:r>
      <w:r w:rsidRPr="00B6128C">
        <w:rPr>
          <w:rFonts w:ascii="Arial" w:hAnsi="Arial" w:cs="Arial"/>
          <w:noProof/>
          <w:kern w:val="0"/>
          <w:sz w:val="24"/>
          <w:szCs w:val="24"/>
        </w:rPr>
        <w:t>(4)</w:t>
      </w:r>
      <w:r w:rsidRPr="00B6128C">
        <w:rPr>
          <w:rFonts w:ascii="Arial" w:hAnsi="Arial" w:cs="Arial"/>
          <w:kern w:val="0"/>
          <w:sz w:val="24"/>
          <w:szCs w:val="24"/>
        </w:rPr>
        <w:fldChar w:fldCharType="end"/>
      </w:r>
      <w:r w:rsidRPr="00B6128C">
        <w:rPr>
          <w:rFonts w:ascii="Arial" w:hAnsi="Arial" w:cs="Arial"/>
          <w:kern w:val="0"/>
          <w:sz w:val="24"/>
          <w:szCs w:val="24"/>
        </w:rPr>
        <w:t xml:space="preserve"> (1:2,000 dilution), rabbit anti-β-tubulin (Abcam, Tokyo, Japan, 1:10,000 dilution), α</w:t>
      </w:r>
      <w:r w:rsidRPr="00B6128C">
        <w:rPr>
          <w:rFonts w:ascii="Arial" w:hAnsi="Arial" w:cs="Arial" w:hint="eastAsia"/>
          <w:kern w:val="0"/>
          <w:sz w:val="24"/>
          <w:szCs w:val="24"/>
        </w:rPr>
        <w:t>6</w:t>
      </w:r>
      <w:r w:rsidRPr="00B6128C">
        <w:rPr>
          <w:rFonts w:ascii="Arial" w:hAnsi="Arial" w:cs="Arial"/>
          <w:kern w:val="0"/>
          <w:sz w:val="24"/>
          <w:szCs w:val="24"/>
        </w:rPr>
        <w:t>-</w:t>
      </w:r>
      <w:r w:rsidRPr="00B6128C">
        <w:rPr>
          <w:rFonts w:ascii="Arial" w:hAnsi="Arial" w:cs="Arial" w:hint="eastAsia"/>
          <w:kern w:val="0"/>
          <w:sz w:val="24"/>
          <w:szCs w:val="24"/>
        </w:rPr>
        <w:t>integri</w:t>
      </w:r>
      <w:r w:rsidRPr="00B6128C">
        <w:rPr>
          <w:rFonts w:ascii="Arial" w:hAnsi="Arial" w:cs="Arial"/>
          <w:kern w:val="0"/>
          <w:sz w:val="24"/>
          <w:szCs w:val="24"/>
        </w:rPr>
        <w:t xml:space="preserve">n (Santa Cruz </w:t>
      </w:r>
      <w:r w:rsidRPr="00B6128C">
        <w:rPr>
          <w:rFonts w:ascii="Arial" w:hAnsi="Arial" w:cs="Arial"/>
          <w:sz w:val="24"/>
          <w:szCs w:val="24"/>
        </w:rPr>
        <w:t>Biotechnology</w:t>
      </w:r>
      <w:r w:rsidRPr="00B6128C">
        <w:rPr>
          <w:rFonts w:ascii="Arial" w:hAnsi="Arial" w:cs="Arial"/>
          <w:kern w:val="0"/>
          <w:sz w:val="24"/>
          <w:szCs w:val="24"/>
        </w:rPr>
        <w:t>, Santa Cruz, CA, 1:200 dilution), and β4-inte</w:t>
      </w:r>
      <w:r w:rsidRPr="00B6128C">
        <w:rPr>
          <w:rFonts w:ascii="Arial" w:hAnsi="Arial" w:cs="Arial" w:hint="eastAsia"/>
          <w:kern w:val="0"/>
          <w:sz w:val="24"/>
          <w:szCs w:val="24"/>
        </w:rPr>
        <w:t>grin</w:t>
      </w:r>
      <w:r w:rsidRPr="00B6128C">
        <w:rPr>
          <w:rFonts w:ascii="Arial" w:hAnsi="Arial" w:cs="Arial"/>
          <w:kern w:val="0"/>
          <w:sz w:val="24"/>
          <w:szCs w:val="24"/>
        </w:rPr>
        <w:t xml:space="preserve"> (Santa Cruz </w:t>
      </w:r>
      <w:r w:rsidRPr="00B6128C">
        <w:rPr>
          <w:rFonts w:ascii="Arial" w:hAnsi="Arial" w:cs="Arial"/>
          <w:sz w:val="24"/>
          <w:szCs w:val="24"/>
        </w:rPr>
        <w:t>Biotechnology</w:t>
      </w:r>
      <w:r w:rsidRPr="00B6128C">
        <w:rPr>
          <w:rFonts w:ascii="Arial" w:hAnsi="Arial" w:cs="Arial"/>
          <w:kern w:val="0"/>
          <w:sz w:val="24"/>
          <w:szCs w:val="24"/>
        </w:rPr>
        <w:t>, Santa Cruz, CA, 1:200 dilution) antibodies as the primary antibodies, followed by HRP-conjugated goat anti-rabbit IgG (Life Technologies, Tokyo, Japan, 1:5,000 dilution) or HRP-conjugated goat anti-mouse IgG (</w:t>
      </w:r>
      <w:r w:rsidRPr="00B6128C">
        <w:rPr>
          <w:rFonts w:ascii="Arial" w:eastAsia="LegacySerifStd-Book" w:hAnsi="Arial" w:cs="Arial"/>
          <w:sz w:val="24"/>
          <w:szCs w:val="24"/>
        </w:rPr>
        <w:t xml:space="preserve">Jackson ImmunoResearch Laboratories, West Grove, PA, </w:t>
      </w:r>
      <w:r w:rsidRPr="00B6128C">
        <w:rPr>
          <w:rFonts w:ascii="Arial" w:hAnsi="Arial" w:cs="Arial"/>
          <w:kern w:val="0"/>
          <w:sz w:val="24"/>
          <w:szCs w:val="24"/>
        </w:rPr>
        <w:t xml:space="preserve">1:5,000 dilution). </w:t>
      </w:r>
      <w:r w:rsidRPr="00B6128C">
        <w:rPr>
          <w:rFonts w:ascii="Arial" w:hAnsi="Arial" w:cs="Arial"/>
          <w:sz w:val="24"/>
          <w:szCs w:val="24"/>
        </w:rPr>
        <w:t xml:space="preserve">Signals were visualized with Clarity Western ECL Substrate (Bio-Rad Laboratories, Hercules, CA). For semiquantitative analysis of COL17 amount, the density of COL17 and </w:t>
      </w:r>
      <w:r w:rsidRPr="00B6128C">
        <w:rPr>
          <w:rFonts w:ascii="Arial" w:hAnsi="Arial" w:cs="Arial"/>
          <w:kern w:val="0"/>
          <w:sz w:val="24"/>
          <w:szCs w:val="24"/>
        </w:rPr>
        <w:t>β-tubulin</w:t>
      </w:r>
      <w:r w:rsidRPr="00B6128C">
        <w:rPr>
          <w:rFonts w:ascii="Arial" w:hAnsi="Arial" w:cs="Arial"/>
          <w:sz w:val="24"/>
          <w:szCs w:val="24"/>
        </w:rPr>
        <w:t xml:space="preserve"> was measured by ImageJ (</w:t>
      </w:r>
      <w:hyperlink r:id="rId7" w:history="1">
        <w:r w:rsidRPr="00B6128C">
          <w:rPr>
            <w:rStyle w:val="a7"/>
            <w:rFonts w:ascii="Arial" w:hAnsi="Arial" w:cs="Arial"/>
            <w:sz w:val="24"/>
            <w:szCs w:val="24"/>
          </w:rPr>
          <w:t>http://rsbweb.nih.gov/ij/</w:t>
        </w:r>
      </w:hyperlink>
      <w:r w:rsidRPr="00B6128C">
        <w:rPr>
          <w:rFonts w:ascii="Arial" w:hAnsi="Arial" w:cs="Arial"/>
          <w:sz w:val="24"/>
          <w:szCs w:val="24"/>
        </w:rPr>
        <w:t>).</w:t>
      </w:r>
    </w:p>
    <w:p w:rsidR="006D682C" w:rsidRPr="00B6128C" w:rsidRDefault="006D682C" w:rsidP="006D682C">
      <w:pPr>
        <w:autoSpaceDE w:val="0"/>
        <w:autoSpaceDN w:val="0"/>
        <w:adjustRightInd w:val="0"/>
        <w:spacing w:line="480" w:lineRule="auto"/>
        <w:rPr>
          <w:rFonts w:ascii="Arial" w:hAnsi="Arial" w:cs="Arial"/>
          <w:sz w:val="24"/>
          <w:szCs w:val="24"/>
        </w:rPr>
      </w:pPr>
    </w:p>
    <w:p w:rsidR="00BB59DB" w:rsidRPr="00B6128C" w:rsidRDefault="00BB59DB" w:rsidP="00BB59DB">
      <w:pPr>
        <w:widowControl/>
        <w:spacing w:before="100" w:beforeAutospacing="1" w:after="100" w:afterAutospacing="1" w:line="360" w:lineRule="auto"/>
        <w:contextualSpacing/>
        <w:outlineLvl w:val="2"/>
        <w:rPr>
          <w:rFonts w:ascii="Arial" w:eastAsia="ＭＳ Ｐゴシック" w:hAnsi="Arial" w:cs="Arial"/>
          <w:bCs/>
          <w:i/>
          <w:kern w:val="0"/>
          <w:sz w:val="24"/>
          <w:szCs w:val="24"/>
        </w:rPr>
      </w:pPr>
      <w:r w:rsidRPr="00B6128C">
        <w:rPr>
          <w:rFonts w:ascii="Arial" w:eastAsia="ＭＳ Ｐゴシック" w:hAnsi="Arial" w:cs="Arial"/>
          <w:bCs/>
          <w:i/>
          <w:kern w:val="0"/>
          <w:sz w:val="24"/>
          <w:szCs w:val="24"/>
        </w:rPr>
        <w:t>Quantitative RT-PCR</w:t>
      </w:r>
    </w:p>
    <w:p w:rsidR="00BB59DB" w:rsidRPr="00B6128C" w:rsidRDefault="00BB59DB" w:rsidP="00BB59DB">
      <w:pPr>
        <w:autoSpaceDE w:val="0"/>
        <w:autoSpaceDN w:val="0"/>
        <w:adjustRightInd w:val="0"/>
        <w:spacing w:line="480" w:lineRule="auto"/>
        <w:rPr>
          <w:rFonts w:ascii="Arial" w:eastAsia="ＭＳ Ｐゴシック" w:hAnsi="Arial" w:cs="Arial"/>
          <w:kern w:val="0"/>
          <w:sz w:val="24"/>
          <w:szCs w:val="24"/>
        </w:rPr>
      </w:pPr>
      <w:r w:rsidRPr="00B6128C">
        <w:rPr>
          <w:rFonts w:ascii="Arial" w:eastAsia="ＭＳ Ｐゴシック" w:hAnsi="Arial" w:cs="Arial"/>
          <w:i/>
          <w:kern w:val="0"/>
          <w:sz w:val="24"/>
          <w:szCs w:val="24"/>
        </w:rPr>
        <w:t>COL17A1</w:t>
      </w:r>
      <w:r w:rsidRPr="00B6128C">
        <w:rPr>
          <w:rFonts w:ascii="Arial" w:eastAsia="ＭＳ Ｐゴシック" w:hAnsi="Arial" w:cs="Arial"/>
          <w:kern w:val="0"/>
          <w:sz w:val="24"/>
          <w:szCs w:val="24"/>
        </w:rPr>
        <w:t xml:space="preserve"> expression was measured byRT-PCR. mRNA was extracted from NHEKs </w:t>
      </w:r>
      <w:r w:rsidR="00D735BE" w:rsidRPr="00B6128C">
        <w:rPr>
          <w:rFonts w:ascii="Arial" w:eastAsia="ＭＳ Ｐゴシック" w:hAnsi="Arial" w:cs="Arial"/>
          <w:kern w:val="0"/>
          <w:sz w:val="24"/>
          <w:szCs w:val="24"/>
        </w:rPr>
        <w:t>and organ cultured skin incubated</w:t>
      </w:r>
      <w:r w:rsidRPr="00B6128C">
        <w:rPr>
          <w:rFonts w:ascii="Arial" w:eastAsia="ＭＳ Ｐゴシック" w:hAnsi="Arial" w:cs="Arial"/>
          <w:kern w:val="0"/>
          <w:sz w:val="24"/>
          <w:szCs w:val="24"/>
        </w:rPr>
        <w:t xml:space="preserve"> with </w:t>
      </w:r>
      <w:r w:rsidR="00D735BE" w:rsidRPr="00B6128C">
        <w:rPr>
          <w:rFonts w:ascii="Arial" w:hAnsi="Arial" w:cs="Arial"/>
          <w:kern w:val="0"/>
          <w:sz w:val="24"/>
          <w:szCs w:val="24"/>
        </w:rPr>
        <w:t>NC16A-BP-IgG and non-NC16A-</w:t>
      </w:r>
      <w:r w:rsidR="00D735BE" w:rsidRPr="00B6128C">
        <w:rPr>
          <w:rFonts w:ascii="Arial" w:hAnsi="Arial" w:cs="Arial"/>
          <w:kern w:val="0"/>
          <w:sz w:val="24"/>
          <w:szCs w:val="24"/>
        </w:rPr>
        <w:lastRenderedPageBreak/>
        <w:t>BP-IgG</w:t>
      </w:r>
      <w:r w:rsidRPr="00B6128C">
        <w:rPr>
          <w:rFonts w:ascii="Arial" w:eastAsia="ＭＳ Ｐゴシック" w:hAnsi="Arial" w:cs="Arial"/>
          <w:kern w:val="0"/>
          <w:sz w:val="24"/>
          <w:szCs w:val="24"/>
        </w:rPr>
        <w:t xml:space="preserve"> by RNeasy Mini Kit (</w:t>
      </w:r>
      <w:r w:rsidRPr="00B6128C">
        <w:rPr>
          <w:rFonts w:ascii="Arial" w:hAnsi="Arial" w:cs="Arial"/>
          <w:sz w:val="24"/>
          <w:szCs w:val="24"/>
        </w:rPr>
        <w:t>Qiagen, Valencia, CA</w:t>
      </w:r>
      <w:r w:rsidRPr="00B6128C">
        <w:rPr>
          <w:rFonts w:ascii="Arial" w:eastAsia="ＭＳ Ｐゴシック" w:hAnsi="Arial" w:cs="Arial"/>
          <w:kern w:val="0"/>
          <w:sz w:val="24"/>
          <w:szCs w:val="24"/>
        </w:rPr>
        <w:t>). Single-stranded cDNA was synthesized using RT2 First Strand Kit (</w:t>
      </w:r>
      <w:r w:rsidRPr="00B6128C">
        <w:rPr>
          <w:rFonts w:ascii="Arial" w:hAnsi="Arial" w:cs="Arial"/>
          <w:sz w:val="24"/>
          <w:szCs w:val="24"/>
        </w:rPr>
        <w:t>Qiagen, Valencia, CA</w:t>
      </w:r>
      <w:r w:rsidRPr="00B6128C">
        <w:rPr>
          <w:rFonts w:ascii="Arial" w:eastAsia="ＭＳ Ｐゴシック" w:hAnsi="Arial" w:cs="Arial"/>
          <w:kern w:val="0"/>
          <w:sz w:val="24"/>
          <w:szCs w:val="24"/>
        </w:rPr>
        <w:t>). According to the manufacturer's instructions, assays were performed using RT</w:t>
      </w:r>
      <w:r w:rsidRPr="00B6128C">
        <w:rPr>
          <w:rFonts w:ascii="Arial" w:eastAsia="ＭＳ Ｐゴシック" w:hAnsi="Arial" w:cs="Arial"/>
          <w:kern w:val="0"/>
          <w:sz w:val="24"/>
          <w:szCs w:val="24"/>
          <w:vertAlign w:val="superscript"/>
        </w:rPr>
        <w:t>2</w:t>
      </w:r>
      <w:r w:rsidRPr="00B6128C">
        <w:rPr>
          <w:rFonts w:ascii="Arial" w:eastAsia="ＭＳ Ｐゴシック" w:hAnsi="Arial" w:cs="Arial"/>
          <w:kern w:val="0"/>
          <w:sz w:val="24"/>
          <w:szCs w:val="24"/>
        </w:rPr>
        <w:t xml:space="preserve"> SYBR GREEN/ROX PCR Master Mix (Qiagen) and Step-OnePlus (Applied Biosystems). Relative expression ratios were normalized to </w:t>
      </w:r>
      <w:r w:rsidRPr="00B6128C">
        <w:rPr>
          <w:rFonts w:ascii="Arial" w:hAnsi="Arial" w:cs="Arial"/>
          <w:sz w:val="24"/>
          <w:szCs w:val="24"/>
        </w:rPr>
        <w:t>glyceraldehydes 3-phosphate dehydrogenase (GAPDH)</w:t>
      </w:r>
      <w:r w:rsidRPr="00B6128C">
        <w:rPr>
          <w:rFonts w:ascii="Arial" w:eastAsia="ＭＳ Ｐゴシック" w:hAnsi="Arial" w:cs="Arial"/>
          <w:kern w:val="0"/>
          <w:sz w:val="24"/>
          <w:szCs w:val="24"/>
        </w:rPr>
        <w:t>.</w:t>
      </w:r>
    </w:p>
    <w:p w:rsidR="00BB59DB" w:rsidRPr="00B6128C" w:rsidRDefault="00BB59DB" w:rsidP="006D682C">
      <w:pPr>
        <w:autoSpaceDE w:val="0"/>
        <w:autoSpaceDN w:val="0"/>
        <w:adjustRightInd w:val="0"/>
        <w:spacing w:line="480" w:lineRule="auto"/>
        <w:rPr>
          <w:rFonts w:ascii="Arial" w:hAnsi="Arial" w:cs="Arial"/>
          <w:sz w:val="24"/>
          <w:szCs w:val="24"/>
        </w:rPr>
      </w:pPr>
    </w:p>
    <w:p w:rsidR="006D682C" w:rsidRPr="00B6128C" w:rsidRDefault="006D682C" w:rsidP="006D682C">
      <w:pPr>
        <w:spacing w:line="480" w:lineRule="auto"/>
        <w:rPr>
          <w:rFonts w:ascii="Arial" w:hAnsi="Arial" w:cs="Arial"/>
          <w:bCs/>
          <w:i/>
          <w:sz w:val="24"/>
          <w:szCs w:val="24"/>
        </w:rPr>
      </w:pPr>
      <w:r w:rsidRPr="00B6128C">
        <w:rPr>
          <w:rFonts w:ascii="Arial" w:hAnsi="Arial" w:cs="Arial"/>
          <w:bCs/>
          <w:i/>
          <w:sz w:val="24"/>
          <w:szCs w:val="24"/>
        </w:rPr>
        <w:t>Detachment assay</w:t>
      </w:r>
    </w:p>
    <w:p w:rsidR="006D682C" w:rsidRPr="00B6128C" w:rsidRDefault="006D682C" w:rsidP="006D682C">
      <w:pPr>
        <w:autoSpaceDE w:val="0"/>
        <w:autoSpaceDN w:val="0"/>
        <w:adjustRightInd w:val="0"/>
        <w:spacing w:line="480" w:lineRule="auto"/>
        <w:rPr>
          <w:rFonts w:ascii="Arial" w:hAnsi="Arial" w:cs="Arial"/>
          <w:kern w:val="0"/>
          <w:sz w:val="24"/>
          <w:szCs w:val="24"/>
        </w:rPr>
      </w:pPr>
      <w:r w:rsidRPr="00B6128C">
        <w:rPr>
          <w:rFonts w:ascii="Arial" w:hAnsi="Arial" w:cs="Arial"/>
          <w:kern w:val="0"/>
          <w:sz w:val="24"/>
          <w:szCs w:val="24"/>
        </w:rPr>
        <w:t xml:space="preserve">A detachment assay was performed as reported previously, with minor modifications </w:t>
      </w:r>
      <w:r w:rsidRPr="00B6128C">
        <w:rPr>
          <w:rFonts w:ascii="Arial" w:hAnsi="Arial" w:cs="Arial"/>
          <w:kern w:val="0"/>
          <w:sz w:val="24"/>
          <w:szCs w:val="24"/>
        </w:rPr>
        <w:fldChar w:fldCharType="begin" w:fldLock="1"/>
      </w:r>
      <w:r w:rsidR="00D411C9" w:rsidRPr="00B6128C">
        <w:rPr>
          <w:rFonts w:ascii="Arial" w:hAnsi="Arial" w:cs="Arial"/>
          <w:kern w:val="0"/>
          <w:sz w:val="24"/>
          <w:szCs w:val="24"/>
        </w:rPr>
        <w:instrText>ADDIN CSL_CITATION { "citationItems" : [ { "id" : "ITEM-1", "itemData" : { "ISSN" : "1523-1747", "PMID" : "19177144", "abstract" : "We have shown that binding of bullous pemphigoid (BP)-patient IgG (BP-IgG) causes the internalization of BP180 from the cell membrane. This study examined whether BP-IgG treatment can deplete cultured keratinocytes of BP180, how it affects cellular levels of alpha6 and beta4 integrins (by western blot analysis using monoclonal antibodies to these antigens), and whether it reduces adhesion of cells to the culture dish (by a vibration detachment assay). All BP-IgG or BP sera with high values of BP180-ELISA from 18 BP patients before and after oral corticosteroid treatment showed dramatically decreased BP180 in cells after 6 hours of BP-IgG stimulation, whereas alpha6 and beta4 integrin levels were not decreased. Even IgG from patients in whom oral corticosteroid had suppressed active blistering could deplete cells of BP180, as long as sera retained a high value of BP180-ELISA. On the other hand, reduction of cell BP180 content increased detachment of cells from the dish. These results suggest that BP-IgG reduces hemidesmosomal BP180 content, weakening the adhesion of hemidesmosomes to the lamina densa. In the presence of BP180 deficiency, inflammation generated by BP180 immune-complex formation might then tear the weakened lamina lucida, and this could lead to generation of the BP-specific split at the lamina lucida.", "author" : [ { "dropping-particle" : "", "family" : "Iwata", "given" : "Hiroaki", "non-dropping-particle" : "", "parse-names" : false, "suffix" : "" }, { "dropping-particle" : "", "family" : "Kamio", "given" : "Naoko", "non-dropping-particle" : "", "parse-names" : false, "suffix" : "" }, { "dropping-particle" : "", "family" : "Aoyama", "given" : "Yumi", "non-dropping-particle" : "", "parse-names" : false, "suffix" : "" }, { "dropping-particle" : "", "family" : "Yamamoto", "given" : "Yukari", "non-dropping-particle" : "", "parse-names" : false, "suffix" : "" }, { "dropping-particle" : "", "family" : "Hirako", "given" : "Yoshiaki", "non-dropping-particle" : "", "parse-names" : false, "suffix" : "" }, { "dropping-particle" : "", "family" : "Owaribe", "given" : "Katsushi", "non-dropping-particle" : "", "parse-names" : false, "suffix" : "" }, { "dropping-particle" : "", "family" : "Kitajima", "given" : "Yasuo", "non-dropping-particle" : "", "parse-names" : false, "suffix" : "" } ], "container-title" : "The Journal of investigative dermatology", "id" : "ITEM-1", "issue" : "4", "issued" : { "date-parts" : [ [ "2009", "4" ] ] }, "page" : "919-26", "title" : "IgG from patients with bullous pemphigoid depletes cultured keratinocytes of the 180-kDa bullous pemphigoid antigen (type XVII collagen) and weakens cell attachment.", "type" : "article-journal", "volume" : "129" }, "uris" : [ "http://www.mendeley.com/documents/?uuid=2acb521b-bfe5-405a-8185-496fbb2eb53b" ] } ], "mendeley" : { "formattedCitation" : "(3)", "plainTextFormattedCitation" : "(3)", "previouslyFormattedCitation" : "(3)" }, "properties" : { "noteIndex" : 0 }, "schema" : "https://github.com/citation-style-language/schema/raw/master/csl-citation.json" }</w:instrText>
      </w:r>
      <w:r w:rsidRPr="00B6128C">
        <w:rPr>
          <w:rFonts w:ascii="Arial" w:hAnsi="Arial" w:cs="Arial"/>
          <w:kern w:val="0"/>
          <w:sz w:val="24"/>
          <w:szCs w:val="24"/>
        </w:rPr>
        <w:fldChar w:fldCharType="separate"/>
      </w:r>
      <w:r w:rsidRPr="00B6128C">
        <w:rPr>
          <w:rFonts w:ascii="Arial" w:hAnsi="Arial" w:cs="Arial"/>
          <w:noProof/>
          <w:kern w:val="0"/>
          <w:sz w:val="24"/>
          <w:szCs w:val="24"/>
        </w:rPr>
        <w:t>(3)</w:t>
      </w:r>
      <w:r w:rsidRPr="00B6128C">
        <w:rPr>
          <w:rFonts w:ascii="Arial" w:hAnsi="Arial" w:cs="Arial"/>
          <w:kern w:val="0"/>
          <w:sz w:val="24"/>
          <w:szCs w:val="24"/>
        </w:rPr>
        <w:fldChar w:fldCharType="end"/>
      </w:r>
      <w:r w:rsidRPr="00B6128C">
        <w:rPr>
          <w:rFonts w:ascii="Arial" w:hAnsi="Arial" w:cs="Arial"/>
          <w:kern w:val="0"/>
          <w:sz w:val="24"/>
          <w:szCs w:val="24"/>
        </w:rPr>
        <w:t>. NHEKs were seeded in 12-well plates and cultured as described above. After 6 hours of stimulation with BP-IgG, the adhesion of the NHEKs to the bottom of the plate was assayed by counting the number of adherent cells after 20-min. vibration with a vortex. Cells retained on the bottom of the culture plate were treated with 0.25% trypsin (Life Technologies, Tokyo, Japan) for 5 min at 37</w:t>
      </w:r>
      <w:r w:rsidRPr="00B6128C">
        <w:rPr>
          <w:rFonts w:ascii="Arial Unicode MS" w:hAnsi="Arial Unicode MS" w:cs="Arial Unicode MS"/>
          <w:sz w:val="24"/>
          <w:szCs w:val="24"/>
        </w:rPr>
        <w:t xml:space="preserve">°C </w:t>
      </w:r>
      <w:r w:rsidRPr="00B6128C">
        <w:rPr>
          <w:rFonts w:ascii="Arial" w:hAnsi="Arial" w:cs="Arial"/>
          <w:kern w:val="0"/>
          <w:sz w:val="24"/>
          <w:szCs w:val="24"/>
        </w:rPr>
        <w:t>and released completely into the medium by pipetting. The released cells were counted using a blood cell counter under a microscope.</w:t>
      </w:r>
    </w:p>
    <w:p w:rsidR="006D682C" w:rsidRPr="00B6128C" w:rsidRDefault="006D682C" w:rsidP="006D682C">
      <w:pPr>
        <w:autoSpaceDE w:val="0"/>
        <w:autoSpaceDN w:val="0"/>
        <w:adjustRightInd w:val="0"/>
        <w:spacing w:line="480" w:lineRule="auto"/>
        <w:rPr>
          <w:rFonts w:ascii="Arial" w:hAnsi="Arial" w:cs="Arial"/>
          <w:sz w:val="24"/>
          <w:szCs w:val="24"/>
        </w:rPr>
      </w:pPr>
    </w:p>
    <w:p w:rsidR="006D682C" w:rsidRPr="00B6128C" w:rsidRDefault="006D682C" w:rsidP="006D682C">
      <w:pPr>
        <w:spacing w:line="480" w:lineRule="auto"/>
        <w:rPr>
          <w:rFonts w:ascii="Arial" w:hAnsi="Arial" w:cs="Arial"/>
          <w:bCs/>
          <w:i/>
          <w:sz w:val="24"/>
          <w:szCs w:val="24"/>
        </w:rPr>
      </w:pPr>
      <w:r w:rsidRPr="00B6128C">
        <w:rPr>
          <w:rFonts w:ascii="Arial" w:hAnsi="Arial" w:cs="Arial"/>
          <w:bCs/>
          <w:i/>
          <w:sz w:val="24"/>
          <w:szCs w:val="24"/>
        </w:rPr>
        <w:t>Reactive oxygen species (ROS) release assay</w:t>
      </w:r>
    </w:p>
    <w:p w:rsidR="006D682C" w:rsidRPr="00B6128C" w:rsidRDefault="006D682C" w:rsidP="006D682C">
      <w:pPr>
        <w:autoSpaceDE w:val="0"/>
        <w:autoSpaceDN w:val="0"/>
        <w:adjustRightInd w:val="0"/>
        <w:spacing w:line="480" w:lineRule="auto"/>
        <w:rPr>
          <w:rFonts w:ascii="Arial" w:hAnsi="Arial" w:cs="Arial"/>
          <w:bCs/>
          <w:sz w:val="24"/>
          <w:szCs w:val="24"/>
        </w:rPr>
      </w:pPr>
      <w:r w:rsidRPr="00B6128C">
        <w:rPr>
          <w:rFonts w:ascii="Arial" w:hAnsi="Arial" w:cs="Arial"/>
          <w:sz w:val="24"/>
          <w:szCs w:val="24"/>
        </w:rPr>
        <w:lastRenderedPageBreak/>
        <w:t xml:space="preserve">ROS release capacities were evaluated using </w:t>
      </w:r>
      <w:r w:rsidRPr="00B6128C">
        <w:rPr>
          <w:rFonts w:ascii="Arial" w:hAnsi="Arial" w:cs="Arial"/>
          <w:i/>
          <w:sz w:val="24"/>
          <w:szCs w:val="24"/>
        </w:rPr>
        <w:t>ex vivo</w:t>
      </w:r>
      <w:r w:rsidRPr="00B6128C">
        <w:rPr>
          <w:rFonts w:ascii="Arial" w:hAnsi="Arial" w:cs="Arial"/>
          <w:sz w:val="24"/>
          <w:szCs w:val="24"/>
        </w:rPr>
        <w:t xml:space="preserve"> assays as reported before, with minor modifications </w:t>
      </w:r>
      <w:r w:rsidRPr="00B6128C">
        <w:rPr>
          <w:rFonts w:ascii="Arial" w:hAnsi="Arial" w:cs="Arial"/>
          <w:sz w:val="24"/>
          <w:szCs w:val="24"/>
        </w:rPr>
        <w:fldChar w:fldCharType="begin" w:fldLock="1"/>
      </w:r>
      <w:r w:rsidR="00D411C9" w:rsidRPr="00B6128C">
        <w:rPr>
          <w:rFonts w:ascii="Arial" w:hAnsi="Arial" w:cs="Arial"/>
          <w:sz w:val="24"/>
          <w:szCs w:val="24"/>
        </w:rPr>
        <w:instrText>ADDIN CSL_CITATION { "citationItems" : [ { "id" : "ITEM-1", "itemData" : { "ISSN" : "1523-1747", "PMID" : "20720565", "author" : [ { "dropping-particle" : "", "family" : "Yu", "given" : "Xinhua", "non-dropping-particle" : "", "parse-names" : false, "suffix" : "" }, { "dropping-particle" : "", "family" : "Holdorf", "given" : "Karoline", "non-dropping-particle" : "", "parse-names" : false, "suffix" : "" }, { "dropping-particle" : "", "family" : "Kasper", "given" : "Brigitte", "non-dropping-particle" : "", "parse-names" : false, "suffix" : "" }, { "dropping-particle" : "", "family" : "Zillikens", "given" : "Detlef", "non-dropping-particle" : "", "parse-names" : false, "suffix" : "" }, { "dropping-particle" : "", "family" : "Ludwig", "given" : "Ralf J", "non-dropping-particle" : "", "parse-names" : false, "suffix" : "" }, { "dropping-particle" : "", "family" : "Petersen", "given" : "Frank", "non-dropping-particle" : "", "parse-names" : false, "suffix" : "" } ], "container-title" : "The Journal of investigative dermatology", "id" : "ITEM-1", "issue" : "12", "issued" : { "date-parts" : [ [ "2010", "12" ] ] }, "page" : "2841-4", "title" : "Fc\u03b3RIIA and Fc\u03b3RIIIB are required for autoantibody-induced tissue damage in experimental human models of bullous pemphigoid.", "type" : "article-journal", "volume" : "130" }, "uris" : [ "http://www.mendeley.com/documents/?uuid=b1f93c15-de0b-4b2a-8f83-b914414a0934" ] } ], "mendeley" : { "formattedCitation" : "(5)", "plainTextFormattedCitation" : "(5)", "previouslyFormattedCitation" : "(5)" }, "properties" : { "noteIndex" : 0 }, "schema" : "https://github.com/citation-style-language/schema/raw/master/csl-citation.json" }</w:instrText>
      </w:r>
      <w:r w:rsidRPr="00B6128C">
        <w:rPr>
          <w:rFonts w:ascii="Arial" w:hAnsi="Arial" w:cs="Arial"/>
          <w:sz w:val="24"/>
          <w:szCs w:val="24"/>
        </w:rPr>
        <w:fldChar w:fldCharType="separate"/>
      </w:r>
      <w:r w:rsidRPr="00B6128C">
        <w:rPr>
          <w:rFonts w:ascii="Arial" w:hAnsi="Arial" w:cs="Arial"/>
          <w:noProof/>
          <w:sz w:val="24"/>
          <w:szCs w:val="24"/>
        </w:rPr>
        <w:t>(5)</w:t>
      </w:r>
      <w:r w:rsidRPr="00B6128C">
        <w:rPr>
          <w:rFonts w:ascii="Arial" w:hAnsi="Arial" w:cs="Arial"/>
          <w:sz w:val="24"/>
          <w:szCs w:val="24"/>
        </w:rPr>
        <w:fldChar w:fldCharType="end"/>
      </w:r>
      <w:r w:rsidRPr="00B6128C">
        <w:rPr>
          <w:rFonts w:ascii="Arial" w:hAnsi="Arial" w:cs="Arial"/>
          <w:sz w:val="24"/>
          <w:szCs w:val="24"/>
        </w:rPr>
        <w:t>.</w:t>
      </w:r>
      <w:r w:rsidRPr="00B6128C">
        <w:rPr>
          <w:rFonts w:ascii="Arial" w:eastAsia="????" w:hAnsi="Arial" w:cs="Arial"/>
          <w:kern w:val="0"/>
          <w:sz w:val="24"/>
          <w:szCs w:val="24"/>
        </w:rPr>
        <w:t xml:space="preserve"> Briefly, 1 </w:t>
      </w:r>
      <w:r w:rsidRPr="00B6128C">
        <w:rPr>
          <w:rFonts w:ascii="Arial" w:hAnsi="Arial" w:cs="Arial"/>
          <w:sz w:val="24"/>
          <w:szCs w:val="24"/>
        </w:rPr>
        <w:t xml:space="preserve">μg </w:t>
      </w:r>
      <w:r w:rsidRPr="00B6128C">
        <w:rPr>
          <w:rFonts w:ascii="Arial" w:eastAsia="????" w:hAnsi="Arial" w:cs="Arial"/>
          <w:kern w:val="0"/>
          <w:sz w:val="24"/>
          <w:szCs w:val="24"/>
        </w:rPr>
        <w:t xml:space="preserve">purified </w:t>
      </w:r>
      <w:r w:rsidRPr="00B6128C">
        <w:rPr>
          <w:rFonts w:ascii="Arial" w:eastAsia="????" w:hAnsi="Arial" w:cs="Arial" w:hint="eastAsia"/>
          <w:kern w:val="0"/>
          <w:sz w:val="24"/>
          <w:szCs w:val="24"/>
        </w:rPr>
        <w:t>COL</w:t>
      </w:r>
      <w:r w:rsidRPr="00B6128C">
        <w:rPr>
          <w:rFonts w:ascii="Arial" w:eastAsia="????" w:hAnsi="Arial" w:cs="Arial"/>
          <w:kern w:val="0"/>
          <w:sz w:val="24"/>
          <w:szCs w:val="24"/>
        </w:rPr>
        <w:t xml:space="preserve">17 were coated in a 96-well white plate. BP-IgG or normal human IgG was added at a concentration of 2 mg/mL, and the mixture was incubated at </w:t>
      </w:r>
      <w:r w:rsidRPr="00B6128C">
        <w:rPr>
          <w:rFonts w:ascii="Arial" w:hAnsi="Arial" w:cs="Arial"/>
          <w:kern w:val="0"/>
          <w:sz w:val="24"/>
          <w:szCs w:val="24"/>
        </w:rPr>
        <w:t>37</w:t>
      </w:r>
      <w:r w:rsidRPr="00B6128C">
        <w:rPr>
          <w:rFonts w:ascii="Arial Unicode MS" w:hAnsi="Arial Unicode MS" w:cs="Arial Unicode MS"/>
          <w:sz w:val="24"/>
          <w:szCs w:val="24"/>
        </w:rPr>
        <w:t>°C</w:t>
      </w:r>
      <w:r w:rsidRPr="00B6128C">
        <w:rPr>
          <w:rFonts w:ascii="Arial" w:eastAsia="????" w:hAnsi="Arial" w:cs="Arial"/>
          <w:kern w:val="0"/>
          <w:sz w:val="24"/>
          <w:szCs w:val="24"/>
        </w:rPr>
        <w:t xml:space="preserve"> for 1 hour. After the plates were washed with PBS, freshly isolated human neutrophils (100</w:t>
      </w:r>
      <w:r w:rsidRPr="00B6128C">
        <w:rPr>
          <w:rFonts w:ascii="Arial" w:hAnsi="Arial" w:cs="Arial"/>
          <w:sz w:val="24"/>
          <w:szCs w:val="24"/>
        </w:rPr>
        <w:t xml:space="preserve"> µL x 10</w:t>
      </w:r>
      <w:r w:rsidRPr="00B6128C">
        <w:rPr>
          <w:rFonts w:ascii="Arial" w:hAnsi="Arial" w:cs="Arial"/>
          <w:sz w:val="24"/>
          <w:szCs w:val="24"/>
          <w:vertAlign w:val="superscript"/>
        </w:rPr>
        <w:t>7</w:t>
      </w:r>
      <w:r w:rsidRPr="00B6128C">
        <w:rPr>
          <w:rFonts w:ascii="Arial" w:hAnsi="Arial" w:cs="Arial"/>
          <w:sz w:val="24"/>
          <w:szCs w:val="24"/>
        </w:rPr>
        <w:t xml:space="preserve"> cells/mL) with luminol (Sigma Aldrich, St. Louis, MO, 100 μg/mL) were added. The positive control was stimulated with PMA (Wako, Osaka, Japan, 0.1 μg/mL). Neutrophil activation was assayed by digital imager to measure the production of ROS (LAS 4000 mini, Fujifilm). For semiquantitative analysis of ROS production, the plot density was measured by ImageJ (</w:t>
      </w:r>
      <w:hyperlink r:id="rId8" w:history="1">
        <w:r w:rsidRPr="00B6128C">
          <w:rPr>
            <w:rStyle w:val="a7"/>
            <w:rFonts w:ascii="Arial" w:hAnsi="Arial" w:cs="Arial"/>
            <w:sz w:val="24"/>
            <w:szCs w:val="24"/>
          </w:rPr>
          <w:t>http://rsbweb.nih.gov/ij/</w:t>
        </w:r>
      </w:hyperlink>
      <w:r w:rsidRPr="00B6128C">
        <w:rPr>
          <w:rFonts w:ascii="Arial" w:hAnsi="Arial" w:cs="Arial"/>
          <w:sz w:val="24"/>
          <w:szCs w:val="24"/>
        </w:rPr>
        <w:t>).</w:t>
      </w:r>
    </w:p>
    <w:p w:rsidR="006D682C" w:rsidRPr="00B6128C" w:rsidRDefault="006D682C" w:rsidP="006D682C">
      <w:pPr>
        <w:autoSpaceDE w:val="0"/>
        <w:autoSpaceDN w:val="0"/>
        <w:adjustRightInd w:val="0"/>
        <w:spacing w:line="480" w:lineRule="auto"/>
        <w:rPr>
          <w:rFonts w:ascii="Arial" w:hAnsi="Arial" w:cs="Arial"/>
          <w:kern w:val="0"/>
          <w:sz w:val="24"/>
          <w:szCs w:val="24"/>
        </w:rPr>
      </w:pPr>
    </w:p>
    <w:p w:rsidR="006D682C" w:rsidRPr="00B6128C" w:rsidRDefault="006D682C" w:rsidP="006D682C">
      <w:pPr>
        <w:autoSpaceDE w:val="0"/>
        <w:autoSpaceDN w:val="0"/>
        <w:adjustRightInd w:val="0"/>
        <w:spacing w:line="480" w:lineRule="auto"/>
        <w:rPr>
          <w:rFonts w:ascii="Arial" w:eastAsia="LegacySerifStd-Book" w:hAnsi="Arial" w:cs="Arial"/>
          <w:i/>
          <w:sz w:val="24"/>
          <w:szCs w:val="24"/>
        </w:rPr>
      </w:pPr>
      <w:r w:rsidRPr="00B6128C">
        <w:rPr>
          <w:rFonts w:ascii="Arial" w:eastAsia="LegacySerifStd-BookItalic" w:hAnsi="Arial" w:cs="Arial"/>
          <w:i/>
          <w:iCs/>
          <w:sz w:val="24"/>
          <w:szCs w:val="24"/>
        </w:rPr>
        <w:t>Statistical analysis</w:t>
      </w:r>
    </w:p>
    <w:p w:rsidR="006D682C" w:rsidRPr="00B6128C" w:rsidRDefault="006D682C" w:rsidP="006D682C">
      <w:pPr>
        <w:spacing w:line="480" w:lineRule="auto"/>
        <w:rPr>
          <w:rFonts w:ascii="Arial" w:eastAsia="LegacySerifStd-Book" w:hAnsi="Arial" w:cs="Arial"/>
          <w:sz w:val="24"/>
          <w:szCs w:val="24"/>
        </w:rPr>
      </w:pPr>
      <w:r w:rsidRPr="00B6128C">
        <w:rPr>
          <w:rFonts w:ascii="Arial" w:eastAsia="AdvOptima" w:hAnsi="Arial" w:cs="Arial"/>
          <w:sz w:val="24"/>
          <w:szCs w:val="24"/>
        </w:rPr>
        <w:t xml:space="preserve">Statistical calculations were performed using SigmaPlot (Version 12.0, Systat Software, Chicago, IL). </w:t>
      </w:r>
      <w:r w:rsidRPr="00B6128C">
        <w:rPr>
          <w:rFonts w:ascii="Arial" w:eastAsia="LegacySerifStd-Book" w:hAnsi="Arial" w:cs="Arial"/>
          <w:sz w:val="24"/>
          <w:szCs w:val="24"/>
        </w:rPr>
        <w:t xml:space="preserve">To compare the parameters, one-way ANOVA was used. A p-value of &lt;0.05 was considered statistically significant. The graphs show median </w:t>
      </w:r>
      <w:r w:rsidRPr="00B6128C">
        <w:rPr>
          <w:rFonts w:ascii="Arial" w:eastAsiaTheme="minorEastAsia" w:hAnsi="Arial" w:cs="Arial"/>
          <w:sz w:val="24"/>
          <w:szCs w:val="24"/>
        </w:rPr>
        <w:t>±</w:t>
      </w:r>
      <w:r w:rsidRPr="00B6128C">
        <w:rPr>
          <w:rFonts w:ascii="Arial" w:hAnsi="Arial" w:cs="Arial"/>
          <w:sz w:val="24"/>
          <w:szCs w:val="24"/>
        </w:rPr>
        <w:t>standard error mean (SEM).</w:t>
      </w:r>
    </w:p>
    <w:p w:rsidR="00A52587" w:rsidRPr="00B6128C" w:rsidRDefault="00A52587" w:rsidP="00A52587">
      <w:pPr>
        <w:spacing w:line="480" w:lineRule="auto"/>
        <w:rPr>
          <w:rFonts w:asciiTheme="majorHAnsi" w:eastAsia="????" w:hAnsiTheme="majorHAnsi" w:cstheme="majorHAnsi"/>
          <w:b/>
          <w:bCs/>
          <w:sz w:val="22"/>
          <w:szCs w:val="22"/>
        </w:rPr>
      </w:pPr>
    </w:p>
    <w:p w:rsidR="00903BA9" w:rsidRPr="00B6128C" w:rsidRDefault="00903BA9" w:rsidP="00A52587">
      <w:pPr>
        <w:spacing w:line="480" w:lineRule="auto"/>
        <w:rPr>
          <w:rFonts w:asciiTheme="majorHAnsi" w:eastAsia="????" w:hAnsiTheme="majorHAnsi" w:cstheme="majorHAnsi"/>
          <w:b/>
          <w:bCs/>
          <w:sz w:val="22"/>
          <w:szCs w:val="22"/>
        </w:rPr>
      </w:pPr>
    </w:p>
    <w:p w:rsidR="00903BA9" w:rsidRPr="00B6128C" w:rsidRDefault="0076422F" w:rsidP="00A52587">
      <w:pPr>
        <w:spacing w:line="480" w:lineRule="auto"/>
        <w:rPr>
          <w:rFonts w:asciiTheme="majorHAnsi" w:eastAsia="????" w:hAnsiTheme="majorHAnsi" w:cstheme="majorHAnsi"/>
          <w:b/>
          <w:bCs/>
          <w:sz w:val="22"/>
          <w:szCs w:val="22"/>
        </w:rPr>
      </w:pPr>
      <w:r w:rsidRPr="00B6128C">
        <w:rPr>
          <w:rFonts w:asciiTheme="majorHAnsi" w:eastAsia="????" w:hAnsiTheme="majorHAnsi" w:cstheme="majorHAnsi" w:hint="eastAsia"/>
          <w:b/>
          <w:bCs/>
          <w:sz w:val="22"/>
          <w:szCs w:val="22"/>
        </w:rPr>
        <w:lastRenderedPageBreak/>
        <w:t>Result</w:t>
      </w:r>
      <w:r w:rsidRPr="00B6128C">
        <w:rPr>
          <w:rFonts w:asciiTheme="majorHAnsi" w:eastAsia="????" w:hAnsiTheme="majorHAnsi" w:cstheme="majorHAnsi"/>
          <w:b/>
          <w:bCs/>
          <w:sz w:val="22"/>
          <w:szCs w:val="22"/>
        </w:rPr>
        <w:t>s</w:t>
      </w:r>
    </w:p>
    <w:p w:rsidR="0076422F" w:rsidRPr="00B6128C" w:rsidRDefault="0076422F" w:rsidP="0076422F">
      <w:pPr>
        <w:spacing w:line="480" w:lineRule="auto"/>
        <w:contextualSpacing/>
        <w:rPr>
          <w:rFonts w:ascii="Arial" w:hAnsi="Arial" w:cs="Arial"/>
          <w:bCs/>
          <w:i/>
          <w:sz w:val="24"/>
          <w:szCs w:val="24"/>
        </w:rPr>
      </w:pPr>
      <w:r w:rsidRPr="00B6128C">
        <w:rPr>
          <w:rFonts w:ascii="Arial" w:hAnsi="Arial" w:cs="Arial"/>
          <w:bCs/>
          <w:i/>
          <w:sz w:val="24"/>
          <w:szCs w:val="24"/>
        </w:rPr>
        <w:t>Reactive oxygen species (ROS) production were comparable in NC16A-BP and non-NC16A-BP</w:t>
      </w:r>
    </w:p>
    <w:p w:rsidR="0076422F" w:rsidRPr="00B6128C" w:rsidRDefault="0076422F" w:rsidP="0076422F">
      <w:pPr>
        <w:widowControl/>
        <w:spacing w:line="480" w:lineRule="auto"/>
        <w:contextualSpacing/>
        <w:rPr>
          <w:rFonts w:ascii="Arial" w:hAnsi="Arial" w:cs="Arial"/>
          <w:sz w:val="24"/>
          <w:szCs w:val="24"/>
        </w:rPr>
      </w:pPr>
      <w:r w:rsidRPr="00B6128C">
        <w:rPr>
          <w:rFonts w:ascii="Arial" w:hAnsi="Arial" w:cs="Arial"/>
          <w:sz w:val="24"/>
          <w:szCs w:val="24"/>
        </w:rPr>
        <w:t>Although there were some differences in ROS production induced by non-NC16A-BP IgG and NC16A-BP IgG, binding IgG to COL17 was also less in NC16A-BP IgG than in non-NC16A-BP IgG (Figure 1a). We think the reason that</w:t>
      </w:r>
      <w:r w:rsidRPr="00B6128C">
        <w:rPr>
          <w:rFonts w:asciiTheme="majorHAnsi" w:eastAsia="ＭＳ ゴシック" w:hAnsiTheme="majorHAnsi" w:cstheme="majorHAnsi"/>
          <w:kern w:val="0"/>
          <w:sz w:val="24"/>
          <w:szCs w:val="24"/>
        </w:rPr>
        <w:t xml:space="preserve"> the low number of patients (4 cases each) did not show any significance. Furthermore, positive control was relatively low density due to a low concentration of PMA (0.1 </w:t>
      </w:r>
      <w:r w:rsidRPr="00B6128C">
        <w:rPr>
          <w:rFonts w:ascii="Arial" w:hAnsi="Arial" w:cs="Arial"/>
          <w:sz w:val="24"/>
          <w:szCs w:val="24"/>
        </w:rPr>
        <w:t>μ</w:t>
      </w:r>
      <w:r w:rsidRPr="00B6128C">
        <w:rPr>
          <w:rFonts w:asciiTheme="majorHAnsi" w:eastAsia="ＭＳ ゴシック" w:hAnsiTheme="majorHAnsi" w:cstheme="majorHAnsi"/>
          <w:kern w:val="0"/>
          <w:sz w:val="24"/>
          <w:szCs w:val="24"/>
        </w:rPr>
        <w:t xml:space="preserve">g/ml). It is difficult to detect the big differences of chemilumiscence by </w:t>
      </w:r>
      <w:r w:rsidRPr="00B6128C">
        <w:rPr>
          <w:rFonts w:ascii="Arial" w:hAnsi="Arial" w:cs="Arial"/>
          <w:sz w:val="24"/>
          <w:szCs w:val="24"/>
        </w:rPr>
        <w:t>LAS 4000 mini (Fujifilm), because the device adjusts the density automatically.</w:t>
      </w:r>
    </w:p>
    <w:p w:rsidR="00005462" w:rsidRPr="00B6128C" w:rsidRDefault="00005462" w:rsidP="0076422F">
      <w:pPr>
        <w:widowControl/>
        <w:spacing w:line="480" w:lineRule="auto"/>
        <w:contextualSpacing/>
        <w:rPr>
          <w:rFonts w:ascii="Arial" w:hAnsi="Arial" w:cs="Arial"/>
          <w:sz w:val="24"/>
          <w:szCs w:val="24"/>
        </w:rPr>
      </w:pPr>
    </w:p>
    <w:p w:rsidR="00005462" w:rsidRPr="00B6128C" w:rsidRDefault="00D411C9" w:rsidP="0076422F">
      <w:pPr>
        <w:widowControl/>
        <w:spacing w:line="480" w:lineRule="auto"/>
        <w:contextualSpacing/>
        <w:rPr>
          <w:rFonts w:ascii="Arial" w:hAnsi="Arial" w:cs="Arial"/>
          <w:b/>
          <w:sz w:val="24"/>
          <w:szCs w:val="24"/>
        </w:rPr>
      </w:pPr>
      <w:r w:rsidRPr="00B6128C">
        <w:rPr>
          <w:rFonts w:ascii="Arial" w:hAnsi="Arial" w:cs="Arial"/>
          <w:b/>
          <w:sz w:val="24"/>
          <w:szCs w:val="24"/>
        </w:rPr>
        <w:t>Discussion</w:t>
      </w:r>
    </w:p>
    <w:p w:rsidR="00D411C9" w:rsidRPr="00B6128C" w:rsidRDefault="001A0A32" w:rsidP="0076422F">
      <w:pPr>
        <w:widowControl/>
        <w:spacing w:line="480" w:lineRule="auto"/>
        <w:contextualSpacing/>
        <w:rPr>
          <w:rFonts w:ascii="Arial" w:hAnsi="Arial" w:cs="Arial"/>
          <w:sz w:val="24"/>
          <w:szCs w:val="24"/>
        </w:rPr>
      </w:pPr>
      <w:r w:rsidRPr="00B6128C">
        <w:rPr>
          <w:rFonts w:ascii="Arial" w:hAnsi="Arial" w:cs="Arial"/>
          <w:sz w:val="24"/>
          <w:szCs w:val="24"/>
        </w:rPr>
        <w:t>Autoantibodies of n</w:t>
      </w:r>
      <w:r w:rsidR="00D411C9" w:rsidRPr="00B6128C">
        <w:rPr>
          <w:rFonts w:ascii="Arial" w:hAnsi="Arial" w:cs="Arial"/>
          <w:sz w:val="24"/>
          <w:szCs w:val="24"/>
        </w:rPr>
        <w:t xml:space="preserve">on-NC16A-BP and mucous membrane pemphigoid (MMP) </w:t>
      </w:r>
      <w:r w:rsidRPr="00B6128C">
        <w:rPr>
          <w:rFonts w:ascii="Arial" w:hAnsi="Arial" w:cs="Arial"/>
          <w:sz w:val="24"/>
          <w:szCs w:val="24"/>
        </w:rPr>
        <w:t>react against parts of COL17 outside the NC16A domain, but previous reports suggest that the precise epitopes might be different. Although t</w:t>
      </w:r>
      <w:r w:rsidR="00D411C9" w:rsidRPr="00B6128C">
        <w:rPr>
          <w:rFonts w:ascii="Arial" w:hAnsi="Arial" w:cs="Arial"/>
          <w:sz w:val="24"/>
          <w:szCs w:val="24"/>
        </w:rPr>
        <w:t>he epitope of autoantibodies of n</w:t>
      </w:r>
      <w:r w:rsidR="00D411C9" w:rsidRPr="00B6128C">
        <w:rPr>
          <w:rFonts w:ascii="Arial" w:hAnsi="Arial" w:cs="Arial" w:hint="eastAsia"/>
          <w:sz w:val="24"/>
          <w:szCs w:val="24"/>
        </w:rPr>
        <w:t>on-NC16A-</w:t>
      </w:r>
      <w:r w:rsidR="00D411C9" w:rsidRPr="00B6128C">
        <w:rPr>
          <w:rFonts w:ascii="Arial" w:hAnsi="Arial" w:cs="Arial"/>
          <w:sz w:val="24"/>
          <w:szCs w:val="24"/>
        </w:rPr>
        <w:t>BP we</w:t>
      </w:r>
      <w:r w:rsidRPr="00B6128C">
        <w:rPr>
          <w:rFonts w:ascii="Arial" w:hAnsi="Arial" w:cs="Arial"/>
          <w:sz w:val="24"/>
          <w:szCs w:val="24"/>
        </w:rPr>
        <w:t>re still not fully identified,</w:t>
      </w:r>
      <w:r w:rsidR="00D411C9" w:rsidRPr="00B6128C">
        <w:rPr>
          <w:rFonts w:ascii="Arial" w:hAnsi="Arial" w:cs="Arial"/>
          <w:sz w:val="24"/>
          <w:szCs w:val="24"/>
        </w:rPr>
        <w:t xml:space="preserve"> autoantibodies of non-NC16A-BP mainly target mid-potion of extracellular domain of COL17 </w:t>
      </w:r>
      <w:r w:rsidR="00D411C9" w:rsidRPr="00B6128C">
        <w:rPr>
          <w:rFonts w:ascii="Arial" w:hAnsi="Arial" w:cs="Arial"/>
          <w:sz w:val="24"/>
          <w:szCs w:val="24"/>
        </w:rPr>
        <w:fldChar w:fldCharType="begin" w:fldLock="1"/>
      </w:r>
      <w:r w:rsidR="00D411C9" w:rsidRPr="00B6128C">
        <w:rPr>
          <w:rFonts w:ascii="Arial" w:hAnsi="Arial" w:cs="Arial"/>
          <w:sz w:val="24"/>
          <w:szCs w:val="24"/>
        </w:rPr>
        <w:instrText>ADDIN CSL_CITATION { "citationItems" : [ { "id" : "ITEM-1", "itemData" : { "ISSN" : "1523-1747", "PMID" : "27424319", "abstract" : "Bullous pemphigoid (BP) is a major autoimmune blistering skin disorder, in which a majority of the autoantibodies (autoAbs) target the juxtamembranous extracellular noncollagenous 16A domain (NC16A) domain of hemidesmosomal collagen XVII. BP-autoAbs may target regions of collagen XVII other than the NC16A domain; however, correlations between epitopes of BP-autoAbs and clinical features have not been fully elucidated. To address correlations between the clinical features and specific epitopes of BP-autoAbs, we evaluated the epitope profiles of BP-autoAbs in 121 patients. A total of 87 patients showed a typical inflammatory phenotype with erythema and autoAbs targeting the anti-NC16A domain, whereas 14 patients showed a distinct noninflammatory phenotype, in which autoAbs specifically targeted the midportion of collagen XVII, but not NC16A. Interestingly, this group clinically showed significantly reduced erythema associated with scant lesional infiltration of eosinophils. Surprisingly, 7 of the 14 cases (50.0%) received dipeptidyl peptidase-IV inhibitors for the treatment of diabetes. Dipeptidyl peptidase-IV inhibitors were used in 3 of 76 (3.9%) typical cases of BP with autoAbs targeting NC16A; thus, dipeptidyl peptidase-IV inhibitors are thought to be involved in the development of atypical noninflammatory BP. This study shows that the autoAb profile differentiates between inflammatory and noninflammatory BP, and that noninflammatory BP may be associated with dipeptidyl peptidase-IV inhibitors.", "author" : [ { "dropping-particle" : "", "family" : "Izumi", "given" : "Kentaro", "non-dropping-particle" : "", "parse-names" : false, "suffix" : "" }, { "dropping-particle" : "", "family" : "Nishie", "given" : "Wataru", "non-dropping-particle" : "", "parse-names" : false, "suffix" : "" }, { "dropping-particle" : "", "family" : "Mai", "given" : "Yosuke", "non-dropping-particle" : "", "parse-names" : false, "suffix" : "" }, { "dropping-particle" : "", "family" : "Wada", "given" : "Mayumi", "non-dropping-particle" : "", "parse-names" : false, "suffix" : "" }, { "dropping-particle" : "", "family" : "Natsuga", "given" : "Ken", "non-dropping-particle" : "", "parse-names" : false, "suffix" : "" }, { "dropping-particle" : "", "family" : "Ujiie", "given" : "Hideyuki", "non-dropping-particle" : "", "parse-names" : false, "suffix" : "" }, { "dropping-particle" : "", "family" : "Iwata", "given" : "Hiroaki", "non-dropping-particle" : "", "parse-names" : false, "suffix" : "" }, { "dropping-particle" : "", "family" : "Yamagami", "given" : "Jun", "non-dropping-particle" : "", "parse-names" : false, "suffix" : "" }, { "dropping-particle" : "", "family" : "Shimizu", "given" : "Hiroshi", "non-dropping-particle" : "", "parse-names" : false, "suffix" : "" } ], "container-title" : "The Journal of investigative dermatology", "id" : "ITEM-1", "issue" : "11", "issued" : { "date-parts" : [ [ "2016", "11", "13" ] ] }, "page" : "2201-2210", "title" : "Autoantibody Profile Differentiates between Inflammatory and Noninflammatory Bullous Pemphigoid.", "type" : "article-journal", "volume" : "136" }, "uris" : [ "http://www.mendeley.com/documents/?uuid=eb704f9d-81ad-3d83-bfb0-d03c1e070ae9" ] } ], "mendeley" : { "formattedCitation" : "(1)", "plainTextFormattedCitation" : "(1)", "previouslyFormattedCitation" : "(1)" }, "properties" : { "noteIndex" : 0 }, "schema" : "https://github.com/citation-style-language/schema/raw/master/csl-citation.json" }</w:instrText>
      </w:r>
      <w:r w:rsidR="00D411C9" w:rsidRPr="00B6128C">
        <w:rPr>
          <w:rFonts w:ascii="Arial" w:hAnsi="Arial" w:cs="Arial"/>
          <w:sz w:val="24"/>
          <w:szCs w:val="24"/>
        </w:rPr>
        <w:fldChar w:fldCharType="separate"/>
      </w:r>
      <w:r w:rsidR="00D411C9" w:rsidRPr="00B6128C">
        <w:rPr>
          <w:rFonts w:ascii="Arial" w:hAnsi="Arial" w:cs="Arial"/>
          <w:noProof/>
          <w:sz w:val="24"/>
          <w:szCs w:val="24"/>
        </w:rPr>
        <w:t>(1)</w:t>
      </w:r>
      <w:r w:rsidR="00D411C9" w:rsidRPr="00B6128C">
        <w:rPr>
          <w:rFonts w:ascii="Arial" w:hAnsi="Arial" w:cs="Arial"/>
          <w:sz w:val="24"/>
          <w:szCs w:val="24"/>
        </w:rPr>
        <w:fldChar w:fldCharType="end"/>
      </w:r>
      <w:r w:rsidR="00D411C9" w:rsidRPr="00B6128C">
        <w:rPr>
          <w:rFonts w:ascii="Arial" w:hAnsi="Arial" w:cs="Arial"/>
          <w:sz w:val="24"/>
          <w:szCs w:val="24"/>
        </w:rPr>
        <w:t xml:space="preserve">. </w:t>
      </w:r>
      <w:r w:rsidRPr="00B6128C">
        <w:rPr>
          <w:rFonts w:ascii="Arial" w:hAnsi="Arial" w:cs="Arial"/>
          <w:sz w:val="24"/>
          <w:szCs w:val="24"/>
        </w:rPr>
        <w:t>In contrast, i</w:t>
      </w:r>
      <w:r w:rsidR="00D411C9" w:rsidRPr="00B6128C">
        <w:rPr>
          <w:rFonts w:ascii="Arial" w:hAnsi="Arial" w:cs="Arial"/>
          <w:sz w:val="24"/>
          <w:szCs w:val="24"/>
        </w:rPr>
        <w:t xml:space="preserve">t is well known that autoantibodies of </w:t>
      </w:r>
      <w:r w:rsidRPr="00B6128C">
        <w:rPr>
          <w:rFonts w:ascii="Arial" w:hAnsi="Arial" w:cs="Arial"/>
          <w:sz w:val="24"/>
          <w:szCs w:val="24"/>
        </w:rPr>
        <w:t>MMP</w:t>
      </w:r>
      <w:r w:rsidR="00D411C9" w:rsidRPr="00B6128C">
        <w:rPr>
          <w:rFonts w:ascii="Arial" w:hAnsi="Arial" w:cs="Arial"/>
          <w:sz w:val="24"/>
          <w:szCs w:val="24"/>
        </w:rPr>
        <w:t xml:space="preserve"> also frequently target parts </w:t>
      </w:r>
      <w:r w:rsidR="00D411C9" w:rsidRPr="00B6128C">
        <w:rPr>
          <w:rFonts w:ascii="Arial" w:hAnsi="Arial" w:cs="Arial"/>
          <w:sz w:val="24"/>
          <w:szCs w:val="24"/>
        </w:rPr>
        <w:lastRenderedPageBreak/>
        <w:t xml:space="preserve">of COL17 outside the NC16A domain, mainly recognize with C-terminus of COL17 </w:t>
      </w:r>
      <w:r w:rsidR="00D411C9" w:rsidRPr="00B6128C">
        <w:rPr>
          <w:rFonts w:ascii="Arial" w:hAnsi="Arial" w:cs="Arial"/>
          <w:sz w:val="24"/>
          <w:szCs w:val="24"/>
        </w:rPr>
        <w:fldChar w:fldCharType="begin" w:fldLock="1"/>
      </w:r>
      <w:r w:rsidR="00D411C9" w:rsidRPr="00B6128C">
        <w:rPr>
          <w:rFonts w:ascii="Arial" w:hAnsi="Arial" w:cs="Arial"/>
          <w:sz w:val="24"/>
          <w:szCs w:val="24"/>
        </w:rPr>
        <w:instrText>ADDIN CSL_CITATION { "citationItems" : [ { "id" : "ITEM-1", "itemData" : { "ISSN" : "0007-0963", "PMID" : "9767278", "abstract" : "The 180 kDa bullous pemphigoid (BP) antigen (BP180) is known to be recognized by sera from patients with BP, herpes gestationis (HG) and cicatricial pemphigoid (CP). A series of previous studies using BP180 recombinant proteins has shown that most sera from patients with BP and HG react with the NC16A domain of BP180, an extracellular non-collagenous region just adjacent to the plasma membrane. In contrast, the C-terminal region of BP180 has been reported to be one of the epitopes of CP. In the present study, we examined the immunoreactivity of 110 BP sera against the NC16A and C-terminal domains of BP180 using immunoblot analysis and enzyme-linked immunosorbent assay (ELISA). Immunoblot analysis revealed that 100 (91%) and 26 (23.5%) of the 110 BP sera recognized the NC16A and C-terminal domains, respectively. The results of the ELISA were correlated with those of immunoblotting. There were no specific or significant clinical features such as severe involvement of mucous membranes and scarring in BP patients whose sera reacted with the C-terminal region. These findings suggest that some BP sera react with the C-terminal region of BP180 without any association with the characteristic clinical features of CP.", "author" : [ { "dropping-particle" : "", "family" : "Nakatani", "given" : "C", "non-dropping-particle" : "", "parse-names" : false, "suffix" : "" }, { "dropping-particle" : "", "family" : "Muramatsu", "given" : "T", "non-dropping-particle" : "", "parse-names" : false, "suffix" : "" }, { "dropping-particle" : "", "family" : "Shirai", "given" : "T", "non-dropping-particle" : "", "parse-names" : false, "suffix" : "" } ], "container-title" : "The British journal of dermatology", "id" : "ITEM-1", "issue" : "3", "issued" : { "date-parts" : [ [ "1998", "9" ] ] }, "page" : "365-70", "title" : "Immunoreactivity of bullous pemphigoid (BP) autoantibodies against the NC16A and C-terminal domains of the 180 kDa BP antigen (BP180): immunoblot analysis and enzyme-linked immunosorbent assay using BP180 recombinant proteins.", "type" : "article-journal", "volume" : "139" }, "uris" : [ "http://www.mendeley.com/documents/?uuid=e98dd11a-e99e-4c72-9069-5aa1a1d44b2f" ] } ], "mendeley" : { "formattedCitation" : "(6)", "plainTextFormattedCitation" : "(6)" }, "properties" : { "noteIndex" : 0 }, "schema" : "https://github.com/citation-style-language/schema/raw/master/csl-citation.json" }</w:instrText>
      </w:r>
      <w:r w:rsidR="00D411C9" w:rsidRPr="00B6128C">
        <w:rPr>
          <w:rFonts w:ascii="Arial" w:hAnsi="Arial" w:cs="Arial"/>
          <w:sz w:val="24"/>
          <w:szCs w:val="24"/>
        </w:rPr>
        <w:fldChar w:fldCharType="separate"/>
      </w:r>
      <w:r w:rsidR="00D411C9" w:rsidRPr="00B6128C">
        <w:rPr>
          <w:rFonts w:ascii="Arial" w:hAnsi="Arial" w:cs="Arial"/>
          <w:noProof/>
          <w:sz w:val="24"/>
          <w:szCs w:val="24"/>
        </w:rPr>
        <w:t>(6)</w:t>
      </w:r>
      <w:r w:rsidR="00D411C9" w:rsidRPr="00B6128C">
        <w:rPr>
          <w:rFonts w:ascii="Arial" w:hAnsi="Arial" w:cs="Arial"/>
          <w:sz w:val="24"/>
          <w:szCs w:val="24"/>
        </w:rPr>
        <w:fldChar w:fldCharType="end"/>
      </w:r>
      <w:r w:rsidR="00D411C9" w:rsidRPr="00B6128C">
        <w:rPr>
          <w:rFonts w:ascii="Arial" w:hAnsi="Arial" w:cs="Arial"/>
          <w:sz w:val="24"/>
          <w:szCs w:val="24"/>
        </w:rPr>
        <w:t xml:space="preserve">. </w:t>
      </w:r>
      <w:r w:rsidRPr="00B6128C">
        <w:rPr>
          <w:rFonts w:ascii="Arial" w:hAnsi="Arial" w:cs="Arial"/>
          <w:sz w:val="24"/>
          <w:szCs w:val="24"/>
        </w:rPr>
        <w:t xml:space="preserve">Furthermore, </w:t>
      </w:r>
      <w:r w:rsidRPr="00B6128C">
        <w:rPr>
          <w:rFonts w:asciiTheme="majorHAnsi" w:eastAsia="ＭＳ ゴシック" w:hAnsiTheme="majorHAnsi" w:cstheme="majorHAnsi"/>
          <w:kern w:val="0"/>
          <w:sz w:val="24"/>
          <w:szCs w:val="24"/>
        </w:rPr>
        <w:t>the clinical features of MMP and non-NC16A-BP are distinct from each other. The non-NC16A-BP shows basically cutaneous lesions but not mucosal involvement.</w:t>
      </w:r>
      <w:r w:rsidRPr="00B6128C">
        <w:rPr>
          <w:rFonts w:ascii="Arial" w:hAnsi="Arial" w:cs="Arial"/>
          <w:sz w:val="24"/>
          <w:szCs w:val="24"/>
        </w:rPr>
        <w:t xml:space="preserve"> In this study, none of non-NC16A-BP patients showed mucosal involvements.</w:t>
      </w:r>
    </w:p>
    <w:p w:rsidR="00D411C9" w:rsidRPr="00B6128C" w:rsidRDefault="00D411C9" w:rsidP="0076422F">
      <w:pPr>
        <w:widowControl/>
        <w:spacing w:line="480" w:lineRule="auto"/>
        <w:contextualSpacing/>
        <w:rPr>
          <w:rFonts w:ascii="Arial" w:hAnsi="Arial" w:cs="Arial"/>
          <w:sz w:val="24"/>
          <w:szCs w:val="24"/>
        </w:rPr>
      </w:pPr>
    </w:p>
    <w:p w:rsidR="00CF0736" w:rsidRPr="00B6128C" w:rsidRDefault="00CF0736" w:rsidP="0076422F">
      <w:pPr>
        <w:widowControl/>
        <w:spacing w:line="480" w:lineRule="auto"/>
        <w:contextualSpacing/>
        <w:rPr>
          <w:rFonts w:asciiTheme="majorHAnsi" w:eastAsia="ＭＳ ゴシック" w:hAnsiTheme="majorHAnsi" w:cstheme="majorHAnsi"/>
          <w:kern w:val="0"/>
          <w:sz w:val="24"/>
          <w:szCs w:val="24"/>
        </w:rPr>
      </w:pPr>
    </w:p>
    <w:p w:rsidR="00005462" w:rsidRPr="00B6128C" w:rsidRDefault="00005462" w:rsidP="00005462">
      <w:pPr>
        <w:spacing w:line="480" w:lineRule="auto"/>
        <w:rPr>
          <w:rFonts w:ascii="Arial" w:hAnsi="Arial" w:cs="Arial"/>
          <w:b/>
          <w:sz w:val="24"/>
          <w:szCs w:val="24"/>
        </w:rPr>
      </w:pPr>
      <w:r w:rsidRPr="00B6128C">
        <w:rPr>
          <w:rFonts w:ascii="Arial" w:hAnsi="Arial" w:cs="Arial"/>
          <w:b/>
          <w:sz w:val="24"/>
          <w:szCs w:val="24"/>
        </w:rPr>
        <w:t>Acknowledgements</w:t>
      </w:r>
    </w:p>
    <w:p w:rsidR="00005462" w:rsidRPr="00B6128C" w:rsidRDefault="00005462" w:rsidP="00005462">
      <w:pPr>
        <w:spacing w:line="480" w:lineRule="auto"/>
        <w:rPr>
          <w:rFonts w:ascii="Arial" w:hAnsi="Arial" w:cs="Arial"/>
          <w:b/>
          <w:bCs/>
          <w:sz w:val="24"/>
          <w:szCs w:val="24"/>
        </w:rPr>
      </w:pPr>
      <w:r w:rsidRPr="00B6128C">
        <w:rPr>
          <w:rFonts w:ascii="Arial" w:hAnsi="Arial" w:cs="Arial"/>
          <w:sz w:val="24"/>
          <w:szCs w:val="24"/>
        </w:rPr>
        <w:t xml:space="preserve">We wish to sincerely thank Ms. Mika Tanabe for her technical assistance. This work was supported in part by a JSPS Grant-in-Aid for Young Scientists </w:t>
      </w:r>
      <w:r w:rsidRPr="00B6128C">
        <w:rPr>
          <w:rFonts w:ascii="Arial" w:eastAsia="Arial Unicode MS" w:hAnsi="Arial" w:cs="Arial"/>
          <w:sz w:val="24"/>
          <w:szCs w:val="24"/>
        </w:rPr>
        <w:t>(B) (26860861 to HI)</w:t>
      </w:r>
      <w:r w:rsidRPr="00B6128C">
        <w:rPr>
          <w:rFonts w:ascii="Arial" w:hAnsi="Arial" w:cs="Arial"/>
          <w:sz w:val="24"/>
          <w:szCs w:val="24"/>
        </w:rPr>
        <w:t>, and Lydia O'Leary Memorial Foundation</w:t>
      </w:r>
      <w:r w:rsidRPr="00B6128C">
        <w:rPr>
          <w:rFonts w:ascii="Arial" w:hAnsi="Arial" w:cs="Arial"/>
          <w:b/>
          <w:bCs/>
          <w:sz w:val="24"/>
          <w:szCs w:val="24"/>
        </w:rPr>
        <w:t>.</w:t>
      </w:r>
    </w:p>
    <w:p w:rsidR="00005462" w:rsidRPr="00B6128C" w:rsidRDefault="00005462" w:rsidP="00005462">
      <w:pPr>
        <w:spacing w:line="480" w:lineRule="auto"/>
        <w:rPr>
          <w:rFonts w:ascii="Arial" w:hAnsi="Arial" w:cs="Arial"/>
          <w:b/>
          <w:bCs/>
          <w:sz w:val="24"/>
          <w:szCs w:val="24"/>
        </w:rPr>
      </w:pPr>
    </w:p>
    <w:p w:rsidR="00005462" w:rsidRPr="00B6128C" w:rsidRDefault="00005462" w:rsidP="00005462">
      <w:pPr>
        <w:spacing w:line="480" w:lineRule="auto"/>
        <w:rPr>
          <w:rFonts w:ascii="Arial" w:hAnsi="Arial" w:cs="Arial"/>
          <w:b/>
          <w:bCs/>
          <w:sz w:val="24"/>
          <w:szCs w:val="24"/>
        </w:rPr>
      </w:pPr>
      <w:r w:rsidRPr="00B6128C">
        <w:rPr>
          <w:rFonts w:ascii="Arial" w:hAnsi="Arial" w:cs="Arial"/>
          <w:b/>
          <w:bCs/>
          <w:sz w:val="24"/>
          <w:szCs w:val="24"/>
        </w:rPr>
        <w:t>Authorship contributions</w:t>
      </w:r>
    </w:p>
    <w:p w:rsidR="0076422F" w:rsidRPr="00B6128C" w:rsidRDefault="00005462" w:rsidP="00005462">
      <w:pPr>
        <w:widowControl/>
        <w:spacing w:line="480" w:lineRule="auto"/>
        <w:contextualSpacing/>
        <w:rPr>
          <w:rFonts w:asciiTheme="majorHAnsi" w:eastAsia="????" w:hAnsiTheme="majorHAnsi" w:cstheme="majorHAnsi"/>
          <w:b/>
          <w:bCs/>
          <w:sz w:val="22"/>
          <w:szCs w:val="22"/>
        </w:rPr>
      </w:pPr>
      <w:r w:rsidRPr="00B6128C">
        <w:rPr>
          <w:rFonts w:ascii="Arial" w:hAnsi="Arial" w:cs="Arial"/>
          <w:sz w:val="24"/>
          <w:szCs w:val="24"/>
        </w:rPr>
        <w:t>KI, HI, MK and KI performed the experiments. HI, KI, KN, HU, WN and HS designed the experiments. KI and HI wrote the manuscript, and all coauthors had final approval of the submission.</w:t>
      </w:r>
      <w:r w:rsidR="0076422F" w:rsidRPr="00B6128C">
        <w:rPr>
          <w:rFonts w:asciiTheme="majorHAnsi" w:eastAsia="????" w:hAnsiTheme="majorHAnsi" w:cstheme="majorHAnsi"/>
          <w:b/>
          <w:bCs/>
          <w:sz w:val="22"/>
          <w:szCs w:val="22"/>
        </w:rPr>
        <w:br w:type="page"/>
      </w:r>
    </w:p>
    <w:tbl>
      <w:tblPr>
        <w:tblW w:w="8537" w:type="dxa"/>
        <w:tblLayout w:type="fixed"/>
        <w:tblCellMar>
          <w:left w:w="99" w:type="dxa"/>
          <w:right w:w="99" w:type="dxa"/>
        </w:tblCellMar>
        <w:tblLook w:val="04A0" w:firstRow="1" w:lastRow="0" w:firstColumn="1" w:lastColumn="0" w:noHBand="0" w:noVBand="1"/>
      </w:tblPr>
      <w:tblGrid>
        <w:gridCol w:w="993"/>
        <w:gridCol w:w="850"/>
        <w:gridCol w:w="851"/>
        <w:gridCol w:w="992"/>
        <w:gridCol w:w="850"/>
        <w:gridCol w:w="851"/>
        <w:gridCol w:w="626"/>
        <w:gridCol w:w="631"/>
        <w:gridCol w:w="631"/>
        <w:gridCol w:w="631"/>
        <w:gridCol w:w="631"/>
      </w:tblGrid>
      <w:tr w:rsidR="00805C92" w:rsidRPr="00B6128C" w:rsidTr="00805C92">
        <w:trPr>
          <w:trHeight w:val="315"/>
        </w:trPr>
        <w:tc>
          <w:tcPr>
            <w:tcW w:w="993"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lastRenderedPageBreak/>
              <w:t>NC16A</w:t>
            </w:r>
          </w:p>
        </w:tc>
        <w:tc>
          <w:tcPr>
            <w:tcW w:w="850"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age gender</w:t>
            </w:r>
          </w:p>
        </w:tc>
        <w:tc>
          <w:tcPr>
            <w:tcW w:w="851" w:type="dxa"/>
            <w:tcBorders>
              <w:top w:val="nil"/>
              <w:left w:val="nil"/>
              <w:bottom w:val="double" w:sz="6" w:space="0" w:color="auto"/>
              <w:right w:val="nil"/>
            </w:tcBorders>
          </w:tcPr>
          <w:p w:rsidR="00805C92" w:rsidRPr="00B6128C" w:rsidRDefault="00805C92" w:rsidP="00805C92">
            <w:pPr>
              <w:widowControl/>
              <w:spacing w:before="240"/>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DPP4</w:t>
            </w:r>
          </w:p>
        </w:tc>
        <w:tc>
          <w:tcPr>
            <w:tcW w:w="992" w:type="dxa"/>
            <w:tcBorders>
              <w:top w:val="nil"/>
              <w:left w:val="nil"/>
              <w:bottom w:val="double" w:sz="6" w:space="0" w:color="auto"/>
              <w:right w:val="nil"/>
            </w:tcBorders>
          </w:tcPr>
          <w:p w:rsidR="00805C92" w:rsidRPr="00B6128C" w:rsidRDefault="00805C92" w:rsidP="00805C92">
            <w:pPr>
              <w:widowControl/>
              <w:spacing w:before="240"/>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mucosa</w:t>
            </w:r>
          </w:p>
        </w:tc>
        <w:tc>
          <w:tcPr>
            <w:tcW w:w="850"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NC16AELISA</w:t>
            </w:r>
          </w:p>
        </w:tc>
        <w:tc>
          <w:tcPr>
            <w:tcW w:w="851" w:type="dxa"/>
            <w:tcBorders>
              <w:top w:val="nil"/>
              <w:left w:val="nil"/>
              <w:bottom w:val="double" w:sz="6" w:space="0" w:color="auto"/>
              <w:right w:val="nil"/>
            </w:tcBorders>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COL17ELISA*</w:t>
            </w:r>
          </w:p>
        </w:tc>
        <w:tc>
          <w:tcPr>
            <w:tcW w:w="626"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IIF</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IgG1</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IgG2</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IgG3</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IgG4</w:t>
            </w:r>
          </w:p>
        </w:tc>
      </w:tr>
      <w:tr w:rsidR="00805C92" w:rsidRPr="00B6128C" w:rsidTr="00805C92">
        <w:trPr>
          <w:trHeight w:val="315"/>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1</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74 M</w:t>
            </w:r>
          </w:p>
        </w:tc>
        <w:tc>
          <w:tcPr>
            <w:tcW w:w="851"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131.1</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67.8</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160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00"/>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2</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61 F</w:t>
            </w:r>
          </w:p>
        </w:tc>
        <w:tc>
          <w:tcPr>
            <w:tcW w:w="851"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Pr>
          <w:p w:rsidR="00805C92" w:rsidRPr="00B6128C" w:rsidRDefault="00C3313A"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87</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43.8</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00"/>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3</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45 F</w:t>
            </w:r>
          </w:p>
        </w:tc>
        <w:tc>
          <w:tcPr>
            <w:tcW w:w="851"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132</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93.5</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15"/>
        </w:trPr>
        <w:tc>
          <w:tcPr>
            <w:tcW w:w="993"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4</w:t>
            </w:r>
          </w:p>
        </w:tc>
        <w:tc>
          <w:tcPr>
            <w:tcW w:w="850"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83 M</w:t>
            </w:r>
          </w:p>
        </w:tc>
        <w:tc>
          <w:tcPr>
            <w:tcW w:w="851" w:type="dxa"/>
            <w:tcBorders>
              <w:top w:val="nil"/>
              <w:left w:val="nil"/>
              <w:bottom w:val="single" w:sz="8" w:space="0" w:color="auto"/>
              <w:right w:val="nil"/>
            </w:tcBorders>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Borders>
              <w:top w:val="nil"/>
              <w:left w:val="nil"/>
              <w:bottom w:val="single" w:sz="8" w:space="0" w:color="auto"/>
              <w:right w:val="nil"/>
            </w:tcBorders>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138.6</w:t>
            </w:r>
          </w:p>
        </w:tc>
        <w:tc>
          <w:tcPr>
            <w:tcW w:w="85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75.4</w:t>
            </w:r>
          </w:p>
        </w:tc>
        <w:tc>
          <w:tcPr>
            <w:tcW w:w="626"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320</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00"/>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average</w:t>
            </w:r>
          </w:p>
        </w:tc>
        <w:tc>
          <w:tcPr>
            <w:tcW w:w="850"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68.25</w:t>
            </w:r>
          </w:p>
        </w:tc>
        <w:tc>
          <w:tcPr>
            <w:tcW w:w="851" w:type="dxa"/>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hint="eastAsia"/>
                <w:color w:val="000000"/>
                <w:kern w:val="0"/>
                <w:sz w:val="20"/>
                <w:szCs w:val="20"/>
              </w:rPr>
              <w:t>0/4</w:t>
            </w:r>
          </w:p>
        </w:tc>
        <w:tc>
          <w:tcPr>
            <w:tcW w:w="992" w:type="dxa"/>
          </w:tcPr>
          <w:p w:rsidR="00805C92" w:rsidRPr="00B6128C" w:rsidRDefault="00CA5CBD" w:rsidP="00805C92">
            <w:pPr>
              <w:widowControl/>
              <w:jc w:val="center"/>
              <w:rPr>
                <w:rFonts w:ascii="Arial" w:eastAsia="Arial Unicode MS" w:hAnsi="Arial" w:cs="Arial"/>
                <w:color w:val="000000"/>
                <w:kern w:val="0"/>
                <w:sz w:val="20"/>
                <w:szCs w:val="20"/>
              </w:rPr>
            </w:pPr>
            <w:r w:rsidRPr="00B6128C">
              <w:rPr>
                <w:rFonts w:ascii="Arial" w:eastAsia="Arial Unicode MS" w:hAnsi="Arial" w:cs="Arial" w:hint="eastAsia"/>
                <w:color w:val="000000"/>
                <w:kern w:val="0"/>
                <w:sz w:val="20"/>
                <w:szCs w:val="20"/>
              </w:rPr>
              <w:t>1</w:t>
            </w:r>
            <w:r w:rsidR="00805C92" w:rsidRPr="00B6128C">
              <w:rPr>
                <w:rFonts w:ascii="Arial" w:eastAsia="Arial Unicode MS" w:hAnsi="Arial" w:cs="Arial" w:hint="eastAsia"/>
                <w:color w:val="000000"/>
                <w:kern w:val="0"/>
                <w:sz w:val="20"/>
                <w:szCs w:val="20"/>
              </w:rPr>
              <w:t>/4</w:t>
            </w:r>
          </w:p>
        </w:tc>
        <w:tc>
          <w:tcPr>
            <w:tcW w:w="850"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122.175</w:t>
            </w:r>
          </w:p>
        </w:tc>
        <w:tc>
          <w:tcPr>
            <w:tcW w:w="851"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70.125</w:t>
            </w:r>
          </w:p>
        </w:tc>
        <w:tc>
          <w:tcPr>
            <w:tcW w:w="626"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150</w:t>
            </w:r>
          </w:p>
        </w:tc>
        <w:tc>
          <w:tcPr>
            <w:tcW w:w="631"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4/4</w:t>
            </w:r>
          </w:p>
        </w:tc>
        <w:tc>
          <w:tcPr>
            <w:tcW w:w="631" w:type="dxa"/>
            <w:noWrap/>
            <w:vAlign w:val="center"/>
            <w:hideMark/>
          </w:tcPr>
          <w:p w:rsidR="00805C92" w:rsidRPr="00B6128C" w:rsidRDefault="00805C92" w:rsidP="00805C92">
            <w:pPr>
              <w:widowControl/>
              <w:jc w:val="center"/>
              <w:rPr>
                <w:rFonts w:ascii="Arial" w:eastAsiaTheme="minorEastAsia" w:hAnsi="Arial" w:cs="Arial"/>
                <w:kern w:val="0"/>
                <w:sz w:val="20"/>
                <w:szCs w:val="20"/>
              </w:rPr>
            </w:pPr>
            <w:r w:rsidRPr="00B6128C">
              <w:rPr>
                <w:rFonts w:ascii="Arial" w:hAnsi="Arial" w:cs="Arial"/>
                <w:kern w:val="0"/>
                <w:sz w:val="20"/>
                <w:szCs w:val="20"/>
              </w:rPr>
              <w:t>4/4</w:t>
            </w:r>
          </w:p>
        </w:tc>
        <w:tc>
          <w:tcPr>
            <w:tcW w:w="631" w:type="dxa"/>
            <w:noWrap/>
            <w:vAlign w:val="center"/>
            <w:hideMark/>
          </w:tcPr>
          <w:p w:rsidR="00805C92" w:rsidRPr="00B6128C" w:rsidRDefault="00805C92" w:rsidP="00805C92">
            <w:pPr>
              <w:widowControl/>
              <w:jc w:val="center"/>
              <w:rPr>
                <w:rFonts w:ascii="Arial" w:hAnsi="Arial" w:cs="Arial"/>
                <w:kern w:val="0"/>
                <w:sz w:val="20"/>
                <w:szCs w:val="20"/>
              </w:rPr>
            </w:pPr>
            <w:r w:rsidRPr="00B6128C">
              <w:rPr>
                <w:rFonts w:ascii="Arial" w:hAnsi="Arial" w:cs="Arial"/>
                <w:kern w:val="0"/>
                <w:sz w:val="20"/>
                <w:szCs w:val="20"/>
              </w:rPr>
              <w:t>1/4</w:t>
            </w:r>
          </w:p>
        </w:tc>
        <w:tc>
          <w:tcPr>
            <w:tcW w:w="631" w:type="dxa"/>
            <w:noWrap/>
            <w:vAlign w:val="center"/>
            <w:hideMark/>
          </w:tcPr>
          <w:p w:rsidR="00805C92" w:rsidRPr="00B6128C" w:rsidRDefault="00805C92" w:rsidP="00805C92">
            <w:pPr>
              <w:widowControl/>
              <w:jc w:val="center"/>
              <w:rPr>
                <w:rFonts w:ascii="Arial" w:hAnsi="Arial" w:cs="Arial"/>
                <w:kern w:val="0"/>
                <w:sz w:val="20"/>
                <w:szCs w:val="20"/>
              </w:rPr>
            </w:pPr>
            <w:r w:rsidRPr="00B6128C">
              <w:rPr>
                <w:rFonts w:ascii="Arial" w:hAnsi="Arial" w:cs="Arial"/>
                <w:kern w:val="0"/>
                <w:sz w:val="20"/>
                <w:szCs w:val="20"/>
              </w:rPr>
              <w:t>3/4</w:t>
            </w:r>
          </w:p>
        </w:tc>
      </w:tr>
      <w:tr w:rsidR="00805C92" w:rsidRPr="00B6128C" w:rsidTr="00805C92">
        <w:trPr>
          <w:trHeight w:val="300"/>
        </w:trPr>
        <w:tc>
          <w:tcPr>
            <w:tcW w:w="993" w:type="dxa"/>
            <w:noWrap/>
            <w:vAlign w:val="center"/>
            <w:hideMark/>
          </w:tcPr>
          <w:p w:rsidR="00805C92" w:rsidRPr="00B6128C" w:rsidRDefault="00805C92" w:rsidP="00805C92">
            <w:pPr>
              <w:rPr>
                <w:rFonts w:ascii="Arial" w:hAnsi="Arial" w:cs="Arial"/>
                <w:kern w:val="0"/>
                <w:sz w:val="20"/>
                <w:szCs w:val="20"/>
              </w:rPr>
            </w:pPr>
          </w:p>
        </w:tc>
        <w:tc>
          <w:tcPr>
            <w:tcW w:w="850"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851" w:type="dxa"/>
          </w:tcPr>
          <w:p w:rsidR="00805C92" w:rsidRPr="00B6128C" w:rsidRDefault="00805C92" w:rsidP="00805C92">
            <w:pPr>
              <w:widowControl/>
              <w:jc w:val="left"/>
              <w:rPr>
                <w:rFonts w:ascii="Arial" w:eastAsia="Times New Roman" w:hAnsi="Arial" w:cs="Arial"/>
                <w:kern w:val="0"/>
                <w:sz w:val="20"/>
                <w:szCs w:val="20"/>
              </w:rPr>
            </w:pPr>
          </w:p>
        </w:tc>
        <w:tc>
          <w:tcPr>
            <w:tcW w:w="992" w:type="dxa"/>
          </w:tcPr>
          <w:p w:rsidR="00805C92" w:rsidRPr="00B6128C" w:rsidRDefault="00805C92" w:rsidP="00805C92">
            <w:pPr>
              <w:widowControl/>
              <w:jc w:val="left"/>
              <w:rPr>
                <w:rFonts w:ascii="Arial" w:eastAsia="Times New Roman" w:hAnsi="Arial" w:cs="Arial"/>
                <w:kern w:val="0"/>
                <w:sz w:val="20"/>
                <w:szCs w:val="20"/>
              </w:rPr>
            </w:pPr>
          </w:p>
        </w:tc>
        <w:tc>
          <w:tcPr>
            <w:tcW w:w="850"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851"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626"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631"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631"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631"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c>
          <w:tcPr>
            <w:tcW w:w="631" w:type="dxa"/>
            <w:noWrap/>
            <w:vAlign w:val="center"/>
            <w:hideMark/>
          </w:tcPr>
          <w:p w:rsidR="00805C92" w:rsidRPr="00B6128C" w:rsidRDefault="00805C92" w:rsidP="00805C92">
            <w:pPr>
              <w:widowControl/>
              <w:jc w:val="left"/>
              <w:rPr>
                <w:rFonts w:ascii="Arial" w:eastAsia="Times New Roman" w:hAnsi="Arial" w:cs="Arial"/>
                <w:kern w:val="0"/>
                <w:sz w:val="20"/>
                <w:szCs w:val="20"/>
              </w:rPr>
            </w:pPr>
          </w:p>
        </w:tc>
      </w:tr>
      <w:tr w:rsidR="00805C92" w:rsidRPr="00B6128C" w:rsidTr="00805C92">
        <w:trPr>
          <w:trHeight w:val="315"/>
        </w:trPr>
        <w:tc>
          <w:tcPr>
            <w:tcW w:w="993"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non-NC16A</w:t>
            </w:r>
          </w:p>
        </w:tc>
        <w:tc>
          <w:tcPr>
            <w:tcW w:w="850"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age gender</w:t>
            </w:r>
          </w:p>
        </w:tc>
        <w:tc>
          <w:tcPr>
            <w:tcW w:w="851" w:type="dxa"/>
            <w:tcBorders>
              <w:top w:val="nil"/>
              <w:left w:val="nil"/>
              <w:bottom w:val="double" w:sz="6" w:space="0" w:color="auto"/>
              <w:right w:val="nil"/>
            </w:tcBorders>
          </w:tcPr>
          <w:p w:rsidR="00805C92" w:rsidRPr="00B6128C" w:rsidRDefault="00805C92" w:rsidP="00805C92">
            <w:pPr>
              <w:widowControl/>
              <w:spacing w:before="240"/>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DPP4</w:t>
            </w:r>
          </w:p>
        </w:tc>
        <w:tc>
          <w:tcPr>
            <w:tcW w:w="992" w:type="dxa"/>
            <w:tcBorders>
              <w:top w:val="nil"/>
              <w:left w:val="nil"/>
              <w:bottom w:val="double" w:sz="6" w:space="0" w:color="auto"/>
              <w:right w:val="nil"/>
            </w:tcBorders>
          </w:tcPr>
          <w:p w:rsidR="00805C92" w:rsidRPr="00B6128C" w:rsidRDefault="00805C92" w:rsidP="00805C92">
            <w:pPr>
              <w:widowControl/>
              <w:spacing w:before="240"/>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mucosa</w:t>
            </w:r>
          </w:p>
        </w:tc>
        <w:tc>
          <w:tcPr>
            <w:tcW w:w="850"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NC16AELISA</w:t>
            </w:r>
          </w:p>
        </w:tc>
        <w:tc>
          <w:tcPr>
            <w:tcW w:w="851" w:type="dxa"/>
            <w:tcBorders>
              <w:top w:val="nil"/>
              <w:left w:val="nil"/>
              <w:bottom w:val="double" w:sz="6" w:space="0" w:color="auto"/>
              <w:right w:val="nil"/>
            </w:tcBorders>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COL17ELISA*</w:t>
            </w:r>
          </w:p>
        </w:tc>
        <w:tc>
          <w:tcPr>
            <w:tcW w:w="626"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IIF</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IgG1</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IgG2</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IgG3</w:t>
            </w:r>
          </w:p>
        </w:tc>
        <w:tc>
          <w:tcPr>
            <w:tcW w:w="631" w:type="dxa"/>
            <w:tcBorders>
              <w:top w:val="nil"/>
              <w:left w:val="nil"/>
              <w:bottom w:val="double" w:sz="6"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IgG4</w:t>
            </w:r>
          </w:p>
        </w:tc>
      </w:tr>
      <w:tr w:rsidR="00805C92" w:rsidRPr="00B6128C" w:rsidTr="00805C92">
        <w:trPr>
          <w:trHeight w:val="315"/>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1</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87 M</w:t>
            </w:r>
          </w:p>
        </w:tc>
        <w:tc>
          <w:tcPr>
            <w:tcW w:w="851" w:type="dxa"/>
          </w:tcPr>
          <w:p w:rsidR="00805C92" w:rsidRPr="00B6128C" w:rsidRDefault="00CA5CBD"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3.2</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79.8</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320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00"/>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2</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89 F</w:t>
            </w:r>
          </w:p>
        </w:tc>
        <w:tc>
          <w:tcPr>
            <w:tcW w:w="851" w:type="dxa"/>
          </w:tcPr>
          <w:p w:rsidR="00805C92" w:rsidRPr="00B6128C" w:rsidRDefault="00CA5CBD"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992"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-1.5</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82.3</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00"/>
        </w:trPr>
        <w:tc>
          <w:tcPr>
            <w:tcW w:w="993" w:type="dxa"/>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3</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72 M</w:t>
            </w:r>
          </w:p>
        </w:tc>
        <w:tc>
          <w:tcPr>
            <w:tcW w:w="851" w:type="dxa"/>
          </w:tcPr>
          <w:p w:rsidR="00805C92" w:rsidRPr="00B6128C" w:rsidRDefault="00CA5CBD"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4.2</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66</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15"/>
        </w:trPr>
        <w:tc>
          <w:tcPr>
            <w:tcW w:w="993"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color w:val="000000"/>
                <w:kern w:val="0"/>
                <w:sz w:val="20"/>
                <w:szCs w:val="20"/>
              </w:rPr>
              <w:t>4</w:t>
            </w:r>
          </w:p>
        </w:tc>
        <w:tc>
          <w:tcPr>
            <w:tcW w:w="850"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74 F</w:t>
            </w:r>
          </w:p>
        </w:tc>
        <w:tc>
          <w:tcPr>
            <w:tcW w:w="851" w:type="dxa"/>
            <w:tcBorders>
              <w:top w:val="nil"/>
              <w:left w:val="nil"/>
              <w:bottom w:val="single" w:sz="8" w:space="0" w:color="auto"/>
              <w:right w:val="nil"/>
            </w:tcBorders>
          </w:tcPr>
          <w:p w:rsidR="00805C92" w:rsidRPr="00B6128C" w:rsidRDefault="00CA5CBD" w:rsidP="00CA5CBD">
            <w:pPr>
              <w:widowControl/>
              <w:ind w:firstLineChars="150" w:firstLine="300"/>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992" w:type="dxa"/>
            <w:tcBorders>
              <w:top w:val="nil"/>
              <w:left w:val="nil"/>
              <w:bottom w:val="single" w:sz="8" w:space="0" w:color="auto"/>
              <w:right w:val="nil"/>
            </w:tcBorders>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hint="eastAsia"/>
                <w:color w:val="000000"/>
                <w:kern w:val="0"/>
                <w:sz w:val="20"/>
                <w:szCs w:val="20"/>
              </w:rPr>
              <w:t>-</w:t>
            </w:r>
          </w:p>
        </w:tc>
        <w:tc>
          <w:tcPr>
            <w:tcW w:w="850"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w:t>
            </w:r>
          </w:p>
        </w:tc>
        <w:tc>
          <w:tcPr>
            <w:tcW w:w="85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76.8</w:t>
            </w:r>
          </w:p>
        </w:tc>
        <w:tc>
          <w:tcPr>
            <w:tcW w:w="626"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80</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c>
          <w:tcPr>
            <w:tcW w:w="631" w:type="dxa"/>
            <w:tcBorders>
              <w:top w:val="nil"/>
              <w:left w:val="nil"/>
              <w:bottom w:val="single" w:sz="8" w:space="0" w:color="auto"/>
              <w:right w:val="nil"/>
            </w:tcBorders>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w:t>
            </w:r>
          </w:p>
        </w:tc>
      </w:tr>
      <w:tr w:rsidR="00805C92" w:rsidRPr="00B6128C" w:rsidTr="00805C92">
        <w:trPr>
          <w:trHeight w:val="300"/>
        </w:trPr>
        <w:tc>
          <w:tcPr>
            <w:tcW w:w="993"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average</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80.5</w:t>
            </w:r>
          </w:p>
        </w:tc>
        <w:tc>
          <w:tcPr>
            <w:tcW w:w="851" w:type="dxa"/>
          </w:tcPr>
          <w:p w:rsidR="00805C92" w:rsidRPr="00B6128C" w:rsidRDefault="00CA5CBD" w:rsidP="00805C92">
            <w:pPr>
              <w:widowControl/>
              <w:jc w:val="center"/>
              <w:rPr>
                <w:rFonts w:ascii="Arial" w:eastAsia="Arial Unicode MS" w:hAnsi="Arial" w:cs="Arial"/>
                <w:color w:val="000000"/>
                <w:kern w:val="0"/>
                <w:sz w:val="20"/>
                <w:szCs w:val="20"/>
              </w:rPr>
            </w:pPr>
            <w:r w:rsidRPr="00B6128C">
              <w:rPr>
                <w:rFonts w:ascii="Arial" w:eastAsia="Arial Unicode MS" w:hAnsi="Arial" w:cs="Arial" w:hint="eastAsia"/>
                <w:color w:val="000000"/>
                <w:kern w:val="0"/>
                <w:sz w:val="20"/>
                <w:szCs w:val="20"/>
              </w:rPr>
              <w:t>2</w:t>
            </w:r>
            <w:r w:rsidR="00805C92" w:rsidRPr="00B6128C">
              <w:rPr>
                <w:rFonts w:ascii="Arial" w:eastAsia="Arial Unicode MS" w:hAnsi="Arial" w:cs="Arial" w:hint="eastAsia"/>
                <w:color w:val="000000"/>
                <w:kern w:val="0"/>
                <w:sz w:val="20"/>
                <w:szCs w:val="20"/>
              </w:rPr>
              <w:t>/4</w:t>
            </w:r>
          </w:p>
        </w:tc>
        <w:tc>
          <w:tcPr>
            <w:tcW w:w="992" w:type="dxa"/>
          </w:tcPr>
          <w:p w:rsidR="00805C92" w:rsidRPr="00B6128C" w:rsidRDefault="00805C92" w:rsidP="00805C92">
            <w:pPr>
              <w:widowControl/>
              <w:jc w:val="center"/>
              <w:rPr>
                <w:rFonts w:ascii="Arial" w:eastAsia="Arial Unicode MS" w:hAnsi="Arial" w:cs="Arial"/>
                <w:color w:val="000000"/>
                <w:kern w:val="0"/>
                <w:sz w:val="20"/>
                <w:szCs w:val="20"/>
              </w:rPr>
            </w:pPr>
            <w:r w:rsidRPr="00B6128C">
              <w:rPr>
                <w:rFonts w:ascii="Arial" w:eastAsia="Arial Unicode MS" w:hAnsi="Arial" w:cs="Arial" w:hint="eastAsia"/>
                <w:color w:val="000000"/>
                <w:kern w:val="0"/>
                <w:sz w:val="20"/>
                <w:szCs w:val="20"/>
              </w:rPr>
              <w:t>0/4</w:t>
            </w:r>
          </w:p>
        </w:tc>
        <w:tc>
          <w:tcPr>
            <w:tcW w:w="850"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2.475</w:t>
            </w:r>
          </w:p>
        </w:tc>
        <w:tc>
          <w:tcPr>
            <w:tcW w:w="85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76.225</w:t>
            </w:r>
          </w:p>
        </w:tc>
        <w:tc>
          <w:tcPr>
            <w:tcW w:w="626"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120</w:t>
            </w:r>
          </w:p>
        </w:tc>
        <w:tc>
          <w:tcPr>
            <w:tcW w:w="631" w:type="dxa"/>
            <w:noWrap/>
            <w:vAlign w:val="center"/>
            <w:hideMark/>
          </w:tcPr>
          <w:p w:rsidR="00805C92" w:rsidRPr="00B6128C" w:rsidRDefault="00805C92" w:rsidP="00805C92">
            <w:pPr>
              <w:widowControl/>
              <w:jc w:val="center"/>
              <w:rPr>
                <w:rFonts w:ascii="Arial" w:eastAsia="ＭＳ Ｐゴシック" w:hAnsi="Arial" w:cs="Arial"/>
                <w:color w:val="000000"/>
                <w:kern w:val="0"/>
                <w:sz w:val="20"/>
                <w:szCs w:val="20"/>
              </w:rPr>
            </w:pPr>
            <w:r w:rsidRPr="00B6128C">
              <w:rPr>
                <w:rFonts w:ascii="Arial" w:eastAsia="ＭＳ Ｐゴシック" w:hAnsi="Arial" w:cs="Arial"/>
                <w:color w:val="000000"/>
                <w:kern w:val="0"/>
                <w:sz w:val="20"/>
                <w:szCs w:val="20"/>
              </w:rPr>
              <w:t>4/4</w:t>
            </w:r>
          </w:p>
        </w:tc>
        <w:tc>
          <w:tcPr>
            <w:tcW w:w="631" w:type="dxa"/>
            <w:noWrap/>
            <w:vAlign w:val="center"/>
            <w:hideMark/>
          </w:tcPr>
          <w:p w:rsidR="00805C92" w:rsidRPr="00B6128C" w:rsidRDefault="00805C92" w:rsidP="00805C92">
            <w:pPr>
              <w:widowControl/>
              <w:jc w:val="center"/>
              <w:rPr>
                <w:rFonts w:ascii="Arial" w:eastAsiaTheme="minorEastAsia" w:hAnsi="Arial" w:cs="Arial"/>
                <w:kern w:val="0"/>
                <w:sz w:val="20"/>
                <w:szCs w:val="20"/>
              </w:rPr>
            </w:pPr>
            <w:r w:rsidRPr="00B6128C">
              <w:rPr>
                <w:rFonts w:ascii="Arial" w:hAnsi="Arial" w:cs="Arial"/>
                <w:kern w:val="0"/>
                <w:sz w:val="20"/>
                <w:szCs w:val="20"/>
              </w:rPr>
              <w:t>2/4</w:t>
            </w:r>
          </w:p>
        </w:tc>
        <w:tc>
          <w:tcPr>
            <w:tcW w:w="631" w:type="dxa"/>
            <w:noWrap/>
            <w:vAlign w:val="center"/>
            <w:hideMark/>
          </w:tcPr>
          <w:p w:rsidR="00805C92" w:rsidRPr="00B6128C" w:rsidRDefault="00805C92" w:rsidP="00805C92">
            <w:pPr>
              <w:widowControl/>
              <w:jc w:val="center"/>
              <w:rPr>
                <w:rFonts w:ascii="Arial" w:hAnsi="Arial" w:cs="Arial"/>
                <w:kern w:val="0"/>
                <w:sz w:val="20"/>
                <w:szCs w:val="20"/>
              </w:rPr>
            </w:pPr>
            <w:r w:rsidRPr="00B6128C">
              <w:rPr>
                <w:rFonts w:ascii="Arial" w:hAnsi="Arial" w:cs="Arial"/>
                <w:kern w:val="0"/>
                <w:sz w:val="20"/>
                <w:szCs w:val="20"/>
              </w:rPr>
              <w:t>4/4</w:t>
            </w:r>
          </w:p>
        </w:tc>
        <w:tc>
          <w:tcPr>
            <w:tcW w:w="631" w:type="dxa"/>
            <w:noWrap/>
            <w:vAlign w:val="center"/>
            <w:hideMark/>
          </w:tcPr>
          <w:p w:rsidR="00805C92" w:rsidRPr="00B6128C" w:rsidRDefault="00805C92" w:rsidP="00805C92">
            <w:pPr>
              <w:widowControl/>
              <w:jc w:val="center"/>
              <w:rPr>
                <w:rFonts w:ascii="Arial" w:hAnsi="Arial" w:cs="Arial"/>
                <w:kern w:val="0"/>
                <w:sz w:val="20"/>
                <w:szCs w:val="20"/>
              </w:rPr>
            </w:pPr>
            <w:r w:rsidRPr="00B6128C">
              <w:rPr>
                <w:rFonts w:ascii="Arial" w:hAnsi="Arial" w:cs="Arial"/>
                <w:kern w:val="0"/>
                <w:sz w:val="20"/>
                <w:szCs w:val="20"/>
              </w:rPr>
              <w:t>3/4</w:t>
            </w:r>
          </w:p>
        </w:tc>
      </w:tr>
    </w:tbl>
    <w:p w:rsidR="008F6F41" w:rsidRPr="00B6128C" w:rsidRDefault="008F6F41" w:rsidP="008F6F41">
      <w:pPr>
        <w:rPr>
          <w:rFonts w:ascii="Arial" w:eastAsiaTheme="minorEastAsia" w:hAnsi="Arial" w:cs="Arial"/>
          <w:sz w:val="20"/>
          <w:szCs w:val="20"/>
        </w:rPr>
      </w:pPr>
    </w:p>
    <w:p w:rsidR="008F6F41" w:rsidRPr="00B6128C" w:rsidRDefault="008F6F41" w:rsidP="008F6F41">
      <w:pPr>
        <w:rPr>
          <w:rFonts w:ascii="Arial" w:hAnsi="Arial" w:cs="Arial"/>
          <w:b/>
          <w:sz w:val="24"/>
          <w:szCs w:val="24"/>
        </w:rPr>
      </w:pPr>
      <w:r w:rsidRPr="00B6128C">
        <w:rPr>
          <w:rFonts w:ascii="Arial" w:hAnsi="Arial" w:cs="Arial"/>
          <w:b/>
          <w:sz w:val="24"/>
          <w:szCs w:val="24"/>
        </w:rPr>
        <w:t xml:space="preserve">Supplementary Table 1. Characterization of autoantibodies in BP patients </w:t>
      </w:r>
    </w:p>
    <w:p w:rsidR="008F6F41" w:rsidRPr="00B6128C" w:rsidRDefault="008F6F41" w:rsidP="008F6F41">
      <w:pPr>
        <w:rPr>
          <w:rFonts w:ascii="Arial" w:hAnsi="Arial" w:cs="Arial"/>
          <w:sz w:val="24"/>
          <w:szCs w:val="24"/>
        </w:rPr>
      </w:pPr>
      <w:r w:rsidRPr="00B6128C">
        <w:rPr>
          <w:rFonts w:ascii="Arial" w:hAnsi="Arial" w:cs="Arial"/>
          <w:sz w:val="24"/>
          <w:szCs w:val="24"/>
        </w:rPr>
        <w:t>* COL17-ELISA: full-length COL17 ELISA</w:t>
      </w:r>
    </w:p>
    <w:p w:rsidR="00797F3B" w:rsidRPr="00B6128C" w:rsidRDefault="00797F3B" w:rsidP="008F6F41">
      <w:pPr>
        <w:rPr>
          <w:rFonts w:ascii="Arial" w:hAnsi="Arial" w:cs="Arial"/>
          <w:sz w:val="24"/>
          <w:szCs w:val="24"/>
        </w:rPr>
      </w:pPr>
    </w:p>
    <w:p w:rsidR="00797F3B" w:rsidRPr="00B6128C" w:rsidRDefault="00797F3B" w:rsidP="008F6F41">
      <w:pPr>
        <w:rPr>
          <w:rFonts w:ascii="Arial" w:hAnsi="Arial" w:cs="Arial"/>
          <w:sz w:val="24"/>
          <w:szCs w:val="24"/>
        </w:rPr>
      </w:pPr>
    </w:p>
    <w:p w:rsidR="009F210D" w:rsidRPr="00B6128C" w:rsidRDefault="001345B4" w:rsidP="00A52587">
      <w:pPr>
        <w:spacing w:line="480" w:lineRule="auto"/>
        <w:rPr>
          <w:rFonts w:asciiTheme="majorHAnsi" w:eastAsia="????" w:hAnsiTheme="majorHAnsi" w:cstheme="majorHAnsi"/>
          <w:b/>
          <w:bCs/>
          <w:sz w:val="22"/>
          <w:szCs w:val="22"/>
        </w:rPr>
      </w:pPr>
      <w:r w:rsidRPr="00B6128C">
        <w:rPr>
          <w:rFonts w:asciiTheme="majorHAnsi" w:eastAsia="????" w:hAnsiTheme="majorHAnsi" w:cstheme="majorHAnsi"/>
          <w:b/>
          <w:bCs/>
          <w:noProof/>
          <w:sz w:val="22"/>
          <w:szCs w:val="22"/>
        </w:rPr>
        <w:lastRenderedPageBreak/>
        <w:drawing>
          <wp:inline distT="0" distB="0" distL="0" distR="0">
            <wp:extent cx="5400040" cy="3822824"/>
            <wp:effectExtent l="0" t="0" r="0" b="6350"/>
            <wp:docPr id="2" name="図 2" descr="C:\Users\Hiro\Desktop\Hiro\北海道大学\10_Bullous pemphigoid without NC16a\manuscript_imafuku\Experimental dermatology\EXD_R1\s Figure 1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Desktop\Hiro\北海道大学\10_Bullous pemphigoid without NC16a\manuscript_imafuku\Experimental dermatology\EXD_R1\s Figure 1_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822824"/>
                    </a:xfrm>
                    <a:prstGeom prst="rect">
                      <a:avLst/>
                    </a:prstGeom>
                    <a:noFill/>
                    <a:ln>
                      <a:noFill/>
                    </a:ln>
                  </pic:spPr>
                </pic:pic>
              </a:graphicData>
            </a:graphic>
          </wp:inline>
        </w:drawing>
      </w:r>
    </w:p>
    <w:p w:rsidR="009F210D" w:rsidRPr="00B6128C" w:rsidRDefault="009F210D" w:rsidP="009F210D">
      <w:pPr>
        <w:spacing w:line="480" w:lineRule="auto"/>
        <w:rPr>
          <w:rFonts w:ascii="Arial" w:hAnsi="Arial" w:cs="Arial"/>
          <w:b/>
          <w:sz w:val="24"/>
          <w:szCs w:val="24"/>
        </w:rPr>
      </w:pPr>
      <w:r w:rsidRPr="00B6128C">
        <w:rPr>
          <w:rFonts w:ascii="Arial" w:hAnsi="Arial" w:cs="Arial"/>
          <w:b/>
          <w:sz w:val="24"/>
          <w:szCs w:val="24"/>
        </w:rPr>
        <w:t xml:space="preserve">Supplementary Figure 1. </w:t>
      </w:r>
      <w:r w:rsidRPr="00B6128C">
        <w:rPr>
          <w:rFonts w:ascii="Arial" w:hAnsi="Arial" w:cs="Arial" w:hint="eastAsia"/>
          <w:b/>
          <w:sz w:val="24"/>
          <w:szCs w:val="24"/>
        </w:rPr>
        <w:t>NC16A</w:t>
      </w:r>
      <w:r w:rsidRPr="00B6128C">
        <w:rPr>
          <w:rFonts w:ascii="Arial" w:hAnsi="Arial" w:cs="Arial"/>
          <w:b/>
          <w:sz w:val="24"/>
          <w:szCs w:val="24"/>
        </w:rPr>
        <w:t>-BP</w:t>
      </w:r>
      <w:r w:rsidRPr="00B6128C">
        <w:rPr>
          <w:rFonts w:ascii="Arial" w:hAnsi="Arial" w:cs="Arial" w:hint="eastAsia"/>
          <w:b/>
          <w:sz w:val="24"/>
          <w:szCs w:val="24"/>
        </w:rPr>
        <w:t xml:space="preserve"> IgG </w:t>
      </w:r>
      <w:r w:rsidRPr="00B6128C">
        <w:rPr>
          <w:rFonts w:ascii="Arial" w:hAnsi="Arial" w:cs="Arial"/>
          <w:b/>
          <w:sz w:val="24"/>
          <w:szCs w:val="24"/>
        </w:rPr>
        <w:t xml:space="preserve">but not non-NC16A-BP IgG </w:t>
      </w:r>
      <w:r w:rsidRPr="00B6128C">
        <w:rPr>
          <w:rFonts w:ascii="Arial" w:hAnsi="Arial" w:cs="Arial" w:hint="eastAsia"/>
          <w:b/>
          <w:sz w:val="24"/>
          <w:szCs w:val="24"/>
        </w:rPr>
        <w:t>deplete</w:t>
      </w:r>
      <w:r w:rsidRPr="00B6128C">
        <w:rPr>
          <w:rFonts w:ascii="Arial" w:hAnsi="Arial" w:cs="Arial"/>
          <w:b/>
          <w:sz w:val="24"/>
          <w:szCs w:val="24"/>
        </w:rPr>
        <w:t>s</w:t>
      </w:r>
      <w:r w:rsidRPr="00B6128C">
        <w:rPr>
          <w:rFonts w:ascii="Arial" w:hAnsi="Arial" w:cs="Arial" w:hint="eastAsia"/>
          <w:b/>
          <w:sz w:val="24"/>
          <w:szCs w:val="24"/>
        </w:rPr>
        <w:t xml:space="preserve"> COL17</w:t>
      </w:r>
      <w:r w:rsidRPr="00B6128C">
        <w:rPr>
          <w:rFonts w:ascii="Arial" w:hAnsi="Arial" w:cs="Arial"/>
          <w:b/>
          <w:sz w:val="24"/>
          <w:szCs w:val="24"/>
        </w:rPr>
        <w:t xml:space="preserve"> in a dose-dependent manner.</w:t>
      </w:r>
    </w:p>
    <w:p w:rsidR="007E161E" w:rsidRPr="00B6128C" w:rsidRDefault="007E161E" w:rsidP="007E161E">
      <w:pPr>
        <w:widowControl/>
        <w:spacing w:before="100" w:beforeAutospacing="1" w:after="100" w:afterAutospacing="1" w:line="360" w:lineRule="auto"/>
        <w:contextualSpacing/>
        <w:outlineLvl w:val="2"/>
        <w:rPr>
          <w:rFonts w:ascii="Arial" w:eastAsia="ＭＳ Ｐゴシック" w:hAnsi="Arial" w:cs="Arial"/>
          <w:bCs/>
          <w:i/>
          <w:kern w:val="0"/>
          <w:sz w:val="24"/>
          <w:szCs w:val="24"/>
        </w:rPr>
      </w:pPr>
      <w:r w:rsidRPr="00B6128C">
        <w:rPr>
          <w:rFonts w:ascii="Arial" w:hAnsi="Arial" w:cs="Arial"/>
          <w:sz w:val="24"/>
          <w:szCs w:val="24"/>
        </w:rPr>
        <w:t>After</w:t>
      </w:r>
      <w:r w:rsidR="009F210D" w:rsidRPr="00B6128C">
        <w:rPr>
          <w:rFonts w:ascii="Arial" w:hAnsi="Arial" w:cs="Arial"/>
          <w:sz w:val="24"/>
          <w:szCs w:val="24"/>
        </w:rPr>
        <w:t xml:space="preserve"> </w:t>
      </w:r>
      <w:r w:rsidR="009F210D" w:rsidRPr="00B6128C">
        <w:rPr>
          <w:rFonts w:ascii="Arial" w:hAnsi="Arial" w:cs="Arial" w:hint="eastAsia"/>
          <w:sz w:val="24"/>
          <w:szCs w:val="24"/>
        </w:rPr>
        <w:t>NHEK</w:t>
      </w:r>
      <w:r w:rsidR="009F210D" w:rsidRPr="00B6128C">
        <w:rPr>
          <w:rFonts w:ascii="Arial" w:hAnsi="Arial" w:cs="Arial"/>
          <w:sz w:val="24"/>
          <w:szCs w:val="24"/>
        </w:rPr>
        <w:t>s</w:t>
      </w:r>
      <w:r w:rsidR="009F210D" w:rsidRPr="00B6128C">
        <w:rPr>
          <w:rFonts w:ascii="Arial" w:hAnsi="Arial" w:cs="Arial" w:hint="eastAsia"/>
          <w:sz w:val="24"/>
          <w:szCs w:val="24"/>
        </w:rPr>
        <w:t xml:space="preserve"> </w:t>
      </w:r>
      <w:r w:rsidR="009F210D" w:rsidRPr="00B6128C">
        <w:rPr>
          <w:rFonts w:ascii="Arial" w:hAnsi="Arial" w:cs="Arial"/>
          <w:sz w:val="24"/>
          <w:szCs w:val="24"/>
        </w:rPr>
        <w:t>at 40% confluence are</w:t>
      </w:r>
      <w:r w:rsidR="009F210D" w:rsidRPr="00B6128C">
        <w:rPr>
          <w:rFonts w:ascii="Arial" w:hAnsi="Arial" w:cs="Arial" w:hint="eastAsia"/>
          <w:sz w:val="24"/>
          <w:szCs w:val="24"/>
        </w:rPr>
        <w:t xml:space="preserve"> treated with 0, 0.1, 0.5 or 2</w:t>
      </w:r>
      <w:r w:rsidR="009F210D" w:rsidRPr="00B6128C">
        <w:rPr>
          <w:rFonts w:ascii="Arial" w:hAnsi="Arial" w:cs="Arial"/>
          <w:sz w:val="24"/>
          <w:szCs w:val="24"/>
        </w:rPr>
        <w:t xml:space="preserve"> </w:t>
      </w:r>
      <w:r w:rsidR="009F210D" w:rsidRPr="00B6128C">
        <w:rPr>
          <w:rFonts w:ascii="Arial" w:hAnsi="Arial" w:cs="Arial" w:hint="eastAsia"/>
          <w:sz w:val="24"/>
          <w:szCs w:val="24"/>
        </w:rPr>
        <w:t>mg</w:t>
      </w:r>
      <w:r w:rsidR="009F210D" w:rsidRPr="00B6128C">
        <w:rPr>
          <w:rFonts w:ascii="Arial" w:hAnsi="Arial" w:cs="Arial"/>
          <w:sz w:val="24"/>
          <w:szCs w:val="24"/>
        </w:rPr>
        <w:t xml:space="preserve">/mL of IgG for 6 hours, </w:t>
      </w:r>
      <w:r w:rsidRPr="00B6128C">
        <w:rPr>
          <w:rFonts w:ascii="Arial" w:hAnsi="Arial" w:cs="Arial"/>
          <w:sz w:val="24"/>
          <w:szCs w:val="24"/>
        </w:rPr>
        <w:t>COL17 was detected by Western blotting</w:t>
      </w:r>
      <w:r w:rsidR="009F210D" w:rsidRPr="00B6128C">
        <w:rPr>
          <w:rFonts w:ascii="Arial" w:hAnsi="Arial" w:cs="Arial"/>
          <w:sz w:val="24"/>
          <w:szCs w:val="24"/>
        </w:rPr>
        <w:t xml:space="preserve">. </w:t>
      </w:r>
      <w:r w:rsidR="009F210D" w:rsidRPr="00B6128C">
        <w:rPr>
          <w:rFonts w:ascii="Arial" w:hAnsi="Arial" w:cs="Arial"/>
          <w:kern w:val="0"/>
          <w:sz w:val="24"/>
          <w:szCs w:val="24"/>
        </w:rPr>
        <w:t xml:space="preserve">β-tubulin was the internal control. </w:t>
      </w:r>
      <w:r w:rsidRPr="00B6128C">
        <w:rPr>
          <w:rFonts w:ascii="Arial" w:hAnsi="Arial" w:cs="Arial"/>
          <w:kern w:val="0"/>
          <w:sz w:val="24"/>
          <w:szCs w:val="24"/>
        </w:rPr>
        <w:t xml:space="preserve">(a) The figure shows representative Western blotting. (b) The relative COL17 amount was measured compared to β-tubulin (* P&lt;0.05). </w:t>
      </w:r>
      <w:r w:rsidR="009F210D" w:rsidRPr="00B6128C">
        <w:rPr>
          <w:rFonts w:ascii="Arial" w:hAnsi="Arial" w:cs="Arial"/>
          <w:sz w:val="24"/>
          <w:szCs w:val="24"/>
        </w:rPr>
        <w:t xml:space="preserve">(c) </w:t>
      </w:r>
      <w:r w:rsidRPr="00B6128C">
        <w:rPr>
          <w:rFonts w:ascii="Arial" w:hAnsi="Arial" w:cs="Arial"/>
          <w:sz w:val="24"/>
          <w:szCs w:val="24"/>
        </w:rPr>
        <w:t>When cells were stimulated with BP-IgG, the other hemidesmosomal proteins,</w:t>
      </w:r>
      <w:r w:rsidR="009F210D" w:rsidRPr="00B6128C">
        <w:rPr>
          <w:rFonts w:ascii="Arial" w:hAnsi="Arial" w:cs="Arial"/>
          <w:sz w:val="24"/>
          <w:szCs w:val="24"/>
        </w:rPr>
        <w:t xml:space="preserve"> α6-i</w:t>
      </w:r>
      <w:r w:rsidR="009F210D" w:rsidRPr="00B6128C">
        <w:rPr>
          <w:rFonts w:ascii="Arial" w:hAnsi="Arial" w:cs="Arial" w:hint="eastAsia"/>
          <w:sz w:val="24"/>
          <w:szCs w:val="24"/>
        </w:rPr>
        <w:t>ntegrin</w:t>
      </w:r>
      <w:r w:rsidR="009F210D" w:rsidRPr="00B6128C">
        <w:rPr>
          <w:rFonts w:ascii="Arial" w:hAnsi="Arial" w:cs="Arial"/>
          <w:sz w:val="24"/>
          <w:szCs w:val="24"/>
        </w:rPr>
        <w:t xml:space="preserve"> or β4-integrin</w:t>
      </w:r>
      <w:r w:rsidRPr="00B6128C">
        <w:rPr>
          <w:rFonts w:ascii="Arial" w:hAnsi="Arial" w:cs="Arial"/>
          <w:sz w:val="24"/>
          <w:szCs w:val="24"/>
        </w:rPr>
        <w:t>, were detected by Western blotting</w:t>
      </w:r>
      <w:r w:rsidR="009F210D" w:rsidRPr="00B6128C">
        <w:rPr>
          <w:rFonts w:ascii="Arial" w:hAnsi="Arial" w:cs="Arial"/>
          <w:sz w:val="24"/>
          <w:szCs w:val="24"/>
        </w:rPr>
        <w:t>.</w:t>
      </w:r>
      <w:r w:rsidRPr="00B6128C">
        <w:rPr>
          <w:rFonts w:ascii="Arial" w:hAnsi="Arial" w:cs="Arial"/>
          <w:sz w:val="24"/>
          <w:szCs w:val="24"/>
        </w:rPr>
        <w:t xml:space="preserve">(d) </w:t>
      </w:r>
      <w:r w:rsidRPr="00B6128C">
        <w:rPr>
          <w:rFonts w:ascii="Arial" w:eastAsia="ＭＳ Ｐゴシック" w:hAnsi="Arial" w:cs="Arial"/>
          <w:bCs/>
          <w:kern w:val="0"/>
          <w:sz w:val="24"/>
          <w:szCs w:val="24"/>
        </w:rPr>
        <w:t>Quantitative RT-PCR of COL17A1 gene was measured in the organ cultured tissue stimulated by BP-IgG.</w:t>
      </w:r>
    </w:p>
    <w:p w:rsidR="009F210D" w:rsidRPr="00B6128C" w:rsidRDefault="009F210D" w:rsidP="009F210D">
      <w:pPr>
        <w:spacing w:line="480" w:lineRule="auto"/>
        <w:rPr>
          <w:rFonts w:ascii="Arial" w:hAnsi="Arial" w:cs="Arial"/>
          <w:sz w:val="24"/>
          <w:szCs w:val="24"/>
        </w:rPr>
      </w:pPr>
    </w:p>
    <w:p w:rsidR="00A4652F" w:rsidRPr="00B6128C" w:rsidRDefault="00A4652F">
      <w:pPr>
        <w:widowControl/>
        <w:jc w:val="left"/>
        <w:rPr>
          <w:rFonts w:ascii="ＭＳ Ｐゴシック" w:eastAsia="ＭＳ Ｐゴシック" w:hAnsi="ＭＳ Ｐゴシック" w:cs="ＭＳ Ｐゴシック"/>
          <w:kern w:val="0"/>
          <w:sz w:val="22"/>
          <w:szCs w:val="22"/>
        </w:rPr>
      </w:pPr>
    </w:p>
    <w:p w:rsidR="00493001" w:rsidRPr="00B6128C" w:rsidRDefault="00493001">
      <w:pPr>
        <w:widowControl/>
        <w:jc w:val="left"/>
        <w:rPr>
          <w:rFonts w:ascii="ＭＳ Ｐゴシック" w:eastAsia="ＭＳ Ｐゴシック" w:hAnsi="ＭＳ Ｐゴシック" w:cs="ＭＳ Ｐゴシック"/>
          <w:kern w:val="0"/>
          <w:sz w:val="22"/>
          <w:szCs w:val="22"/>
        </w:rPr>
      </w:pPr>
      <w:r w:rsidRPr="00B6128C">
        <w:rPr>
          <w:sz w:val="22"/>
          <w:szCs w:val="22"/>
        </w:rPr>
        <w:br w:type="page"/>
      </w:r>
    </w:p>
    <w:p w:rsidR="00D411C9" w:rsidRPr="00B6128C" w:rsidRDefault="0014338A" w:rsidP="00D411C9">
      <w:pPr>
        <w:autoSpaceDE w:val="0"/>
        <w:autoSpaceDN w:val="0"/>
        <w:adjustRightInd w:val="0"/>
        <w:spacing w:before="100" w:after="100"/>
        <w:ind w:left="640" w:hanging="640"/>
        <w:jc w:val="left"/>
        <w:rPr>
          <w:rFonts w:cs="Times New Roman"/>
          <w:noProof/>
          <w:kern w:val="0"/>
          <w:sz w:val="22"/>
          <w:szCs w:val="24"/>
        </w:rPr>
      </w:pPr>
      <w:r w:rsidRPr="00B6128C">
        <w:rPr>
          <w:rFonts w:ascii="ＭＳ Ｐゴシック" w:eastAsia="ＭＳ Ｐゴシック" w:hAnsi="ＭＳ Ｐゴシック" w:cs="ＭＳ Ｐゴシック"/>
          <w:kern w:val="0"/>
          <w:sz w:val="22"/>
          <w:szCs w:val="22"/>
        </w:rPr>
        <w:lastRenderedPageBreak/>
        <w:fldChar w:fldCharType="begin" w:fldLock="1"/>
      </w:r>
      <w:r w:rsidRPr="00B6128C">
        <w:rPr>
          <w:sz w:val="22"/>
          <w:szCs w:val="22"/>
        </w:rPr>
        <w:instrText xml:space="preserve">ADDIN Mendeley Bibliography CSL_BIBLIOGRAPHY </w:instrText>
      </w:r>
      <w:r w:rsidRPr="00B6128C">
        <w:rPr>
          <w:rFonts w:ascii="ＭＳ Ｐゴシック" w:eastAsia="ＭＳ Ｐゴシック" w:hAnsi="ＭＳ Ｐゴシック" w:cs="ＭＳ Ｐゴシック"/>
          <w:kern w:val="0"/>
          <w:sz w:val="22"/>
          <w:szCs w:val="22"/>
        </w:rPr>
        <w:fldChar w:fldCharType="separate"/>
      </w:r>
      <w:r w:rsidR="00D411C9" w:rsidRPr="00B6128C">
        <w:rPr>
          <w:rFonts w:cs="Times New Roman"/>
          <w:b/>
          <w:bCs/>
          <w:noProof/>
          <w:kern w:val="0"/>
          <w:sz w:val="22"/>
          <w:szCs w:val="24"/>
        </w:rPr>
        <w:t>1</w:t>
      </w:r>
      <w:r w:rsidR="00D411C9" w:rsidRPr="00B6128C">
        <w:rPr>
          <w:rFonts w:cs="Times New Roman"/>
          <w:noProof/>
          <w:kern w:val="0"/>
          <w:sz w:val="22"/>
          <w:szCs w:val="24"/>
        </w:rPr>
        <w:t xml:space="preserve"> </w:t>
      </w:r>
      <w:r w:rsidR="00D411C9" w:rsidRPr="00B6128C">
        <w:rPr>
          <w:rFonts w:cs="Times New Roman"/>
          <w:noProof/>
          <w:kern w:val="0"/>
          <w:sz w:val="22"/>
          <w:szCs w:val="24"/>
        </w:rPr>
        <w:tab/>
        <w:t xml:space="preserve">Izumi K, Nishie W, Mai Y </w:t>
      </w:r>
      <w:r w:rsidR="00D411C9" w:rsidRPr="00B6128C">
        <w:rPr>
          <w:rFonts w:cs="Times New Roman"/>
          <w:i/>
          <w:iCs/>
          <w:noProof/>
          <w:kern w:val="0"/>
          <w:sz w:val="22"/>
          <w:szCs w:val="24"/>
        </w:rPr>
        <w:t>et al.</w:t>
      </w:r>
      <w:r w:rsidR="00D411C9" w:rsidRPr="00B6128C">
        <w:rPr>
          <w:rFonts w:cs="Times New Roman"/>
          <w:noProof/>
          <w:kern w:val="0"/>
          <w:sz w:val="22"/>
          <w:szCs w:val="24"/>
        </w:rPr>
        <w:t xml:space="preserve"> Autoantibody Profile Differentiates between Inflammatory and Noninflammatory Bullous Pemphigoid. J Invest Dermatol 2016: </w:t>
      </w:r>
      <w:r w:rsidR="00D411C9" w:rsidRPr="00B6128C">
        <w:rPr>
          <w:rFonts w:cs="Times New Roman"/>
          <w:b/>
          <w:bCs/>
          <w:noProof/>
          <w:kern w:val="0"/>
          <w:sz w:val="22"/>
          <w:szCs w:val="24"/>
        </w:rPr>
        <w:t>136</w:t>
      </w:r>
      <w:r w:rsidR="00D411C9" w:rsidRPr="00B6128C">
        <w:rPr>
          <w:rFonts w:cs="Times New Roman"/>
          <w:noProof/>
          <w:kern w:val="0"/>
          <w:sz w:val="22"/>
          <w:szCs w:val="24"/>
        </w:rPr>
        <w:t>: 2201–2210.</w:t>
      </w:r>
    </w:p>
    <w:p w:rsidR="00D411C9" w:rsidRPr="00B6128C" w:rsidRDefault="00D411C9" w:rsidP="00D411C9">
      <w:pPr>
        <w:autoSpaceDE w:val="0"/>
        <w:autoSpaceDN w:val="0"/>
        <w:adjustRightInd w:val="0"/>
        <w:spacing w:before="100" w:after="100"/>
        <w:ind w:left="640" w:hanging="640"/>
        <w:jc w:val="left"/>
        <w:rPr>
          <w:rFonts w:cs="Times New Roman"/>
          <w:noProof/>
          <w:kern w:val="0"/>
          <w:sz w:val="22"/>
          <w:szCs w:val="24"/>
        </w:rPr>
      </w:pPr>
      <w:r w:rsidRPr="00B6128C">
        <w:rPr>
          <w:rFonts w:cs="Times New Roman"/>
          <w:b/>
          <w:bCs/>
          <w:noProof/>
          <w:kern w:val="0"/>
          <w:sz w:val="22"/>
          <w:szCs w:val="24"/>
        </w:rPr>
        <w:t>2</w:t>
      </w:r>
      <w:r w:rsidRPr="00B6128C">
        <w:rPr>
          <w:rFonts w:cs="Times New Roman"/>
          <w:noProof/>
          <w:kern w:val="0"/>
          <w:sz w:val="22"/>
          <w:szCs w:val="24"/>
        </w:rPr>
        <w:t xml:space="preserve"> </w:t>
      </w:r>
      <w:r w:rsidRPr="00B6128C">
        <w:rPr>
          <w:rFonts w:cs="Times New Roman"/>
          <w:noProof/>
          <w:kern w:val="0"/>
          <w:sz w:val="22"/>
          <w:szCs w:val="24"/>
        </w:rPr>
        <w:tab/>
        <w:t xml:space="preserve">Dmochowski M, Hashimoto T, Bhogal B S </w:t>
      </w:r>
      <w:r w:rsidRPr="00B6128C">
        <w:rPr>
          <w:rFonts w:cs="Times New Roman"/>
          <w:i/>
          <w:iCs/>
          <w:noProof/>
          <w:kern w:val="0"/>
          <w:sz w:val="22"/>
          <w:szCs w:val="24"/>
        </w:rPr>
        <w:t>et al.</w:t>
      </w:r>
      <w:r w:rsidRPr="00B6128C">
        <w:rPr>
          <w:rFonts w:cs="Times New Roman"/>
          <w:noProof/>
          <w:kern w:val="0"/>
          <w:sz w:val="22"/>
          <w:szCs w:val="24"/>
        </w:rPr>
        <w:t xml:space="preserve"> Immunoblotting studies of linear IgA disease. J Dermatol Sci 1993: </w:t>
      </w:r>
      <w:r w:rsidRPr="00B6128C">
        <w:rPr>
          <w:rFonts w:cs="Times New Roman"/>
          <w:b/>
          <w:bCs/>
          <w:noProof/>
          <w:kern w:val="0"/>
          <w:sz w:val="22"/>
          <w:szCs w:val="24"/>
        </w:rPr>
        <w:t>6</w:t>
      </w:r>
      <w:r w:rsidRPr="00B6128C">
        <w:rPr>
          <w:rFonts w:cs="Times New Roman"/>
          <w:noProof/>
          <w:kern w:val="0"/>
          <w:sz w:val="22"/>
          <w:szCs w:val="24"/>
        </w:rPr>
        <w:t>: 194–200.</w:t>
      </w:r>
    </w:p>
    <w:p w:rsidR="00D411C9" w:rsidRPr="00B6128C" w:rsidRDefault="00D411C9" w:rsidP="00D411C9">
      <w:pPr>
        <w:autoSpaceDE w:val="0"/>
        <w:autoSpaceDN w:val="0"/>
        <w:adjustRightInd w:val="0"/>
        <w:spacing w:before="100" w:after="100"/>
        <w:ind w:left="640" w:hanging="640"/>
        <w:jc w:val="left"/>
        <w:rPr>
          <w:rFonts w:cs="Times New Roman"/>
          <w:noProof/>
          <w:kern w:val="0"/>
          <w:sz w:val="22"/>
          <w:szCs w:val="24"/>
        </w:rPr>
      </w:pPr>
      <w:r w:rsidRPr="00B6128C">
        <w:rPr>
          <w:rFonts w:cs="Times New Roman"/>
          <w:b/>
          <w:bCs/>
          <w:noProof/>
          <w:kern w:val="0"/>
          <w:sz w:val="22"/>
          <w:szCs w:val="24"/>
        </w:rPr>
        <w:t>3</w:t>
      </w:r>
      <w:r w:rsidRPr="00B6128C">
        <w:rPr>
          <w:rFonts w:cs="Times New Roman"/>
          <w:noProof/>
          <w:kern w:val="0"/>
          <w:sz w:val="22"/>
          <w:szCs w:val="24"/>
        </w:rPr>
        <w:t xml:space="preserve"> </w:t>
      </w:r>
      <w:r w:rsidRPr="00B6128C">
        <w:rPr>
          <w:rFonts w:cs="Times New Roman"/>
          <w:noProof/>
          <w:kern w:val="0"/>
          <w:sz w:val="22"/>
          <w:szCs w:val="24"/>
        </w:rPr>
        <w:tab/>
        <w:t xml:space="preserve">Iwata H, Kamio N, Aoyama Y </w:t>
      </w:r>
      <w:r w:rsidRPr="00B6128C">
        <w:rPr>
          <w:rFonts w:cs="Times New Roman"/>
          <w:i/>
          <w:iCs/>
          <w:noProof/>
          <w:kern w:val="0"/>
          <w:sz w:val="22"/>
          <w:szCs w:val="24"/>
        </w:rPr>
        <w:t>et al.</w:t>
      </w:r>
      <w:r w:rsidRPr="00B6128C">
        <w:rPr>
          <w:rFonts w:cs="Times New Roman"/>
          <w:noProof/>
          <w:kern w:val="0"/>
          <w:sz w:val="22"/>
          <w:szCs w:val="24"/>
        </w:rPr>
        <w:t xml:space="preserve"> IgG from patients with bullous pemphigoid depletes cultured keratinocytes of the 180-kDa bullous pemphigoid antigen (type XVII collagen) and weakens cell attachment. J Invest Dermatol 2009: </w:t>
      </w:r>
      <w:r w:rsidRPr="00B6128C">
        <w:rPr>
          <w:rFonts w:cs="Times New Roman"/>
          <w:b/>
          <w:bCs/>
          <w:noProof/>
          <w:kern w:val="0"/>
          <w:sz w:val="22"/>
          <w:szCs w:val="24"/>
        </w:rPr>
        <w:t>129</w:t>
      </w:r>
      <w:r w:rsidRPr="00B6128C">
        <w:rPr>
          <w:rFonts w:cs="Times New Roman"/>
          <w:noProof/>
          <w:kern w:val="0"/>
          <w:sz w:val="22"/>
          <w:szCs w:val="24"/>
        </w:rPr>
        <w:t>: 919–26.</w:t>
      </w:r>
    </w:p>
    <w:p w:rsidR="00D411C9" w:rsidRPr="00B6128C" w:rsidRDefault="00D411C9" w:rsidP="00D411C9">
      <w:pPr>
        <w:autoSpaceDE w:val="0"/>
        <w:autoSpaceDN w:val="0"/>
        <w:adjustRightInd w:val="0"/>
        <w:spacing w:before="100" w:after="100"/>
        <w:ind w:left="640" w:hanging="640"/>
        <w:jc w:val="left"/>
        <w:rPr>
          <w:rFonts w:cs="Times New Roman"/>
          <w:noProof/>
          <w:kern w:val="0"/>
          <w:sz w:val="22"/>
          <w:szCs w:val="24"/>
        </w:rPr>
      </w:pPr>
      <w:r w:rsidRPr="00B6128C">
        <w:rPr>
          <w:rFonts w:cs="Times New Roman"/>
          <w:b/>
          <w:bCs/>
          <w:noProof/>
          <w:kern w:val="0"/>
          <w:sz w:val="22"/>
          <w:szCs w:val="24"/>
        </w:rPr>
        <w:t>4</w:t>
      </w:r>
      <w:r w:rsidRPr="00B6128C">
        <w:rPr>
          <w:rFonts w:cs="Times New Roman"/>
          <w:noProof/>
          <w:kern w:val="0"/>
          <w:sz w:val="22"/>
          <w:szCs w:val="24"/>
        </w:rPr>
        <w:t xml:space="preserve"> </w:t>
      </w:r>
      <w:r w:rsidRPr="00B6128C">
        <w:rPr>
          <w:rFonts w:cs="Times New Roman"/>
          <w:noProof/>
          <w:kern w:val="0"/>
          <w:sz w:val="22"/>
          <w:szCs w:val="24"/>
        </w:rPr>
        <w:tab/>
        <w:t xml:space="preserve">Natsuga K, Nishie W, Shinkuma S </w:t>
      </w:r>
      <w:r w:rsidRPr="00B6128C">
        <w:rPr>
          <w:rFonts w:cs="Times New Roman"/>
          <w:i/>
          <w:iCs/>
          <w:noProof/>
          <w:kern w:val="0"/>
          <w:sz w:val="22"/>
          <w:szCs w:val="24"/>
        </w:rPr>
        <w:t>et al.</w:t>
      </w:r>
      <w:r w:rsidRPr="00B6128C">
        <w:rPr>
          <w:rFonts w:cs="Times New Roman"/>
          <w:noProof/>
          <w:kern w:val="0"/>
          <w:sz w:val="22"/>
          <w:szCs w:val="24"/>
        </w:rPr>
        <w:t xml:space="preserve"> Antibodies to pathogenic epitopes on type XVII collagen cause skin fragility in a complement-dependent and -independent manner. J Immunol 2012: </w:t>
      </w:r>
      <w:r w:rsidRPr="00B6128C">
        <w:rPr>
          <w:rFonts w:cs="Times New Roman"/>
          <w:b/>
          <w:bCs/>
          <w:noProof/>
          <w:kern w:val="0"/>
          <w:sz w:val="22"/>
          <w:szCs w:val="24"/>
        </w:rPr>
        <w:t>188</w:t>
      </w:r>
      <w:r w:rsidRPr="00B6128C">
        <w:rPr>
          <w:rFonts w:cs="Times New Roman"/>
          <w:noProof/>
          <w:kern w:val="0"/>
          <w:sz w:val="22"/>
          <w:szCs w:val="24"/>
        </w:rPr>
        <w:t>: 5792–9.</w:t>
      </w:r>
    </w:p>
    <w:p w:rsidR="00D411C9" w:rsidRPr="00B6128C" w:rsidRDefault="00D411C9" w:rsidP="00D411C9">
      <w:pPr>
        <w:autoSpaceDE w:val="0"/>
        <w:autoSpaceDN w:val="0"/>
        <w:adjustRightInd w:val="0"/>
        <w:spacing w:before="100" w:after="100"/>
        <w:ind w:left="640" w:hanging="640"/>
        <w:jc w:val="left"/>
        <w:rPr>
          <w:rFonts w:cs="Times New Roman"/>
          <w:noProof/>
          <w:kern w:val="0"/>
          <w:sz w:val="22"/>
          <w:szCs w:val="24"/>
        </w:rPr>
      </w:pPr>
      <w:r w:rsidRPr="00B6128C">
        <w:rPr>
          <w:rFonts w:cs="Times New Roman"/>
          <w:b/>
          <w:bCs/>
          <w:noProof/>
          <w:kern w:val="0"/>
          <w:sz w:val="22"/>
          <w:szCs w:val="24"/>
        </w:rPr>
        <w:t>5</w:t>
      </w:r>
      <w:r w:rsidRPr="00B6128C">
        <w:rPr>
          <w:rFonts w:cs="Times New Roman"/>
          <w:noProof/>
          <w:kern w:val="0"/>
          <w:sz w:val="22"/>
          <w:szCs w:val="24"/>
        </w:rPr>
        <w:t xml:space="preserve"> </w:t>
      </w:r>
      <w:r w:rsidRPr="00B6128C">
        <w:rPr>
          <w:rFonts w:cs="Times New Roman"/>
          <w:noProof/>
          <w:kern w:val="0"/>
          <w:sz w:val="22"/>
          <w:szCs w:val="24"/>
        </w:rPr>
        <w:tab/>
        <w:t xml:space="preserve">Yu X, Holdorf K, Kasper B </w:t>
      </w:r>
      <w:r w:rsidRPr="00B6128C">
        <w:rPr>
          <w:rFonts w:cs="Times New Roman"/>
          <w:i/>
          <w:iCs/>
          <w:noProof/>
          <w:kern w:val="0"/>
          <w:sz w:val="22"/>
          <w:szCs w:val="24"/>
        </w:rPr>
        <w:t>et al.</w:t>
      </w:r>
      <w:r w:rsidRPr="00B6128C">
        <w:rPr>
          <w:rFonts w:cs="Times New Roman"/>
          <w:noProof/>
          <w:kern w:val="0"/>
          <w:sz w:val="22"/>
          <w:szCs w:val="24"/>
        </w:rPr>
        <w:t xml:space="preserve"> FcγRIIA and FcγRIIIB are required for autoantibody-induced tissue damage in experimental human models of bullous pemphigoid. J Invest Dermatol 2010: </w:t>
      </w:r>
      <w:r w:rsidRPr="00B6128C">
        <w:rPr>
          <w:rFonts w:cs="Times New Roman"/>
          <w:b/>
          <w:bCs/>
          <w:noProof/>
          <w:kern w:val="0"/>
          <w:sz w:val="22"/>
          <w:szCs w:val="24"/>
        </w:rPr>
        <w:t>130</w:t>
      </w:r>
      <w:r w:rsidRPr="00B6128C">
        <w:rPr>
          <w:rFonts w:cs="Times New Roman"/>
          <w:noProof/>
          <w:kern w:val="0"/>
          <w:sz w:val="22"/>
          <w:szCs w:val="24"/>
        </w:rPr>
        <w:t>: 2841–4.</w:t>
      </w:r>
    </w:p>
    <w:p w:rsidR="00D411C9" w:rsidRPr="00B6128C" w:rsidRDefault="00D411C9" w:rsidP="00D411C9">
      <w:pPr>
        <w:autoSpaceDE w:val="0"/>
        <w:autoSpaceDN w:val="0"/>
        <w:adjustRightInd w:val="0"/>
        <w:spacing w:before="100" w:after="100"/>
        <w:ind w:left="640" w:hanging="640"/>
        <w:jc w:val="left"/>
        <w:rPr>
          <w:noProof/>
          <w:sz w:val="22"/>
        </w:rPr>
      </w:pPr>
      <w:r w:rsidRPr="00B6128C">
        <w:rPr>
          <w:rFonts w:cs="Times New Roman"/>
          <w:b/>
          <w:bCs/>
          <w:noProof/>
          <w:kern w:val="0"/>
          <w:sz w:val="22"/>
          <w:szCs w:val="24"/>
        </w:rPr>
        <w:t>6</w:t>
      </w:r>
      <w:r w:rsidRPr="00B6128C">
        <w:rPr>
          <w:rFonts w:cs="Times New Roman"/>
          <w:noProof/>
          <w:kern w:val="0"/>
          <w:sz w:val="22"/>
          <w:szCs w:val="24"/>
        </w:rPr>
        <w:t xml:space="preserve"> </w:t>
      </w:r>
      <w:r w:rsidRPr="00B6128C">
        <w:rPr>
          <w:rFonts w:cs="Times New Roman"/>
          <w:noProof/>
          <w:kern w:val="0"/>
          <w:sz w:val="22"/>
          <w:szCs w:val="24"/>
        </w:rPr>
        <w:tab/>
        <w:t xml:space="preserve">Nakatani C, Muramatsu T, Shirai T. Immunoreactivity of bullous pemphigoid (BP) autoantibodies against the NC16A and C-terminal domains of the 180 kDa BP antigen (BP180): immunoblot analysis and enzyme-linked immunosorbent assay using BP180 recombinant proteins. Br J Dermatol 1998: </w:t>
      </w:r>
      <w:r w:rsidRPr="00B6128C">
        <w:rPr>
          <w:rFonts w:cs="Times New Roman"/>
          <w:b/>
          <w:bCs/>
          <w:noProof/>
          <w:kern w:val="0"/>
          <w:sz w:val="22"/>
          <w:szCs w:val="24"/>
        </w:rPr>
        <w:t>139</w:t>
      </w:r>
      <w:r w:rsidRPr="00B6128C">
        <w:rPr>
          <w:rFonts w:cs="Times New Roman"/>
          <w:noProof/>
          <w:kern w:val="0"/>
          <w:sz w:val="22"/>
          <w:szCs w:val="24"/>
        </w:rPr>
        <w:t>: 365–70.</w:t>
      </w:r>
    </w:p>
    <w:p w:rsidR="00C95704" w:rsidRPr="00A52587" w:rsidRDefault="0014338A">
      <w:r w:rsidRPr="00B6128C">
        <w:rPr>
          <w:sz w:val="22"/>
          <w:szCs w:val="22"/>
        </w:rPr>
        <w:fldChar w:fldCharType="end"/>
      </w:r>
      <w:bookmarkStart w:id="0" w:name="_GoBack"/>
      <w:bookmarkEnd w:id="0"/>
    </w:p>
    <w:sectPr w:rsidR="00C95704" w:rsidRPr="00A525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CA" w:rsidRDefault="00472BCA" w:rsidP="00D5211B">
      <w:r>
        <w:separator/>
      </w:r>
    </w:p>
  </w:endnote>
  <w:endnote w:type="continuationSeparator" w:id="0">
    <w:p w:rsidR="00472BCA" w:rsidRDefault="00472BCA" w:rsidP="00D5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egacySerifStd-Book">
    <w:altName w:val="Arial Unicode MS"/>
    <w:charset w:val="80"/>
    <w:family w:val="auto"/>
    <w:pitch w:val="default"/>
  </w:font>
  <w:font w:name="AdvOptima">
    <w:altName w:val="Times New Roman"/>
    <w:charset w:val="00"/>
    <w:family w:val="auto"/>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
    <w:altName w:val="Arial Unicode MS"/>
    <w:panose1 w:val="00000000000000000000"/>
    <w:charset w:val="80"/>
    <w:family w:val="modern"/>
    <w:notTrueType/>
    <w:pitch w:val="variable"/>
    <w:sig w:usb0="00000000" w:usb1="08070000" w:usb2="00000010" w:usb3="00000000" w:csb0="00020000" w:csb1="00000000"/>
  </w:font>
  <w:font w:name="LegacySerifStd-BookItalic">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CA" w:rsidRDefault="00472BCA" w:rsidP="00D5211B">
      <w:r>
        <w:separator/>
      </w:r>
    </w:p>
  </w:footnote>
  <w:footnote w:type="continuationSeparator" w:id="0">
    <w:p w:rsidR="00472BCA" w:rsidRDefault="00472BCA" w:rsidP="00D5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87"/>
    <w:rsid w:val="00005462"/>
    <w:rsid w:val="000A77E6"/>
    <w:rsid w:val="000D7D6B"/>
    <w:rsid w:val="001345B4"/>
    <w:rsid w:val="0014338A"/>
    <w:rsid w:val="001A0A32"/>
    <w:rsid w:val="00361DF0"/>
    <w:rsid w:val="003B56D6"/>
    <w:rsid w:val="00472BCA"/>
    <w:rsid w:val="00493001"/>
    <w:rsid w:val="004C0971"/>
    <w:rsid w:val="004F427B"/>
    <w:rsid w:val="005A01AB"/>
    <w:rsid w:val="005E46F2"/>
    <w:rsid w:val="005F281E"/>
    <w:rsid w:val="006D682C"/>
    <w:rsid w:val="007533D5"/>
    <w:rsid w:val="0076422F"/>
    <w:rsid w:val="00797F3B"/>
    <w:rsid w:val="007E161E"/>
    <w:rsid w:val="00805C92"/>
    <w:rsid w:val="008F6F41"/>
    <w:rsid w:val="00900EA8"/>
    <w:rsid w:val="00903BA9"/>
    <w:rsid w:val="009330D0"/>
    <w:rsid w:val="009F210D"/>
    <w:rsid w:val="00A4652F"/>
    <w:rsid w:val="00A52587"/>
    <w:rsid w:val="00A60976"/>
    <w:rsid w:val="00A641A6"/>
    <w:rsid w:val="00A91435"/>
    <w:rsid w:val="00AA6D62"/>
    <w:rsid w:val="00B11E28"/>
    <w:rsid w:val="00B6128C"/>
    <w:rsid w:val="00BB59DB"/>
    <w:rsid w:val="00BE3ED7"/>
    <w:rsid w:val="00BE5DF3"/>
    <w:rsid w:val="00C3313A"/>
    <w:rsid w:val="00C80DE4"/>
    <w:rsid w:val="00C95704"/>
    <w:rsid w:val="00CA5CBD"/>
    <w:rsid w:val="00CF0736"/>
    <w:rsid w:val="00D411C9"/>
    <w:rsid w:val="00D50F59"/>
    <w:rsid w:val="00D5211B"/>
    <w:rsid w:val="00D735BE"/>
    <w:rsid w:val="00DC4684"/>
    <w:rsid w:val="00F02D11"/>
    <w:rsid w:val="00F5025C"/>
    <w:rsid w:val="00F5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73A3DE-CAD5-4B15-89DA-4F40F18E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87"/>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3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5211B"/>
    <w:pPr>
      <w:tabs>
        <w:tab w:val="center" w:pos="4252"/>
        <w:tab w:val="right" w:pos="8504"/>
      </w:tabs>
      <w:snapToGrid w:val="0"/>
    </w:pPr>
  </w:style>
  <w:style w:type="character" w:customStyle="1" w:styleId="a4">
    <w:name w:val="ヘッダー (文字)"/>
    <w:basedOn w:val="a0"/>
    <w:link w:val="a3"/>
    <w:uiPriority w:val="99"/>
    <w:rsid w:val="00D5211B"/>
    <w:rPr>
      <w:rFonts w:ascii="Century" w:eastAsia="ＭＳ 明朝" w:hAnsi="Century" w:cs="Century"/>
      <w:szCs w:val="21"/>
    </w:rPr>
  </w:style>
  <w:style w:type="paragraph" w:styleId="a5">
    <w:name w:val="footer"/>
    <w:basedOn w:val="a"/>
    <w:link w:val="a6"/>
    <w:uiPriority w:val="99"/>
    <w:unhideWhenUsed/>
    <w:rsid w:val="00D5211B"/>
    <w:pPr>
      <w:tabs>
        <w:tab w:val="center" w:pos="4252"/>
        <w:tab w:val="right" w:pos="8504"/>
      </w:tabs>
      <w:snapToGrid w:val="0"/>
    </w:pPr>
  </w:style>
  <w:style w:type="character" w:customStyle="1" w:styleId="a6">
    <w:name w:val="フッター (文字)"/>
    <w:basedOn w:val="a0"/>
    <w:link w:val="a5"/>
    <w:uiPriority w:val="99"/>
    <w:rsid w:val="00D5211B"/>
    <w:rPr>
      <w:rFonts w:ascii="Century" w:eastAsia="ＭＳ 明朝" w:hAnsi="Century" w:cs="Century"/>
      <w:szCs w:val="21"/>
    </w:rPr>
  </w:style>
  <w:style w:type="character" w:styleId="a7">
    <w:name w:val="Hyperlink"/>
    <w:basedOn w:val="a0"/>
    <w:uiPriority w:val="99"/>
    <w:unhideWhenUsed/>
    <w:rsid w:val="006D682C"/>
    <w:rPr>
      <w:color w:val="0563C1" w:themeColor="hyperlink"/>
      <w:u w:val="single"/>
    </w:rPr>
  </w:style>
  <w:style w:type="character" w:styleId="a8">
    <w:name w:val="annotation reference"/>
    <w:basedOn w:val="a0"/>
    <w:uiPriority w:val="99"/>
    <w:rsid w:val="00D735BE"/>
    <w:rPr>
      <w:rFonts w:ascii="Times New Roman" w:hAnsi="Times New Roman" w:cs="Times New Roman"/>
      <w:sz w:val="18"/>
      <w:szCs w:val="18"/>
    </w:rPr>
  </w:style>
  <w:style w:type="paragraph" w:styleId="a9">
    <w:name w:val="annotation text"/>
    <w:basedOn w:val="a"/>
    <w:link w:val="aa"/>
    <w:uiPriority w:val="99"/>
    <w:rsid w:val="00D735BE"/>
    <w:pPr>
      <w:jc w:val="left"/>
    </w:pPr>
  </w:style>
  <w:style w:type="character" w:customStyle="1" w:styleId="aa">
    <w:name w:val="コメント文字列 (文字)"/>
    <w:basedOn w:val="a0"/>
    <w:link w:val="a9"/>
    <w:uiPriority w:val="99"/>
    <w:rsid w:val="00D735BE"/>
    <w:rPr>
      <w:rFonts w:ascii="Century" w:eastAsia="ＭＳ 明朝" w:hAnsi="Century" w:cs="Century"/>
      <w:szCs w:val="21"/>
    </w:rPr>
  </w:style>
  <w:style w:type="paragraph" w:styleId="ab">
    <w:name w:val="Balloon Text"/>
    <w:basedOn w:val="a"/>
    <w:link w:val="ac"/>
    <w:uiPriority w:val="99"/>
    <w:semiHidden/>
    <w:unhideWhenUsed/>
    <w:rsid w:val="00D735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3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55651">
      <w:bodyDiv w:val="1"/>
      <w:marLeft w:val="0"/>
      <w:marRight w:val="0"/>
      <w:marTop w:val="0"/>
      <w:marBottom w:val="0"/>
      <w:divBdr>
        <w:top w:val="none" w:sz="0" w:space="0" w:color="auto"/>
        <w:left w:val="none" w:sz="0" w:space="0" w:color="auto"/>
        <w:bottom w:val="none" w:sz="0" w:space="0" w:color="auto"/>
        <w:right w:val="none" w:sz="0" w:space="0" w:color="auto"/>
      </w:divBdr>
      <w:divsChild>
        <w:div w:id="366953914">
          <w:marLeft w:val="0"/>
          <w:marRight w:val="0"/>
          <w:marTop w:val="0"/>
          <w:marBottom w:val="0"/>
          <w:divBdr>
            <w:top w:val="none" w:sz="0" w:space="0" w:color="auto"/>
            <w:left w:val="none" w:sz="0" w:space="0" w:color="auto"/>
            <w:bottom w:val="none" w:sz="0" w:space="0" w:color="auto"/>
            <w:right w:val="none" w:sz="0" w:space="0" w:color="auto"/>
          </w:divBdr>
          <w:divsChild>
            <w:div w:id="1887179239">
              <w:marLeft w:val="0"/>
              <w:marRight w:val="0"/>
              <w:marTop w:val="0"/>
              <w:marBottom w:val="0"/>
              <w:divBdr>
                <w:top w:val="none" w:sz="0" w:space="0" w:color="auto"/>
                <w:left w:val="none" w:sz="0" w:space="0" w:color="auto"/>
                <w:bottom w:val="none" w:sz="0" w:space="0" w:color="auto"/>
                <w:right w:val="none" w:sz="0" w:space="0" w:color="auto"/>
              </w:divBdr>
              <w:divsChild>
                <w:div w:id="280840558">
                  <w:marLeft w:val="0"/>
                  <w:marRight w:val="0"/>
                  <w:marTop w:val="0"/>
                  <w:marBottom w:val="0"/>
                  <w:divBdr>
                    <w:top w:val="none" w:sz="0" w:space="0" w:color="auto"/>
                    <w:left w:val="none" w:sz="0" w:space="0" w:color="auto"/>
                    <w:bottom w:val="none" w:sz="0" w:space="0" w:color="auto"/>
                    <w:right w:val="none" w:sz="0" w:space="0" w:color="auto"/>
                  </w:divBdr>
                  <w:divsChild>
                    <w:div w:id="1385982019">
                      <w:marLeft w:val="0"/>
                      <w:marRight w:val="0"/>
                      <w:marTop w:val="0"/>
                      <w:marBottom w:val="0"/>
                      <w:divBdr>
                        <w:top w:val="none" w:sz="0" w:space="0" w:color="auto"/>
                        <w:left w:val="none" w:sz="0" w:space="0" w:color="auto"/>
                        <w:bottom w:val="none" w:sz="0" w:space="0" w:color="auto"/>
                        <w:right w:val="none" w:sz="0" w:space="0" w:color="auto"/>
                      </w:divBdr>
                      <w:divsChild>
                        <w:div w:id="741104229">
                          <w:marLeft w:val="0"/>
                          <w:marRight w:val="0"/>
                          <w:marTop w:val="0"/>
                          <w:marBottom w:val="0"/>
                          <w:divBdr>
                            <w:top w:val="none" w:sz="0" w:space="0" w:color="auto"/>
                            <w:left w:val="none" w:sz="0" w:space="0" w:color="auto"/>
                            <w:bottom w:val="none" w:sz="0" w:space="0" w:color="auto"/>
                            <w:right w:val="none" w:sz="0" w:space="0" w:color="auto"/>
                          </w:divBdr>
                          <w:divsChild>
                            <w:div w:id="16348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0662">
                  <w:marLeft w:val="0"/>
                  <w:marRight w:val="0"/>
                  <w:marTop w:val="0"/>
                  <w:marBottom w:val="0"/>
                  <w:divBdr>
                    <w:top w:val="none" w:sz="0" w:space="0" w:color="auto"/>
                    <w:left w:val="none" w:sz="0" w:space="0" w:color="auto"/>
                    <w:bottom w:val="none" w:sz="0" w:space="0" w:color="auto"/>
                    <w:right w:val="none" w:sz="0" w:space="0" w:color="auto"/>
                  </w:divBdr>
                  <w:divsChild>
                    <w:div w:id="430589597">
                      <w:marLeft w:val="0"/>
                      <w:marRight w:val="0"/>
                      <w:marTop w:val="0"/>
                      <w:marBottom w:val="0"/>
                      <w:divBdr>
                        <w:top w:val="none" w:sz="0" w:space="0" w:color="auto"/>
                        <w:left w:val="none" w:sz="0" w:space="0" w:color="auto"/>
                        <w:bottom w:val="none" w:sz="0" w:space="0" w:color="auto"/>
                        <w:right w:val="none" w:sz="0" w:space="0" w:color="auto"/>
                      </w:divBdr>
                      <w:divsChild>
                        <w:div w:id="821849205">
                          <w:marLeft w:val="0"/>
                          <w:marRight w:val="0"/>
                          <w:marTop w:val="0"/>
                          <w:marBottom w:val="0"/>
                          <w:divBdr>
                            <w:top w:val="none" w:sz="0" w:space="0" w:color="auto"/>
                            <w:left w:val="none" w:sz="0" w:space="0" w:color="auto"/>
                            <w:bottom w:val="none" w:sz="0" w:space="0" w:color="auto"/>
                            <w:right w:val="none" w:sz="0" w:space="0" w:color="auto"/>
                          </w:divBdr>
                          <w:divsChild>
                            <w:div w:id="1248421147">
                              <w:marLeft w:val="0"/>
                              <w:marRight w:val="0"/>
                              <w:marTop w:val="0"/>
                              <w:marBottom w:val="0"/>
                              <w:divBdr>
                                <w:top w:val="none" w:sz="0" w:space="0" w:color="auto"/>
                                <w:left w:val="none" w:sz="0" w:space="0" w:color="auto"/>
                                <w:bottom w:val="none" w:sz="0" w:space="0" w:color="auto"/>
                                <w:right w:val="none" w:sz="0" w:space="0" w:color="auto"/>
                              </w:divBdr>
                              <w:divsChild>
                                <w:div w:id="484129758">
                                  <w:marLeft w:val="0"/>
                                  <w:marRight w:val="0"/>
                                  <w:marTop w:val="0"/>
                                  <w:marBottom w:val="0"/>
                                  <w:divBdr>
                                    <w:top w:val="none" w:sz="0" w:space="0" w:color="auto"/>
                                    <w:left w:val="none" w:sz="0" w:space="0" w:color="auto"/>
                                    <w:bottom w:val="none" w:sz="0" w:space="0" w:color="auto"/>
                                    <w:right w:val="none" w:sz="0" w:space="0" w:color="auto"/>
                                  </w:divBdr>
                                  <w:divsChild>
                                    <w:div w:id="762721821">
                                      <w:marLeft w:val="0"/>
                                      <w:marRight w:val="0"/>
                                      <w:marTop w:val="0"/>
                                      <w:marBottom w:val="0"/>
                                      <w:divBdr>
                                        <w:top w:val="none" w:sz="0" w:space="0" w:color="auto"/>
                                        <w:left w:val="none" w:sz="0" w:space="0" w:color="auto"/>
                                        <w:bottom w:val="none" w:sz="0" w:space="0" w:color="auto"/>
                                        <w:right w:val="none" w:sz="0" w:space="0" w:color="auto"/>
                                      </w:divBdr>
                                      <w:divsChild>
                                        <w:div w:id="20250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bweb.nih.gov/ij/" TargetMode="External"/><Relationship Id="rId3" Type="http://schemas.openxmlformats.org/officeDocument/2006/relationships/settings" Target="settings.xml"/><Relationship Id="rId7" Type="http://schemas.openxmlformats.org/officeDocument/2006/relationships/hyperlink" Target="http://rsbweb.nih.gov/i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E17B-DD70-4049-A82D-3EDEF5F4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5266</Words>
  <Characters>30017</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岩田浩明</dc:creator>
  <cp:keywords/>
  <dc:description/>
  <cp:lastModifiedBy>Hiro</cp:lastModifiedBy>
  <cp:revision>2</cp:revision>
  <dcterms:created xsi:type="dcterms:W3CDTF">2018-03-07T08:08:00Z</dcterms:created>
  <dcterms:modified xsi:type="dcterms:W3CDTF">2018-03-07T08:08:00Z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http://www.zotero.org/styles/experimental-dermatology</vt:lpwstr>
  </property>
  <property fmtid="{D5CDD505-2E9C-101B-9397-08002B2CF9AE}" pid="4" name="Mendeley Recent Style Id 0_1">
    <vt:lpwstr>http://www.zotero.org/styles/british-journal-of-dermatology</vt:lpwstr>
  </property>
  <property fmtid="{D5CDD505-2E9C-101B-9397-08002B2CF9AE}" pid="5" name="Mendeley Recent Style Name 0_1">
    <vt:lpwstr>British Journal of Dermatology</vt:lpwstr>
  </property>
  <property fmtid="{D5CDD505-2E9C-101B-9397-08002B2CF9AE}" pid="6" name="Mendeley Recent Style Id 1_1">
    <vt:lpwstr>http://www.zotero.org/styles/experimental-dermatology</vt:lpwstr>
  </property>
  <property fmtid="{D5CDD505-2E9C-101B-9397-08002B2CF9AE}" pid="7" name="Mendeley Recent Style Name 1_1">
    <vt:lpwstr>Experimental Dermatology</vt:lpwstr>
  </property>
  <property fmtid="{D5CDD505-2E9C-101B-9397-08002B2CF9AE}" pid="8" name="Mendeley Recent Style Id 2_1">
    <vt:lpwstr>http://www.zotero.org/styles/international-journal-of-oral-and-maxillofacial-surgery</vt:lpwstr>
  </property>
  <property fmtid="{D5CDD505-2E9C-101B-9397-08002B2CF9AE}" pid="9" name="Mendeley Recent Style Name 2_1">
    <vt:lpwstr>International Journal of Oral and Maxillofacial Surgery</vt:lpwstr>
  </property>
  <property fmtid="{D5CDD505-2E9C-101B-9397-08002B2CF9AE}" pid="10" name="Mendeley Recent Style Id 3_1">
    <vt:lpwstr>http://www.zotero.org/styles/jama</vt:lpwstr>
  </property>
  <property fmtid="{D5CDD505-2E9C-101B-9397-08002B2CF9AE}" pid="11" name="Mendeley Recent Style Name 3_1">
    <vt:lpwstr>JAMA (The Journal of the American Medical Association)</vt:lpwstr>
  </property>
  <property fmtid="{D5CDD505-2E9C-101B-9397-08002B2CF9AE}" pid="12" name="Mendeley Recent Style Id 4_1">
    <vt:lpwstr>http://www.zotero.org/styles/journal-of-investigative-dermatology</vt:lpwstr>
  </property>
  <property fmtid="{D5CDD505-2E9C-101B-9397-08002B2CF9AE}" pid="13" name="Mendeley Recent Style Name 4_1">
    <vt:lpwstr>Journal of Investigative Dermatology</vt:lpwstr>
  </property>
  <property fmtid="{D5CDD505-2E9C-101B-9397-08002B2CF9AE}" pid="14" name="Mendeley Recent Style Id 5_1">
    <vt:lpwstr>http://www.zotero.org/styles/laboratory-investigation</vt:lpwstr>
  </property>
  <property fmtid="{D5CDD505-2E9C-101B-9397-08002B2CF9AE}" pid="15" name="Mendeley Recent Style Name 5_1">
    <vt:lpwstr>Laboratory Investigation</vt:lpwstr>
  </property>
  <property fmtid="{D5CDD505-2E9C-101B-9397-08002B2CF9AE}" pid="16" name="Mendeley Recent Style Id 6_1">
    <vt:lpwstr>http://www.zotero.org/styles/the-american-journal-of-medicine</vt:lpwstr>
  </property>
  <property fmtid="{D5CDD505-2E9C-101B-9397-08002B2CF9AE}" pid="17" name="Mendeley Recent Style Name 6_1">
    <vt:lpwstr>The American Journal of Medicine</vt:lpwstr>
  </property>
  <property fmtid="{D5CDD505-2E9C-101B-9397-08002B2CF9AE}" pid="18" name="Mendeley Recent Style Id 7_1">
    <vt:lpwstr>http://www.zotero.org/styles/journal-of-biological-chemistry</vt:lpwstr>
  </property>
  <property fmtid="{D5CDD505-2E9C-101B-9397-08002B2CF9AE}" pid="19" name="Mendeley Recent Style Name 7_1">
    <vt:lpwstr>The Journal of Biological Chemistry</vt:lpwstr>
  </property>
  <property fmtid="{D5CDD505-2E9C-101B-9397-08002B2CF9AE}" pid="20" name="Mendeley Recent Style Id 8_1">
    <vt:lpwstr>http://www.zotero.org/styles/the-journal-of-pathology</vt:lpwstr>
  </property>
  <property fmtid="{D5CDD505-2E9C-101B-9397-08002B2CF9AE}" pid="21" name="Mendeley Recent Style Name 8_1">
    <vt:lpwstr>The Journal of Pathology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058df836-81e3-3c0b-af01-72ac99b3d9e8</vt:lpwstr>
  </property>
</Properties>
</file>