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7" w:rsidRPr="00D966D2" w:rsidRDefault="00FD7E47" w:rsidP="00FD7E47">
      <w:pPr>
        <w:spacing w:line="480" w:lineRule="auto"/>
        <w:rPr>
          <w:b/>
          <w:bCs/>
          <w:lang w:val="en-US" w:bidi="ar-EG"/>
        </w:rPr>
      </w:pPr>
      <w:proofErr w:type="gramStart"/>
      <w:r>
        <w:rPr>
          <w:b/>
          <w:bCs/>
          <w:lang w:val="en-US" w:bidi="ar-EG"/>
        </w:rPr>
        <w:t xml:space="preserve">Supplemental </w:t>
      </w:r>
      <w:r w:rsidRPr="00D966D2">
        <w:rPr>
          <w:b/>
          <w:bCs/>
          <w:lang w:val="en-US" w:bidi="ar-EG"/>
        </w:rPr>
        <w:t xml:space="preserve">Table </w:t>
      </w:r>
      <w:r>
        <w:rPr>
          <w:b/>
          <w:bCs/>
          <w:lang w:val="en-US" w:bidi="ar-EG"/>
        </w:rPr>
        <w:t>1</w:t>
      </w:r>
      <w:r w:rsidRPr="00D966D2">
        <w:rPr>
          <w:b/>
          <w:bCs/>
          <w:lang w:val="en-US" w:bidi="ar-EG"/>
        </w:rPr>
        <w:t>.</w:t>
      </w:r>
      <w:proofErr w:type="gramEnd"/>
      <w:r w:rsidRPr="00D966D2">
        <w:rPr>
          <w:b/>
          <w:bCs/>
          <w:lang w:val="en-US" w:bidi="ar-EG"/>
        </w:rPr>
        <w:t xml:space="preserve"> Odds ratios (95% CI) of 5-year incidence of type 2 diabetes according to energy-adjusted intakes of </w:t>
      </w:r>
      <w:proofErr w:type="spellStart"/>
      <w:r w:rsidRPr="00D966D2">
        <w:rPr>
          <w:b/>
          <w:bCs/>
          <w:lang w:val="en-US" w:bidi="ar-EG"/>
        </w:rPr>
        <w:t>heme</w:t>
      </w:r>
      <w:proofErr w:type="spellEnd"/>
      <w:r>
        <w:rPr>
          <w:b/>
          <w:bCs/>
          <w:lang w:val="en-US" w:bidi="ar-EG"/>
        </w:rPr>
        <w:t xml:space="preserve"> </w:t>
      </w:r>
      <w:r w:rsidRPr="00D966D2">
        <w:rPr>
          <w:b/>
          <w:bCs/>
          <w:lang w:val="en-US" w:bidi="ar-EG"/>
        </w:rPr>
        <w:t xml:space="preserve">iron and </w:t>
      </w:r>
      <w:proofErr w:type="spellStart"/>
      <w:r w:rsidRPr="00D966D2">
        <w:rPr>
          <w:b/>
          <w:bCs/>
          <w:lang w:val="en-US" w:bidi="ar-EG"/>
        </w:rPr>
        <w:t>noneheme</w:t>
      </w:r>
      <w:proofErr w:type="spellEnd"/>
      <w:r>
        <w:rPr>
          <w:b/>
          <w:bCs/>
          <w:lang w:val="en-US" w:bidi="ar-EG"/>
        </w:rPr>
        <w:t xml:space="preserve"> </w:t>
      </w:r>
      <w:r w:rsidRPr="00D966D2">
        <w:rPr>
          <w:b/>
          <w:bCs/>
          <w:lang w:val="en-US" w:bidi="ar-EG"/>
        </w:rPr>
        <w:t>iron in Japanese men and women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843"/>
        <w:gridCol w:w="1786"/>
        <w:gridCol w:w="1049"/>
      </w:tblGrid>
      <w:tr w:rsidR="00FD7E47" w:rsidRPr="00D966D2" w:rsidTr="00787A80">
        <w:trPr>
          <w:trHeight w:val="138"/>
        </w:trPr>
        <w:tc>
          <w:tcPr>
            <w:tcW w:w="15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38" w:type="dxa"/>
            <w:gridSpan w:val="5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FD7E47" w:rsidRPr="00D966D2" w:rsidRDefault="00DB29AD" w:rsidP="00787A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Quartiles of e</w:t>
            </w:r>
            <w:bookmarkStart w:id="0" w:name="_GoBack"/>
            <w:bookmarkEnd w:id="0"/>
            <w:r w:rsidR="00FD7E47"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nergy-adjusted iron intake</w:t>
            </w:r>
          </w:p>
        </w:tc>
      </w:tr>
      <w:tr w:rsidR="00FD7E47" w:rsidRPr="00D966D2" w:rsidTr="00787A80">
        <w:trPr>
          <w:trHeight w:val="138"/>
        </w:trPr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 (low)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4 (High)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7E47" w:rsidRPr="00D966D2" w:rsidRDefault="00FD7E47" w:rsidP="00DB29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EG"/>
              </w:rPr>
              <w:t>P</w:t>
            </w:r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-trend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 </w:t>
            </w:r>
            <w:r w:rsidR="00DB29A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 w:bidi="ar-EG"/>
              </w:rPr>
              <w:t>a</w:t>
            </w:r>
          </w:p>
        </w:tc>
      </w:tr>
      <w:tr w:rsidR="00FD7E47" w:rsidRPr="00D966D2" w:rsidTr="00787A80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Heme</w:t>
            </w:r>
            <w:proofErr w:type="spellEnd"/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 iron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786" w:type="dxa"/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Subjects, n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Cases, n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94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80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29A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1.00 (ref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DB29AD">
            <w:pPr>
              <w:tabs>
                <w:tab w:val="left" w:pos="708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36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1.02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83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20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89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62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22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90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65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04</w:t>
            </w: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29A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1.00 (ref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DB29AD">
            <w:pPr>
              <w:tabs>
                <w:tab w:val="left" w:pos="708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31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97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76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15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84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55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19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88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61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10</w:t>
            </w: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Model 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29A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1.00 (ref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DB29AD">
            <w:pPr>
              <w:tabs>
                <w:tab w:val="left" w:pos="708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16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80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66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1.10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77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60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1.16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82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59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63</w:t>
            </w: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Nonheme</w:t>
            </w:r>
            <w:proofErr w:type="spellEnd"/>
            <w:r w:rsidRPr="00D966D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 iron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787A80">
            <w:pPr>
              <w:tabs>
                <w:tab w:val="left" w:pos="708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Subjects, n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4040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Cases, n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85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81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Model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29A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1.00 (ref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DB29AD">
            <w:pPr>
              <w:tabs>
                <w:tab w:val="left" w:pos="708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60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24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2.15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44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18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87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38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15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79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01</w:t>
            </w:r>
          </w:p>
        </w:tc>
      </w:tr>
      <w:tr w:rsidR="00FD7E47" w:rsidRPr="00D966D2" w:rsidTr="00787A80">
        <w:tc>
          <w:tcPr>
            <w:tcW w:w="1526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Model 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29A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1.00 (ref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D7E47" w:rsidRPr="00D966D2" w:rsidRDefault="00FD7E47" w:rsidP="00DB29AD">
            <w:pPr>
              <w:tabs>
                <w:tab w:val="left" w:pos="708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52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1.17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99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35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1.08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75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FD7E47" w:rsidRPr="00315148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34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1.09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80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03</w:t>
            </w:r>
          </w:p>
        </w:tc>
      </w:tr>
      <w:tr w:rsidR="00FD7E47" w:rsidRPr="00D966D2" w:rsidTr="00787A80">
        <w:tc>
          <w:tcPr>
            <w:tcW w:w="1526" w:type="dxa"/>
            <w:tcBorders>
              <w:bottom w:val="single" w:sz="24" w:space="0" w:color="auto"/>
            </w:tcBorders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</w:rPr>
              <w:t>Model 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29A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1.00 (ref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FD7E47" w:rsidRPr="00D966D2" w:rsidRDefault="00FD7E47" w:rsidP="00DB29AD">
            <w:pPr>
              <w:tabs>
                <w:tab w:val="left" w:pos="708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49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1.12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94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FD7E47" w:rsidRPr="00D966D2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1.32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1.04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64</w:t>
            </w: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786" w:type="dxa"/>
            <w:tcBorders>
              <w:bottom w:val="single" w:sz="24" w:space="0" w:color="auto"/>
            </w:tcBorders>
            <w:shd w:val="clear" w:color="auto" w:fill="auto"/>
          </w:tcPr>
          <w:p w:rsidR="00FD7E47" w:rsidRPr="00315148" w:rsidRDefault="00FD7E47" w:rsidP="00DB29AD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1.31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1.05</w:t>
            </w:r>
            <w:r w:rsidR="00DB29AD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-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69</w:t>
            </w:r>
            <w:r w:rsidRPr="00315148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)</w:t>
            </w:r>
          </w:p>
        </w:tc>
        <w:tc>
          <w:tcPr>
            <w:tcW w:w="1049" w:type="dxa"/>
            <w:tcBorders>
              <w:bottom w:val="single" w:sz="24" w:space="0" w:color="auto"/>
            </w:tcBorders>
            <w:shd w:val="clear" w:color="auto" w:fill="auto"/>
          </w:tcPr>
          <w:p w:rsidR="00FD7E47" w:rsidRPr="00D966D2" w:rsidRDefault="00FD7E47" w:rsidP="00787A8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D966D2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02</w:t>
            </w:r>
          </w:p>
        </w:tc>
      </w:tr>
    </w:tbl>
    <w:p w:rsidR="00FD7E47" w:rsidRPr="005141E9" w:rsidRDefault="00DB29AD" w:rsidP="00FD7E47">
      <w:pPr>
        <w:rPr>
          <w:sz w:val="16"/>
          <w:szCs w:val="16"/>
          <w:lang w:val="en-US" w:bidi="ar-EG"/>
        </w:rPr>
      </w:pPr>
      <w:proofErr w:type="gramStart"/>
      <w:r>
        <w:rPr>
          <w:sz w:val="16"/>
          <w:szCs w:val="16"/>
          <w:vertAlign w:val="superscript"/>
          <w:lang w:val="en-US" w:bidi="ar-EG"/>
        </w:rPr>
        <w:t>a</w:t>
      </w:r>
      <w:proofErr w:type="gramEnd"/>
      <w:r w:rsidR="00FD7E47" w:rsidRPr="005141E9">
        <w:rPr>
          <w:sz w:val="16"/>
          <w:szCs w:val="16"/>
          <w:lang w:val="en-US" w:bidi="ar-EG"/>
        </w:rPr>
        <w:t xml:space="preserve"> Median value of iron intakes in each quartile were used to test for a linear trend across quintiles. There were no interactions with sex; P for interaction &gt;0.1.</w:t>
      </w:r>
    </w:p>
    <w:p w:rsidR="00FD7E47" w:rsidRPr="005141E9" w:rsidRDefault="00DB29AD" w:rsidP="00FD7E47">
      <w:pPr>
        <w:rPr>
          <w:sz w:val="16"/>
          <w:szCs w:val="16"/>
          <w:lang w:val="en-US" w:bidi="ar-EG"/>
        </w:rPr>
      </w:pPr>
      <w:proofErr w:type="gramStart"/>
      <w:r>
        <w:rPr>
          <w:sz w:val="16"/>
          <w:szCs w:val="16"/>
          <w:vertAlign w:val="superscript"/>
          <w:lang w:val="en-US" w:bidi="ar-EG"/>
        </w:rPr>
        <w:t>b</w:t>
      </w:r>
      <w:proofErr w:type="gramEnd"/>
      <w:r w:rsidR="00FD7E47" w:rsidRPr="005141E9">
        <w:rPr>
          <w:sz w:val="16"/>
          <w:szCs w:val="16"/>
          <w:lang w:val="en-US" w:bidi="ar-EG"/>
        </w:rPr>
        <w:t xml:space="preserve"> Model 1 Odds ratio (95% confidence intervals) estimated by using Logistic regression model adjusted for age and sex.</w:t>
      </w:r>
    </w:p>
    <w:p w:rsidR="00FD7E47" w:rsidRPr="005141E9" w:rsidRDefault="00DB29AD" w:rsidP="00FD7E47">
      <w:pPr>
        <w:rPr>
          <w:sz w:val="16"/>
          <w:szCs w:val="16"/>
          <w:lang w:val="en-US" w:bidi="ar-EG"/>
        </w:rPr>
      </w:pPr>
      <w:proofErr w:type="gramStart"/>
      <w:r>
        <w:rPr>
          <w:sz w:val="16"/>
          <w:szCs w:val="16"/>
          <w:vertAlign w:val="superscript"/>
          <w:lang w:val="en-US" w:bidi="ar-EG"/>
        </w:rPr>
        <w:t>c</w:t>
      </w:r>
      <w:proofErr w:type="gramEnd"/>
      <w:r w:rsidR="00FD7E47" w:rsidRPr="005141E9">
        <w:rPr>
          <w:sz w:val="16"/>
          <w:szCs w:val="16"/>
          <w:lang w:val="en-US" w:bidi="ar-EG"/>
        </w:rPr>
        <w:t xml:space="preserve"> Model 2 Odds ratio (95% confidence intervals) estimated by using Logistic regression model adjusted for age and sex and for non-dietary factors including: family history of diabetes, past history of hypertension, smoking status, body mass index, hours of walking and hours of exercise.</w:t>
      </w:r>
    </w:p>
    <w:p w:rsidR="001D76C0" w:rsidRDefault="00DB29AD" w:rsidP="00FD7E47">
      <w:r>
        <w:rPr>
          <w:sz w:val="16"/>
          <w:szCs w:val="16"/>
          <w:vertAlign w:val="superscript"/>
          <w:lang w:val="en-US" w:bidi="ar-EG"/>
        </w:rPr>
        <w:t>d</w:t>
      </w:r>
      <w:r w:rsidR="00FD7E47" w:rsidRPr="005141E9">
        <w:rPr>
          <w:sz w:val="16"/>
          <w:szCs w:val="16"/>
          <w:lang w:val="en-US" w:bidi="ar-EG"/>
        </w:rPr>
        <w:t xml:space="preserve"> Model 3 Odds ratio (95% confidence intervals) estimated by using Logistic regression model adjusted for age, sex, non-dietary factors including: family history of diabetes, past history of hypertension, smoking status, body mass index, hours of walking and hours of exercise and dietary factors including: alcohol intake, coffee intake, green tea intake, quartiles of total energy intake and quartiles of energy-ad</w:t>
      </w:r>
      <w:r w:rsidR="00FD7E47">
        <w:rPr>
          <w:sz w:val="16"/>
          <w:szCs w:val="16"/>
          <w:lang w:val="en-US" w:bidi="ar-EG"/>
        </w:rPr>
        <w:t xml:space="preserve">justed intakes for magnesium, copper, zinc and </w:t>
      </w:r>
      <w:r w:rsidR="00FD7E47" w:rsidRPr="005141E9">
        <w:rPr>
          <w:sz w:val="16"/>
          <w:szCs w:val="16"/>
          <w:lang w:val="en-US" w:bidi="ar-EG"/>
        </w:rPr>
        <w:t>carbohydrate</w:t>
      </w:r>
    </w:p>
    <w:sectPr w:rsidR="001D7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DD" w:rsidRDefault="006405DD" w:rsidP="00FD7E47">
      <w:r>
        <w:separator/>
      </w:r>
    </w:p>
  </w:endnote>
  <w:endnote w:type="continuationSeparator" w:id="0">
    <w:p w:rsidR="006405DD" w:rsidRDefault="006405DD" w:rsidP="00FD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7" w:rsidRDefault="00FD7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7" w:rsidRDefault="00FD7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7" w:rsidRDefault="00FD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DD" w:rsidRDefault="006405DD" w:rsidP="00FD7E47">
      <w:r>
        <w:separator/>
      </w:r>
    </w:p>
  </w:footnote>
  <w:footnote w:type="continuationSeparator" w:id="0">
    <w:p w:rsidR="006405DD" w:rsidRDefault="006405DD" w:rsidP="00FD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7" w:rsidRDefault="00FD7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7" w:rsidRPr="00FD7E47" w:rsidRDefault="00FD7E47" w:rsidP="00FD7E47">
    <w:pPr>
      <w:widowControl w:val="0"/>
      <w:jc w:val="right"/>
      <w:rPr>
        <w:rFonts w:asciiTheme="minorHAnsi" w:eastAsiaTheme="minorEastAsia" w:hAnsiTheme="minorHAnsi" w:cstheme="minorBidi"/>
        <w:kern w:val="2"/>
        <w:sz w:val="21"/>
        <w:szCs w:val="22"/>
        <w:lang w:val="en-US"/>
      </w:rPr>
    </w:pPr>
    <w:r w:rsidRPr="00FD7E47">
      <w:rPr>
        <w:rFonts w:asciiTheme="minorHAnsi" w:eastAsiaTheme="minorEastAsia" w:hAnsiTheme="minorHAnsi" w:cstheme="minorBidi"/>
        <w:kern w:val="2"/>
        <w:sz w:val="21"/>
        <w:szCs w:val="22"/>
        <w:lang w:val="en-US"/>
      </w:rPr>
      <w:t>Online Supplemental Material</w:t>
    </w:r>
  </w:p>
  <w:p w:rsidR="00FD7E47" w:rsidRDefault="00FD7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7" w:rsidRDefault="00FD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47"/>
    <w:rsid w:val="001D76C0"/>
    <w:rsid w:val="006405DD"/>
    <w:rsid w:val="00A710C1"/>
    <w:rsid w:val="00DB29AD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47"/>
    <w:rPr>
      <w:rFonts w:ascii="Times New Roman" w:eastAsia="ＭＳ 明朝" w:hAnsi="Times New Roman" w:cs="Times New Roman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7E47"/>
    <w:rPr>
      <w:rFonts w:ascii="Times New Roman" w:eastAsia="ＭＳ 明朝" w:hAnsi="Times New Roman" w:cs="Times New Roman"/>
      <w:kern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E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7E47"/>
    <w:rPr>
      <w:rFonts w:ascii="Times New Roman" w:eastAsia="ＭＳ 明朝" w:hAnsi="Times New Roman" w:cs="Times New Roman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47"/>
    <w:rPr>
      <w:rFonts w:ascii="Times New Roman" w:eastAsia="ＭＳ 明朝" w:hAnsi="Times New Roman" w:cs="Times New Roman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7E47"/>
    <w:rPr>
      <w:rFonts w:ascii="Times New Roman" w:eastAsia="ＭＳ 明朝" w:hAnsi="Times New Roman" w:cs="Times New Roman"/>
      <w:kern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E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7E47"/>
    <w:rPr>
      <w:rFonts w:ascii="Times New Roman" w:eastAsia="ＭＳ 明朝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</dc:creator>
  <cp:lastModifiedBy>Ehab</cp:lastModifiedBy>
  <cp:revision>2</cp:revision>
  <dcterms:created xsi:type="dcterms:W3CDTF">2016-09-21T02:52:00Z</dcterms:created>
  <dcterms:modified xsi:type="dcterms:W3CDTF">2016-09-28T03:51:00Z</dcterms:modified>
</cp:coreProperties>
</file>