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B0195" w14:textId="36A41836" w:rsidR="00A637FD" w:rsidRPr="00F537F0" w:rsidRDefault="00A637FD" w:rsidP="00A637FD">
      <w:pPr>
        <w:snapToGrid w:val="0"/>
        <w:spacing w:line="480" w:lineRule="auto"/>
        <w:contextualSpacing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>Online supplement</w:t>
      </w:r>
    </w:p>
    <w:p w14:paraId="68C094E1" w14:textId="77777777" w:rsidR="00A637FD" w:rsidRPr="00F537F0" w:rsidRDefault="00A637FD" w:rsidP="00D516AC">
      <w:pPr>
        <w:snapToGrid w:val="0"/>
        <w:spacing w:line="480" w:lineRule="auto"/>
        <w:contextualSpacing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98D0960" w14:textId="5C529F92" w:rsidR="005E7F49" w:rsidRPr="00F537F0" w:rsidRDefault="0052568C" w:rsidP="00D516AC">
      <w:pPr>
        <w:snapToGrid w:val="0"/>
        <w:spacing w:line="480" w:lineRule="auto"/>
        <w:contextualSpacing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>Percent low attenuation volume and fractal dimension of low attenuation clusters on computed tomography predict different long-term outcomes in COPD</w:t>
      </w:r>
    </w:p>
    <w:p w14:paraId="32ADA694" w14:textId="77777777" w:rsidR="005E7F49" w:rsidRPr="00F537F0" w:rsidRDefault="005E7F49" w:rsidP="00D516AC">
      <w:pPr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DC5B99" w14:textId="77777777" w:rsidR="00B73782" w:rsidRPr="00F537F0" w:rsidRDefault="00B73782" w:rsidP="00D516AC">
      <w:pPr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537F0">
        <w:rPr>
          <w:rFonts w:ascii="Times New Roman" w:hAnsi="Times New Roman" w:cs="Times New Roman"/>
          <w:sz w:val="24"/>
          <w:szCs w:val="24"/>
        </w:rPr>
        <w:t>Kaoruko</w:t>
      </w:r>
      <w:proofErr w:type="spellEnd"/>
      <w:r w:rsidRPr="00F537F0">
        <w:rPr>
          <w:rFonts w:ascii="Times New Roman" w:hAnsi="Times New Roman" w:cs="Times New Roman"/>
          <w:sz w:val="24"/>
          <w:szCs w:val="24"/>
        </w:rPr>
        <w:t xml:space="preserve"> Shimizu</w:t>
      </w:r>
      <w:r w:rsidRPr="00F537F0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F53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7F0">
        <w:rPr>
          <w:rFonts w:ascii="Times New Roman" w:hAnsi="Times New Roman" w:cs="Times New Roman"/>
          <w:sz w:val="24"/>
          <w:szCs w:val="24"/>
        </w:rPr>
        <w:t>Naoya</w:t>
      </w:r>
      <w:proofErr w:type="spellEnd"/>
      <w:r w:rsidRPr="00F537F0">
        <w:rPr>
          <w:rFonts w:ascii="Times New Roman" w:hAnsi="Times New Roman" w:cs="Times New Roman"/>
          <w:sz w:val="24"/>
          <w:szCs w:val="24"/>
        </w:rPr>
        <w:t xml:space="preserve"> Tanabe</w:t>
      </w:r>
      <w:r w:rsidRPr="00F537F0">
        <w:rPr>
          <w:rFonts w:ascii="Times New Roman" w:hAnsi="Times New Roman" w:cs="Times New Roman"/>
          <w:sz w:val="24"/>
          <w:szCs w:val="24"/>
          <w:vertAlign w:val="superscript"/>
        </w:rPr>
        <w:t>2*</w:t>
      </w:r>
      <w:r w:rsidRPr="00F537F0">
        <w:rPr>
          <w:rFonts w:ascii="Times New Roman" w:hAnsi="Times New Roman" w:cs="Times New Roman"/>
          <w:sz w:val="24"/>
          <w:szCs w:val="24"/>
        </w:rPr>
        <w:t>, Nguyen Van Tho</w:t>
      </w:r>
      <w:r w:rsidRPr="00F537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37F0">
        <w:rPr>
          <w:rFonts w:ascii="Times New Roman" w:hAnsi="Times New Roman" w:cs="Times New Roman"/>
          <w:sz w:val="24"/>
          <w:szCs w:val="24"/>
        </w:rPr>
        <w:t>, Masaru Suzuki</w:t>
      </w:r>
      <w:r w:rsidRPr="00F537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3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7F0">
        <w:rPr>
          <w:rFonts w:ascii="Times New Roman" w:hAnsi="Times New Roman" w:cs="Times New Roman"/>
          <w:sz w:val="24"/>
          <w:szCs w:val="24"/>
        </w:rPr>
        <w:t>Hironi</w:t>
      </w:r>
      <w:proofErr w:type="spellEnd"/>
      <w:r w:rsidRPr="00F537F0">
        <w:rPr>
          <w:rFonts w:ascii="Times New Roman" w:hAnsi="Times New Roman" w:cs="Times New Roman"/>
          <w:sz w:val="24"/>
          <w:szCs w:val="24"/>
        </w:rPr>
        <w:t xml:space="preserve"> Makita</w:t>
      </w:r>
      <w:r w:rsidRPr="00F537F0">
        <w:rPr>
          <w:rFonts w:ascii="Times New Roman" w:hAnsi="Times New Roman" w:cs="Times New Roman"/>
          <w:sz w:val="24"/>
          <w:szCs w:val="24"/>
          <w:vertAlign w:val="superscript"/>
        </w:rPr>
        <w:t>,1,4</w:t>
      </w:r>
      <w:r w:rsidRPr="00F537F0">
        <w:rPr>
          <w:rFonts w:ascii="Times New Roman" w:hAnsi="Times New Roman" w:cs="Times New Roman"/>
          <w:sz w:val="24"/>
          <w:szCs w:val="24"/>
        </w:rPr>
        <w:t>, Susumu Sato</w:t>
      </w:r>
      <w:r w:rsidRPr="00F537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37F0">
        <w:rPr>
          <w:rFonts w:ascii="Times New Roman" w:hAnsi="Times New Roman" w:cs="Times New Roman"/>
          <w:sz w:val="24"/>
          <w:szCs w:val="24"/>
        </w:rPr>
        <w:t>, Shigeo Muro</w:t>
      </w:r>
      <w:r w:rsidRPr="00F537F0">
        <w:rPr>
          <w:rFonts w:ascii="Times New Roman" w:hAnsi="Times New Roman" w:cs="Times New Roman"/>
          <w:sz w:val="24"/>
          <w:szCs w:val="24"/>
          <w:vertAlign w:val="superscript"/>
        </w:rPr>
        <w:t>2,5</w:t>
      </w:r>
      <w:r w:rsidRPr="00F537F0">
        <w:rPr>
          <w:rFonts w:ascii="Times New Roman" w:hAnsi="Times New Roman" w:cs="Times New Roman"/>
          <w:sz w:val="24"/>
          <w:szCs w:val="24"/>
        </w:rPr>
        <w:t>, Michiaki Mishima</w:t>
      </w:r>
      <w:r w:rsidRPr="00F537F0">
        <w:rPr>
          <w:rFonts w:ascii="Times New Roman" w:hAnsi="Times New Roman" w:cs="Times New Roman"/>
          <w:sz w:val="24"/>
          <w:szCs w:val="24"/>
          <w:vertAlign w:val="superscript"/>
        </w:rPr>
        <w:t>2,6</w:t>
      </w:r>
      <w:r w:rsidRPr="00F53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7F0">
        <w:rPr>
          <w:rFonts w:ascii="Times New Roman" w:hAnsi="Times New Roman" w:cs="Times New Roman"/>
          <w:sz w:val="24"/>
          <w:szCs w:val="24"/>
        </w:rPr>
        <w:t>Toyohiro</w:t>
      </w:r>
      <w:proofErr w:type="spellEnd"/>
      <w:r w:rsidRPr="00F537F0">
        <w:rPr>
          <w:rFonts w:ascii="Times New Roman" w:hAnsi="Times New Roman" w:cs="Times New Roman"/>
          <w:sz w:val="24"/>
          <w:szCs w:val="24"/>
        </w:rPr>
        <w:t xml:space="preserve"> Hirai</w:t>
      </w:r>
      <w:r w:rsidRPr="00F537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37F0">
        <w:rPr>
          <w:rFonts w:ascii="Times New Roman" w:hAnsi="Times New Roman" w:cs="Times New Roman"/>
          <w:sz w:val="24"/>
          <w:szCs w:val="24"/>
        </w:rPr>
        <w:t>, Emiko Ogawa</w:t>
      </w:r>
      <w:r w:rsidRPr="00F537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37F0">
        <w:rPr>
          <w:rFonts w:ascii="Times New Roman" w:hAnsi="Times New Roman" w:cs="Times New Roman"/>
          <w:sz w:val="24"/>
          <w:szCs w:val="24"/>
        </w:rPr>
        <w:t>, Yasutaka Nakano</w:t>
      </w:r>
      <w:r w:rsidRPr="00F537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37F0">
        <w:rPr>
          <w:rFonts w:ascii="Times New Roman" w:hAnsi="Times New Roman" w:cs="Times New Roman"/>
          <w:sz w:val="24"/>
          <w:szCs w:val="24"/>
        </w:rPr>
        <w:t>, Satoshi Konno</w:t>
      </w:r>
      <w:r w:rsidRPr="00F537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37F0">
        <w:rPr>
          <w:rFonts w:ascii="Times New Roman" w:hAnsi="Times New Roman" w:cs="Times New Roman"/>
          <w:sz w:val="24"/>
          <w:szCs w:val="24"/>
        </w:rPr>
        <w:t>, Masaharu Nishimura</w:t>
      </w:r>
      <w:r w:rsidRPr="00F537F0">
        <w:rPr>
          <w:rFonts w:ascii="Times New Roman" w:hAnsi="Times New Roman" w:cs="Times New Roman"/>
          <w:sz w:val="24"/>
          <w:szCs w:val="24"/>
          <w:vertAlign w:val="superscript"/>
        </w:rPr>
        <w:t>1.4</w:t>
      </w:r>
      <w:r w:rsidRPr="00F537F0">
        <w:rPr>
          <w:rFonts w:ascii="Times New Roman" w:hAnsi="Times New Roman" w:cs="Times New Roman"/>
          <w:sz w:val="24"/>
          <w:szCs w:val="24"/>
        </w:rPr>
        <w:t xml:space="preserve"> and the Hokkaido COPD Cohort Study investigators</w:t>
      </w:r>
    </w:p>
    <w:p w14:paraId="02B2E2A3" w14:textId="77777777" w:rsidR="00B73782" w:rsidRPr="00F537F0" w:rsidRDefault="00B73782" w:rsidP="00D516AC">
      <w:pPr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AD49D4" w14:textId="77777777" w:rsidR="00B73782" w:rsidRPr="00F537F0" w:rsidRDefault="00B73782" w:rsidP="00D516AC">
      <w:pPr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37F0">
        <w:rPr>
          <w:rFonts w:ascii="Times New Roman" w:hAnsi="Times New Roman" w:cs="Times New Roman"/>
          <w:sz w:val="24"/>
          <w:szCs w:val="24"/>
        </w:rPr>
        <w:t>*These two authors contributed equally to the entire study and writing of the manuscript.</w:t>
      </w:r>
    </w:p>
    <w:p w14:paraId="49F60FDA" w14:textId="77777777" w:rsidR="00B73782" w:rsidRPr="00F537F0" w:rsidRDefault="00B73782" w:rsidP="00D516AC">
      <w:pPr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CAF3C3" w14:textId="77777777" w:rsidR="00B73782" w:rsidRPr="00F537F0" w:rsidRDefault="00B73782" w:rsidP="00D516AC">
      <w:pPr>
        <w:pStyle w:val="a8"/>
        <w:numPr>
          <w:ilvl w:val="0"/>
          <w:numId w:val="4"/>
        </w:numPr>
        <w:autoSpaceDE w:val="0"/>
        <w:autoSpaceDN w:val="0"/>
        <w:snapToGrid w:val="0"/>
        <w:spacing w:line="480" w:lineRule="auto"/>
        <w:ind w:leftChars="0"/>
        <w:contextualSpacing/>
        <w:outlineLvl w:val="0"/>
        <w:rPr>
          <w:rFonts w:cs="Times New Roman"/>
          <w:bCs/>
          <w:kern w:val="0"/>
          <w:sz w:val="24"/>
          <w:szCs w:val="24"/>
        </w:rPr>
      </w:pPr>
      <w:r w:rsidRPr="00F537F0">
        <w:rPr>
          <w:rFonts w:cs="Times New Roman"/>
          <w:bCs/>
          <w:kern w:val="0"/>
          <w:sz w:val="24"/>
          <w:szCs w:val="24"/>
        </w:rPr>
        <w:t>Department of Respiratory Medicine, Faculty of Medicine and Graduate School of Medicine, Hokkaido University, Sapporo, Japan.</w:t>
      </w:r>
    </w:p>
    <w:p w14:paraId="27F66A51" w14:textId="77777777" w:rsidR="00B73782" w:rsidRPr="00F537F0" w:rsidRDefault="00B73782" w:rsidP="00D516AC">
      <w:pPr>
        <w:pStyle w:val="a8"/>
        <w:numPr>
          <w:ilvl w:val="0"/>
          <w:numId w:val="4"/>
        </w:numPr>
        <w:autoSpaceDE w:val="0"/>
        <w:autoSpaceDN w:val="0"/>
        <w:snapToGrid w:val="0"/>
        <w:spacing w:line="480" w:lineRule="auto"/>
        <w:ind w:leftChars="0"/>
        <w:contextualSpacing/>
        <w:outlineLvl w:val="0"/>
        <w:rPr>
          <w:rFonts w:cs="Times New Roman"/>
          <w:bCs/>
          <w:kern w:val="0"/>
          <w:sz w:val="24"/>
          <w:szCs w:val="24"/>
        </w:rPr>
      </w:pPr>
      <w:r w:rsidRPr="00F537F0">
        <w:rPr>
          <w:rFonts w:cs="Times New Roman"/>
          <w:bCs/>
          <w:kern w:val="0"/>
          <w:sz w:val="24"/>
          <w:szCs w:val="24"/>
        </w:rPr>
        <w:t>Department of Respiratory Medicine, Graduate School of Medicine, Kyoto University, Kyoto, Japan</w:t>
      </w:r>
    </w:p>
    <w:p w14:paraId="33595D40" w14:textId="77777777" w:rsidR="00B73782" w:rsidRPr="00F537F0" w:rsidRDefault="00B73782" w:rsidP="00D516AC">
      <w:pPr>
        <w:pStyle w:val="a8"/>
        <w:numPr>
          <w:ilvl w:val="0"/>
          <w:numId w:val="4"/>
        </w:numPr>
        <w:snapToGrid w:val="0"/>
        <w:spacing w:line="480" w:lineRule="auto"/>
        <w:ind w:leftChars="0"/>
        <w:contextualSpacing/>
        <w:rPr>
          <w:rFonts w:cs="Times New Roman"/>
          <w:bCs/>
          <w:kern w:val="0"/>
          <w:sz w:val="24"/>
          <w:szCs w:val="24"/>
        </w:rPr>
      </w:pPr>
      <w:r w:rsidRPr="00F537F0">
        <w:rPr>
          <w:rFonts w:cs="Times New Roman"/>
          <w:bCs/>
          <w:kern w:val="0"/>
          <w:sz w:val="24"/>
          <w:szCs w:val="24"/>
        </w:rPr>
        <w:t>Division of Respiratory Medicine, Department of Internal Medicine, Shiga University of Medical Science, Shiga, Japan.</w:t>
      </w:r>
    </w:p>
    <w:p w14:paraId="065B2018" w14:textId="77777777" w:rsidR="00B73782" w:rsidRPr="00F537F0" w:rsidRDefault="00B73782" w:rsidP="00D516AC">
      <w:pPr>
        <w:pStyle w:val="a8"/>
        <w:numPr>
          <w:ilvl w:val="0"/>
          <w:numId w:val="4"/>
        </w:numPr>
        <w:snapToGrid w:val="0"/>
        <w:spacing w:line="480" w:lineRule="auto"/>
        <w:ind w:leftChars="0"/>
        <w:contextualSpacing/>
        <w:rPr>
          <w:rFonts w:cs="Times New Roman"/>
          <w:bCs/>
          <w:kern w:val="0"/>
          <w:sz w:val="24"/>
          <w:szCs w:val="24"/>
        </w:rPr>
      </w:pPr>
      <w:r w:rsidRPr="00F537F0">
        <w:rPr>
          <w:rFonts w:cs="Times New Roman"/>
          <w:bCs/>
          <w:kern w:val="0"/>
          <w:sz w:val="24"/>
          <w:szCs w:val="24"/>
        </w:rPr>
        <w:t>Hokkaido Institute of Respiratory Diseases, Sapporo, Japan</w:t>
      </w:r>
    </w:p>
    <w:p w14:paraId="70EAE2E7" w14:textId="77777777" w:rsidR="00B73782" w:rsidRPr="00F537F0" w:rsidRDefault="00B73782" w:rsidP="00D516AC">
      <w:pPr>
        <w:pStyle w:val="a8"/>
        <w:numPr>
          <w:ilvl w:val="0"/>
          <w:numId w:val="4"/>
        </w:numPr>
        <w:snapToGrid w:val="0"/>
        <w:spacing w:line="480" w:lineRule="auto"/>
        <w:ind w:leftChars="0"/>
        <w:contextualSpacing/>
        <w:rPr>
          <w:rFonts w:cs="Times New Roman"/>
          <w:bCs/>
          <w:kern w:val="0"/>
          <w:sz w:val="24"/>
          <w:szCs w:val="24"/>
        </w:rPr>
      </w:pPr>
      <w:r w:rsidRPr="00F537F0">
        <w:rPr>
          <w:rFonts w:cs="Times New Roman"/>
          <w:color w:val="000000"/>
          <w:sz w:val="24"/>
          <w:szCs w:val="24"/>
        </w:rPr>
        <w:t>Department of Respiratory Medicine, Nara Medical University, Nara, Japan</w:t>
      </w:r>
    </w:p>
    <w:p w14:paraId="354E8E3B" w14:textId="001AB27A" w:rsidR="00414B20" w:rsidRPr="00F537F0" w:rsidRDefault="00B73782" w:rsidP="0087075D">
      <w:pPr>
        <w:pStyle w:val="a8"/>
        <w:numPr>
          <w:ilvl w:val="0"/>
          <w:numId w:val="4"/>
        </w:numPr>
        <w:snapToGrid w:val="0"/>
        <w:spacing w:line="480" w:lineRule="auto"/>
        <w:ind w:leftChars="0"/>
        <w:contextualSpacing/>
        <w:rPr>
          <w:rFonts w:cs="Times New Roman"/>
          <w:b/>
          <w:bCs/>
          <w:kern w:val="0"/>
          <w:sz w:val="24"/>
          <w:szCs w:val="24"/>
        </w:rPr>
      </w:pPr>
      <w:r w:rsidRPr="00F537F0">
        <w:rPr>
          <w:rFonts w:cs="Times New Roman"/>
          <w:bCs/>
          <w:kern w:val="0"/>
          <w:sz w:val="24"/>
          <w:szCs w:val="24"/>
        </w:rPr>
        <w:t>Noe Hospital, Osaka, Japa</w:t>
      </w:r>
      <w:r w:rsidR="0087075D" w:rsidRPr="00F537F0">
        <w:rPr>
          <w:rFonts w:cs="Times New Roman"/>
          <w:bCs/>
          <w:kern w:val="0"/>
          <w:sz w:val="24"/>
          <w:szCs w:val="24"/>
        </w:rPr>
        <w:t>n</w:t>
      </w:r>
      <w:r w:rsidR="00414B20" w:rsidRPr="00F537F0">
        <w:rPr>
          <w:rFonts w:cs="Times New Roman"/>
          <w:b/>
          <w:bCs/>
          <w:kern w:val="0"/>
          <w:sz w:val="24"/>
          <w:szCs w:val="24"/>
        </w:rPr>
        <w:br w:type="page"/>
      </w:r>
    </w:p>
    <w:p w14:paraId="132D64A9" w14:textId="2492C609" w:rsidR="005E7F49" w:rsidRPr="00F537F0" w:rsidRDefault="00D516AC" w:rsidP="00D516AC">
      <w:pPr>
        <w:snapToGrid w:val="0"/>
        <w:spacing w:line="480" w:lineRule="auto"/>
        <w:contextualSpacing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 xml:space="preserve">Supplementary </w:t>
      </w:r>
      <w:r w:rsidR="00A637FD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>Results</w:t>
      </w:r>
    </w:p>
    <w:p w14:paraId="4F7B6A01" w14:textId="2EA4D3F3" w:rsidR="005E7F49" w:rsidRPr="00F537F0" w:rsidRDefault="00D516AC" w:rsidP="00D516AC">
      <w:pPr>
        <w:snapToGrid w:val="0"/>
        <w:spacing w:line="480" w:lineRule="auto"/>
        <w:contextualSpacing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bookmarkStart w:id="0" w:name="_Hlk12095961"/>
      <w:r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>Detail of s</w:t>
      </w:r>
      <w:r w:rsidR="00E56485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>tudy population</w:t>
      </w:r>
      <w:r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in the </w:t>
      </w:r>
      <w:r w:rsidRPr="00F537F0">
        <w:rPr>
          <w:rFonts w:ascii="Times New Roman" w:hAnsi="Times New Roman" w:cs="Times New Roman"/>
          <w:b/>
          <w:bCs/>
          <w:kern w:val="0"/>
          <w:sz w:val="24"/>
          <w:szCs w:val="24"/>
          <w:lang w:val="en-GB"/>
        </w:rPr>
        <w:t>the Hokkaido COPD and the Kyoto University cohorts</w:t>
      </w:r>
    </w:p>
    <w:p w14:paraId="04C7F8C4" w14:textId="77777777" w:rsidR="00B7548C" w:rsidRPr="00F537F0" w:rsidRDefault="00B7548C" w:rsidP="00D516AC">
      <w:pPr>
        <w:snapToGrid w:val="0"/>
        <w:spacing w:line="480" w:lineRule="auto"/>
        <w:contextualSpacing/>
        <w:jc w:val="left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>CONSORT-style diagrams for the Hokkaido COPD and the Kyoto University cohorts are shown in Supplementary Figure E1 and E2, respectively.</w:t>
      </w:r>
    </w:p>
    <w:p w14:paraId="4C9E948F" w14:textId="266CBA49" w:rsidR="009B5105" w:rsidRPr="00F537F0" w:rsidRDefault="007726DC" w:rsidP="00D516AC">
      <w:pPr>
        <w:snapToGrid w:val="0"/>
        <w:spacing w:line="480" w:lineRule="auto"/>
        <w:contextualSpacing/>
        <w:jc w:val="left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As shown in </w:t>
      </w:r>
      <w:r w:rsidR="00A32DC7"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>Supplementary</w:t>
      </w:r>
      <w:r w:rsidR="006801FE"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</w:t>
      </w:r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Figure E1, 121 </w:t>
      </w:r>
      <w:r w:rsidR="00F47BD5"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>of the 279 patients in the original Hokkaido COPD Cohort study were recruited at Hokkaido University Hospital</w:t>
      </w:r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and underwent </w:t>
      </w:r>
      <w:r w:rsidR="007E13DB"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>CT scans</w:t>
      </w:r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at the baseline evaluation (visit 1)</w:t>
      </w:r>
      <w:r w:rsidR="007E13DB" w:rsidRPr="00F537F0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F537F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>However, CT data of 30 patients at visit 1 had not been preserved as DICOM files, and we could not perform the fractal analysis of emphysematous clusters for these patients</w:t>
      </w:r>
      <w:r w:rsidR="002D166C"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in this study</w:t>
      </w:r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. In </w:t>
      </w:r>
      <w:r w:rsidR="004E79A9"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>the initial evaluation of CT scans at visit 1 for the remaining 9</w:t>
      </w:r>
      <w:r w:rsidR="005C5DCB"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>1</w:t>
      </w:r>
      <w:r w:rsidR="004E79A9"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patients, </w:t>
      </w:r>
      <w:r w:rsidR="00F47BD5"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21 patients were excluded because their CT scans were not reconstructed with the standard reconstruction kernel (n=19) or abnormal chest shadows such as giant bullae or pleural thickening were found (n=2). </w:t>
      </w:r>
      <w:r w:rsidR="004E79A9"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In addition, </w:t>
      </w:r>
      <w:r w:rsidR="00F47BD5"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>further 26 patients who underwent CT scans at visit 3 were also included. Therefore, a total of 96 patients were included for the present analyses.</w:t>
      </w:r>
    </w:p>
    <w:p w14:paraId="0B602A5D" w14:textId="58631E34" w:rsidR="00D516AC" w:rsidRPr="00F537F0" w:rsidRDefault="00D516AC" w:rsidP="00D516AC">
      <w:pPr>
        <w:snapToGrid w:val="0"/>
        <w:spacing w:line="480" w:lineRule="auto"/>
        <w:contextualSpacing/>
        <w:jc w:val="left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As shown in </w:t>
      </w:r>
      <w:r w:rsidR="00A32DC7"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>Supplementary</w:t>
      </w:r>
      <w:r w:rsidR="00A32DC7" w:rsidRPr="00F537F0">
        <w:rPr>
          <w:rFonts w:ascii="Times New Roman" w:hAnsi="Times New Roman" w:cs="Times New Roman"/>
          <w:color w:val="FF0000"/>
          <w:kern w:val="0"/>
          <w:sz w:val="24"/>
          <w:szCs w:val="24"/>
          <w:lang w:val="en-GB"/>
        </w:rPr>
        <w:t xml:space="preserve"> </w:t>
      </w:r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>Figure E2, 154 male patients with COPD were screened</w:t>
      </w:r>
      <w:r w:rsidR="002D166C"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at Kyoto University Hospital</w:t>
      </w:r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>. Among them, 24 patients were excluded because of interstitial pneumonia (n=4), bronchial asthma (n=2), bronchiectasis (n=11), abnormal shadows on chest CT scans (n=11), a history of malignancy within the past 5 years (n=5), and a history of lobectomy (n=1). Therefore, a total 130 male patients were included</w:t>
      </w:r>
      <w:r w:rsidR="002D166C"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in the Kyoto University cohort study</w:t>
      </w:r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>.</w:t>
      </w:r>
    </w:p>
    <w:bookmarkEnd w:id="0"/>
    <w:p w14:paraId="398E4A8E" w14:textId="200477B8" w:rsidR="00D516AC" w:rsidRPr="00F537F0" w:rsidRDefault="00D516AC" w:rsidP="00D516AC">
      <w:pPr>
        <w:snapToGrid w:val="0"/>
        <w:spacing w:line="480" w:lineRule="auto"/>
        <w:contextualSpacing/>
        <w:jc w:val="left"/>
        <w:rPr>
          <w:rFonts w:ascii="Times New Roman" w:hAnsi="Times New Roman" w:cs="Times New Roman"/>
          <w:kern w:val="0"/>
          <w:sz w:val="24"/>
          <w:szCs w:val="24"/>
          <w:lang w:val="en-GB"/>
        </w:rPr>
      </w:pPr>
    </w:p>
    <w:p w14:paraId="369882EA" w14:textId="5345D8B2" w:rsidR="00640F41" w:rsidRPr="00F537F0" w:rsidRDefault="00E955FB" w:rsidP="00D516AC">
      <w:pPr>
        <w:snapToGrid w:val="0"/>
        <w:spacing w:line="480" w:lineRule="auto"/>
        <w:contextualSpacing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There were no significant differences in the </w:t>
      </w:r>
      <w:proofErr w:type="spellStart"/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>anthropomorphometric</w:t>
      </w:r>
      <w:proofErr w:type="spellEnd"/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data and pulmonary function test results between the 96 patients included in the present study and the 279 </w:t>
      </w:r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lastRenderedPageBreak/>
        <w:t>patients considered eligible for the original cohort (</w:t>
      </w:r>
      <w:r w:rsidR="00A32DC7"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>Suppl</w:t>
      </w:r>
      <w:r w:rsidR="001B1702"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>e</w:t>
      </w:r>
      <w:r w:rsidR="00A32DC7"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mentary </w:t>
      </w:r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>Table E1).</w:t>
      </w:r>
    </w:p>
    <w:p w14:paraId="57908592" w14:textId="77777777" w:rsidR="009B5105" w:rsidRPr="00F537F0" w:rsidRDefault="009B5105" w:rsidP="00D516AC">
      <w:pPr>
        <w:tabs>
          <w:tab w:val="left" w:pos="3087"/>
        </w:tabs>
        <w:snapToGrid w:val="0"/>
        <w:spacing w:before="240" w:line="480" w:lineRule="auto"/>
        <w:contextualSpacing/>
        <w:rPr>
          <w:rFonts w:ascii="Times New Roman" w:eastAsia="ＭＳ 明朝" w:hAnsi="Times New Roman" w:cs="Times New Roman"/>
          <w:b/>
          <w:sz w:val="24"/>
          <w:szCs w:val="24"/>
          <w:lang w:val="en-GB"/>
        </w:rPr>
      </w:pPr>
    </w:p>
    <w:p w14:paraId="4D5EF968" w14:textId="6C98AA40" w:rsidR="00E56485" w:rsidRPr="00F537F0" w:rsidRDefault="00D516AC" w:rsidP="00D516AC">
      <w:pPr>
        <w:tabs>
          <w:tab w:val="left" w:pos="3087"/>
        </w:tabs>
        <w:snapToGrid w:val="0"/>
        <w:spacing w:before="240" w:line="480" w:lineRule="auto"/>
        <w:contextualSpacing/>
        <w:rPr>
          <w:rFonts w:ascii="Times New Roman" w:eastAsia="ＭＳ 明朝" w:hAnsi="Times New Roman" w:cs="Times New Roman"/>
          <w:b/>
          <w:sz w:val="24"/>
          <w:szCs w:val="24"/>
          <w:lang w:val="en-GB"/>
        </w:rPr>
      </w:pPr>
      <w:r w:rsidRPr="00F537F0">
        <w:rPr>
          <w:rFonts w:ascii="Times New Roman" w:eastAsia="ＭＳ 明朝" w:hAnsi="Times New Roman" w:cs="Times New Roman"/>
          <w:b/>
          <w:sz w:val="24"/>
          <w:szCs w:val="24"/>
          <w:lang w:val="en-GB"/>
        </w:rPr>
        <w:t>Additional analysis regarding a</w:t>
      </w:r>
      <w:r w:rsidR="00E56485" w:rsidRPr="00F537F0">
        <w:rPr>
          <w:rFonts w:ascii="Times New Roman" w:eastAsia="ＭＳ 明朝" w:hAnsi="Times New Roman" w:cs="Times New Roman"/>
          <w:b/>
          <w:sz w:val="24"/>
          <w:szCs w:val="24"/>
          <w:lang w:val="en-GB"/>
        </w:rPr>
        <w:t xml:space="preserve">ssociations of baseline %LAV and fractal </w:t>
      </w:r>
      <w:r w:rsidR="00E56485" w:rsidRPr="00F537F0">
        <w:rPr>
          <w:rFonts w:ascii="Times New Roman" w:eastAsia="ＭＳ 明朝" w:hAnsi="Times New Roman" w:cs="Times New Roman"/>
          <w:b/>
          <w:i/>
          <w:sz w:val="24"/>
          <w:szCs w:val="24"/>
          <w:lang w:val="en-GB"/>
        </w:rPr>
        <w:t>D</w:t>
      </w:r>
      <w:r w:rsidR="00E56485" w:rsidRPr="00F537F0">
        <w:rPr>
          <w:rFonts w:ascii="Times New Roman" w:eastAsia="ＭＳ 明朝" w:hAnsi="Times New Roman" w:cs="Times New Roman"/>
          <w:b/>
          <w:sz w:val="24"/>
          <w:szCs w:val="24"/>
          <w:lang w:val="en-GB"/>
        </w:rPr>
        <w:t xml:space="preserve"> with FEV</w:t>
      </w:r>
      <w:r w:rsidR="00E56485" w:rsidRPr="00F537F0">
        <w:rPr>
          <w:rFonts w:ascii="Times New Roman" w:eastAsia="ＭＳ 明朝" w:hAnsi="Times New Roman" w:cs="Times New Roman"/>
          <w:b/>
          <w:sz w:val="24"/>
          <w:szCs w:val="24"/>
          <w:vertAlign w:val="subscript"/>
          <w:lang w:val="en-GB"/>
        </w:rPr>
        <w:t>1</w:t>
      </w:r>
      <w:r w:rsidR="00E56485" w:rsidRPr="00F537F0">
        <w:rPr>
          <w:rFonts w:ascii="Times New Roman" w:eastAsia="ＭＳ 明朝" w:hAnsi="Times New Roman" w:cs="Times New Roman"/>
          <w:b/>
          <w:sz w:val="24"/>
          <w:szCs w:val="24"/>
          <w:lang w:val="en-GB"/>
        </w:rPr>
        <w:t xml:space="preserve"> decline, exacerbation, and survival</w:t>
      </w:r>
      <w:r w:rsidRPr="00F537F0">
        <w:rPr>
          <w:rFonts w:ascii="Times New Roman" w:eastAsia="ＭＳ 明朝" w:hAnsi="Times New Roman" w:cs="Times New Roman"/>
          <w:b/>
          <w:sz w:val="24"/>
          <w:szCs w:val="24"/>
          <w:lang w:val="en-GB"/>
        </w:rPr>
        <w:t xml:space="preserve"> in the </w:t>
      </w:r>
      <w:r w:rsidR="00E56485" w:rsidRPr="00F537F0">
        <w:rPr>
          <w:rFonts w:ascii="Times New Roman" w:eastAsia="ＭＳ 明朝" w:hAnsi="Times New Roman" w:cs="Times New Roman"/>
          <w:b/>
          <w:sz w:val="24"/>
          <w:szCs w:val="24"/>
          <w:lang w:val="en-GB"/>
        </w:rPr>
        <w:t>Hokkaido COPD cohort</w:t>
      </w:r>
    </w:p>
    <w:p w14:paraId="70AF950A" w14:textId="14630C97" w:rsidR="00867682" w:rsidRPr="00F537F0" w:rsidRDefault="001208D7" w:rsidP="00867682">
      <w:pPr>
        <w:adjustRightInd w:val="0"/>
        <w:snapToGrid w:val="0"/>
        <w:spacing w:before="240" w:after="24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537F0">
        <w:rPr>
          <w:rFonts w:ascii="Times New Roman" w:hAnsi="Times New Roman" w:cs="Times New Roman"/>
          <w:sz w:val="24"/>
          <w:szCs w:val="24"/>
          <w:lang w:val="en-GB"/>
        </w:rPr>
        <w:t>Time to first e</w:t>
      </w:r>
      <w:r w:rsidR="00FF2507" w:rsidRPr="00F537F0">
        <w:rPr>
          <w:rFonts w:ascii="Times New Roman" w:hAnsi="Times New Roman" w:cs="Times New Roman"/>
          <w:sz w:val="24"/>
          <w:szCs w:val="24"/>
          <w:lang w:val="en-GB"/>
        </w:rPr>
        <w:t>xacerbation w</w:t>
      </w:r>
      <w:r w:rsidR="00BA5A37" w:rsidRPr="00F537F0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FF2507" w:rsidRPr="00F537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537F0">
        <w:rPr>
          <w:rFonts w:ascii="Times New Roman" w:hAnsi="Times New Roman" w:cs="Times New Roman"/>
          <w:sz w:val="24"/>
          <w:szCs w:val="24"/>
          <w:lang w:val="en-GB"/>
        </w:rPr>
        <w:t>shorter</w:t>
      </w:r>
      <w:r w:rsidR="00FF2507" w:rsidRPr="00F537F0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spellEnd"/>
      <w:r w:rsidR="00FF2507" w:rsidRPr="00F537F0">
        <w:rPr>
          <w:rFonts w:ascii="Times New Roman" w:hAnsi="Times New Roman" w:cs="Times New Roman"/>
          <w:sz w:val="24"/>
          <w:szCs w:val="24"/>
          <w:lang w:val="en-GB"/>
        </w:rPr>
        <w:t xml:space="preserve"> the low </w:t>
      </w:r>
      <w:r w:rsidR="00FF2507" w:rsidRPr="00F537F0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="00FF2507" w:rsidRPr="00F537F0">
        <w:rPr>
          <w:rFonts w:ascii="Times New Roman" w:hAnsi="Times New Roman" w:cs="Times New Roman"/>
          <w:sz w:val="24"/>
          <w:szCs w:val="24"/>
          <w:lang w:val="en-GB"/>
        </w:rPr>
        <w:t xml:space="preserve"> group than in the high </w:t>
      </w:r>
      <w:r w:rsidR="00FF2507" w:rsidRPr="00F537F0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="00FF2507" w:rsidRPr="00F537F0">
        <w:rPr>
          <w:rFonts w:ascii="Times New Roman" w:hAnsi="Times New Roman" w:cs="Times New Roman"/>
          <w:sz w:val="24"/>
          <w:szCs w:val="24"/>
          <w:lang w:val="en-GB"/>
        </w:rPr>
        <w:t xml:space="preserve"> group (p&lt;0.01 using the antibiotic definition, p=0.01 using the prescription </w:t>
      </w:r>
      <w:r w:rsidR="00B7548C" w:rsidRPr="00F537F0">
        <w:rPr>
          <w:rFonts w:ascii="Times New Roman" w:hAnsi="Times New Roman" w:cs="Times New Roman"/>
          <w:sz w:val="24"/>
          <w:szCs w:val="24"/>
          <w:lang w:val="en-GB"/>
        </w:rPr>
        <w:t>definition) (</w:t>
      </w:r>
      <w:r w:rsidR="00FF2507" w:rsidRPr="00F537F0">
        <w:rPr>
          <w:rFonts w:ascii="Times New Roman" w:hAnsi="Times New Roman" w:cs="Times New Roman"/>
          <w:sz w:val="24"/>
          <w:szCs w:val="24"/>
          <w:lang w:val="en-GB"/>
        </w:rPr>
        <w:t xml:space="preserve">Figure 2A and </w:t>
      </w:r>
      <w:r w:rsidR="00A32DC7" w:rsidRPr="00F537F0">
        <w:rPr>
          <w:rFonts w:ascii="Times New Roman" w:hAnsi="Times New Roman" w:cs="Times New Roman"/>
          <w:sz w:val="24"/>
          <w:szCs w:val="24"/>
          <w:lang w:val="en-GB"/>
        </w:rPr>
        <w:t xml:space="preserve">Supplementary </w:t>
      </w:r>
      <w:r w:rsidR="00FF2507" w:rsidRPr="00F537F0">
        <w:rPr>
          <w:rFonts w:ascii="Times New Roman" w:hAnsi="Times New Roman" w:cs="Times New Roman"/>
          <w:sz w:val="24"/>
          <w:szCs w:val="24"/>
          <w:lang w:val="en-GB"/>
        </w:rPr>
        <w:t>Figure E</w:t>
      </w:r>
      <w:r w:rsidR="005D1155" w:rsidRPr="00F537F0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FF2507" w:rsidRPr="00F537F0">
        <w:rPr>
          <w:rFonts w:ascii="Times New Roman" w:hAnsi="Times New Roman" w:cs="Times New Roman"/>
          <w:sz w:val="24"/>
          <w:szCs w:val="24"/>
          <w:lang w:val="en-GB"/>
        </w:rPr>
        <w:t xml:space="preserve">). There was no significant difference in the </w:t>
      </w:r>
      <w:r w:rsidRPr="00F537F0">
        <w:rPr>
          <w:rFonts w:ascii="Times New Roman" w:hAnsi="Times New Roman" w:cs="Times New Roman"/>
          <w:sz w:val="24"/>
          <w:szCs w:val="24"/>
          <w:lang w:val="en-GB"/>
        </w:rPr>
        <w:t>time to first</w:t>
      </w:r>
      <w:r w:rsidR="00FF2507" w:rsidRPr="00F537F0">
        <w:rPr>
          <w:rFonts w:ascii="Times New Roman" w:hAnsi="Times New Roman" w:cs="Times New Roman"/>
          <w:sz w:val="24"/>
          <w:szCs w:val="24"/>
          <w:lang w:val="en-GB"/>
        </w:rPr>
        <w:t xml:space="preserve"> exacerbation between the high and low %LAV groups (p=0.60 using antibiotic definition, p=0.75 using the prescription definition; (Figure 2A and </w:t>
      </w:r>
      <w:r w:rsidR="00A32DC7" w:rsidRPr="00F537F0">
        <w:rPr>
          <w:rFonts w:ascii="Times New Roman" w:hAnsi="Times New Roman" w:cs="Times New Roman"/>
          <w:sz w:val="24"/>
          <w:szCs w:val="24"/>
          <w:lang w:val="en-GB"/>
        </w:rPr>
        <w:t>Supplementary</w:t>
      </w:r>
      <w:r w:rsidR="001B1702" w:rsidRPr="00F537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2507" w:rsidRPr="00F537F0">
        <w:rPr>
          <w:rFonts w:ascii="Times New Roman" w:hAnsi="Times New Roman" w:cs="Times New Roman"/>
          <w:sz w:val="24"/>
          <w:szCs w:val="24"/>
          <w:lang w:val="en-GB"/>
        </w:rPr>
        <w:t>Figure E</w:t>
      </w:r>
      <w:r w:rsidR="005D1155" w:rsidRPr="00F537F0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FF2507" w:rsidRPr="00F537F0">
        <w:rPr>
          <w:rFonts w:ascii="Times New Roman" w:hAnsi="Times New Roman" w:cs="Times New Roman"/>
          <w:sz w:val="24"/>
          <w:szCs w:val="24"/>
          <w:lang w:val="en-GB"/>
        </w:rPr>
        <w:t xml:space="preserve">). The prognosis was poorer in the high %LAV group than in the low %LAV group (p&lt;0.01) but did not differ between the low and high </w:t>
      </w:r>
      <w:r w:rsidR="00FF2507" w:rsidRPr="00F537F0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="00FF2507" w:rsidRPr="00F537F0">
        <w:rPr>
          <w:rFonts w:ascii="Times New Roman" w:hAnsi="Times New Roman" w:cs="Times New Roman"/>
          <w:sz w:val="24"/>
          <w:szCs w:val="24"/>
          <w:lang w:val="en-GB"/>
        </w:rPr>
        <w:t xml:space="preserve"> groups (p=0.30; Figure 2B). </w:t>
      </w:r>
      <w:bookmarkStart w:id="1" w:name="_Hlk10849896"/>
      <w:bookmarkStart w:id="2" w:name="_Hlk10845354"/>
      <w:r w:rsidR="00867682" w:rsidRPr="00F537F0">
        <w:rPr>
          <w:rFonts w:ascii="Times New Roman" w:hAnsi="Times New Roman" w:cs="Times New Roman"/>
          <w:sz w:val="24"/>
          <w:szCs w:val="24"/>
          <w:lang w:val="en-GB"/>
        </w:rPr>
        <w:t xml:space="preserve">The univariable Cox proportional hazards analyses showed that lower </w:t>
      </w:r>
      <w:r w:rsidR="00867682" w:rsidRPr="00F537F0">
        <w:rPr>
          <w:rFonts w:ascii="Times New Roman" w:hAnsi="Times New Roman" w:cs="Times New Roman"/>
          <w:i/>
          <w:iCs/>
          <w:sz w:val="24"/>
          <w:szCs w:val="24"/>
          <w:lang w:val="en-GB"/>
        </w:rPr>
        <w:t>D</w:t>
      </w:r>
      <w:r w:rsidR="00867682" w:rsidRPr="00F537F0">
        <w:rPr>
          <w:rFonts w:ascii="Times New Roman" w:hAnsi="Times New Roman" w:cs="Times New Roman"/>
          <w:sz w:val="24"/>
          <w:szCs w:val="24"/>
          <w:lang w:val="en-GB"/>
        </w:rPr>
        <w:t xml:space="preserve">, but not %LAV, was associated with shorter time to first exacerbation (hazard ratio [HR] 0.04 [95% CI 0.00–0.85], p=0.04, and HR 1.03 [95% CI 0.99–1.06], p=0.12), whereas higher %LAV, but not </w:t>
      </w:r>
      <w:r w:rsidR="00867682" w:rsidRPr="00F537F0">
        <w:rPr>
          <w:rFonts w:ascii="Times New Roman" w:hAnsi="Times New Roman" w:cs="Times New Roman"/>
          <w:i/>
          <w:iCs/>
          <w:sz w:val="24"/>
          <w:szCs w:val="24"/>
          <w:lang w:val="en-GB"/>
        </w:rPr>
        <w:t>D</w:t>
      </w:r>
      <w:r w:rsidR="00867682" w:rsidRPr="00F537F0">
        <w:rPr>
          <w:rFonts w:ascii="Times New Roman" w:hAnsi="Times New Roman" w:cs="Times New Roman"/>
          <w:sz w:val="24"/>
          <w:szCs w:val="24"/>
          <w:lang w:val="en-GB"/>
        </w:rPr>
        <w:t xml:space="preserve">, is associated with mortality (HR 0.14 [95% CI 1.02–1.07], p&lt;0.01, and HR 0.11 [95% CI 0.01–1.35], p=0.08, Supplementary Table E2). </w:t>
      </w:r>
      <w:bookmarkEnd w:id="1"/>
      <w:r w:rsidR="00867682" w:rsidRPr="00F537F0">
        <w:rPr>
          <w:rFonts w:ascii="Times New Roman" w:hAnsi="Times New Roman" w:cs="Times New Roman"/>
          <w:sz w:val="24"/>
          <w:szCs w:val="24"/>
          <w:lang w:val="en-GB"/>
        </w:rPr>
        <w:t xml:space="preserve">The results of the multivariable Cox proportional hazards analysis in the Hokkaido COPD cohort (Supplementary Table E2) did not show an association between lower </w:t>
      </w:r>
      <w:r w:rsidR="00867682" w:rsidRPr="00F537F0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="00867682" w:rsidRPr="00F537F0">
        <w:rPr>
          <w:rFonts w:ascii="Times New Roman" w:hAnsi="Times New Roman" w:cs="Times New Roman"/>
          <w:sz w:val="24"/>
          <w:szCs w:val="24"/>
          <w:lang w:val="en-GB"/>
        </w:rPr>
        <w:t xml:space="preserve"> or high %LAV and time to first exacerbation or mortality.</w:t>
      </w:r>
    </w:p>
    <w:bookmarkEnd w:id="2"/>
    <w:p w14:paraId="437D06AC" w14:textId="1C9CAA02" w:rsidR="002003FD" w:rsidRPr="00F537F0" w:rsidRDefault="002003FD" w:rsidP="00D516AC">
      <w:pPr>
        <w:snapToGrid w:val="0"/>
        <w:spacing w:line="480" w:lineRule="auto"/>
        <w:contextualSpacing/>
        <w:jc w:val="left"/>
        <w:rPr>
          <w:rFonts w:ascii="Times New Roman" w:hAnsi="Times New Roman" w:cs="Times New Roman"/>
          <w:bCs/>
          <w:kern w:val="0"/>
          <w:sz w:val="24"/>
          <w:szCs w:val="24"/>
          <w:lang w:val="en-GB"/>
        </w:rPr>
      </w:pPr>
    </w:p>
    <w:p w14:paraId="090D870C" w14:textId="12990F6A" w:rsidR="00D516AC" w:rsidRPr="00F537F0" w:rsidRDefault="00D516AC" w:rsidP="00D516AC">
      <w:pPr>
        <w:snapToGrid w:val="0"/>
        <w:spacing w:line="480" w:lineRule="auto"/>
        <w:contextualSpacing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>Supplementary Tables</w:t>
      </w:r>
    </w:p>
    <w:p w14:paraId="14F11A98" w14:textId="77777777" w:rsidR="00D516AC" w:rsidRPr="00F537F0" w:rsidRDefault="00D516AC" w:rsidP="00D516AC">
      <w:pPr>
        <w:snapToGrid w:val="0"/>
        <w:spacing w:line="480" w:lineRule="auto"/>
        <w:contextualSpacing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9098C2E" w14:textId="1DDA8F8A" w:rsidR="00265DBB" w:rsidRPr="00F537F0" w:rsidRDefault="00D73504" w:rsidP="00D516AC">
      <w:pPr>
        <w:snapToGrid w:val="0"/>
        <w:spacing w:line="480" w:lineRule="auto"/>
        <w:contextualSpacing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Supplementary </w:t>
      </w:r>
      <w:r w:rsidR="00265DBB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Table E1. The characteristics in 96 patients included for the </w:t>
      </w:r>
      <w:r w:rsidR="00265DBB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 xml:space="preserve">present study and the whole participants of 279 patients in the Hokkaido COPD cohort.  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3067"/>
        <w:gridCol w:w="1874"/>
        <w:gridCol w:w="2236"/>
        <w:gridCol w:w="1543"/>
      </w:tblGrid>
      <w:tr w:rsidR="00265DBB" w:rsidRPr="00F537F0" w14:paraId="23714A6B" w14:textId="77777777" w:rsidTr="004E79A9"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5383C5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F30C36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96 patients in the present study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B283FF8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279 patients in the original cohort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22AEA74" w14:textId="77777777" w:rsidR="00265DBB" w:rsidRPr="00F537F0" w:rsidRDefault="003A03B1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p</w:t>
            </w:r>
          </w:p>
        </w:tc>
      </w:tr>
      <w:tr w:rsidR="00265DBB" w:rsidRPr="00F537F0" w14:paraId="24A5CCAA" w14:textId="77777777" w:rsidTr="004E79A9">
        <w:tc>
          <w:tcPr>
            <w:tcW w:w="3067" w:type="dxa"/>
          </w:tcPr>
          <w:p w14:paraId="4C40C263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Sex, male/female</w:t>
            </w:r>
          </w:p>
        </w:tc>
        <w:tc>
          <w:tcPr>
            <w:tcW w:w="1874" w:type="dxa"/>
          </w:tcPr>
          <w:p w14:paraId="6B6E2FCC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sz w:val="24"/>
                <w:szCs w:val="24"/>
              </w:rPr>
              <w:t>89/7</w:t>
            </w:r>
          </w:p>
        </w:tc>
        <w:tc>
          <w:tcPr>
            <w:tcW w:w="2236" w:type="dxa"/>
          </w:tcPr>
          <w:p w14:paraId="7D2C8B29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262/17</w:t>
            </w:r>
          </w:p>
        </w:tc>
        <w:tc>
          <w:tcPr>
            <w:tcW w:w="1543" w:type="dxa"/>
          </w:tcPr>
          <w:p w14:paraId="30E38D05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0.68</w:t>
            </w:r>
          </w:p>
        </w:tc>
      </w:tr>
      <w:tr w:rsidR="00265DBB" w:rsidRPr="00F537F0" w14:paraId="47CE7205" w14:textId="77777777" w:rsidTr="004E79A9">
        <w:tc>
          <w:tcPr>
            <w:tcW w:w="3067" w:type="dxa"/>
          </w:tcPr>
          <w:p w14:paraId="07A9530E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1874" w:type="dxa"/>
          </w:tcPr>
          <w:p w14:paraId="05E3E388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sz w:val="24"/>
                <w:szCs w:val="24"/>
              </w:rPr>
              <w:t>69.8 ± 8.0</w:t>
            </w:r>
          </w:p>
        </w:tc>
        <w:tc>
          <w:tcPr>
            <w:tcW w:w="2236" w:type="dxa"/>
          </w:tcPr>
          <w:p w14:paraId="129C88AA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69.4 ± 7.9</w:t>
            </w:r>
          </w:p>
        </w:tc>
        <w:tc>
          <w:tcPr>
            <w:tcW w:w="1543" w:type="dxa"/>
          </w:tcPr>
          <w:p w14:paraId="1A339456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0.74</w:t>
            </w:r>
          </w:p>
        </w:tc>
      </w:tr>
      <w:tr w:rsidR="00265DBB" w:rsidRPr="00F537F0" w14:paraId="37505941" w14:textId="77777777" w:rsidTr="004E79A9">
        <w:tc>
          <w:tcPr>
            <w:tcW w:w="3067" w:type="dxa"/>
          </w:tcPr>
          <w:p w14:paraId="55F90E4B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H</w:t>
            </w:r>
            <w:r w:rsidR="00C828B1"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e</w:t>
            </w: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ight, m</w:t>
            </w:r>
          </w:p>
        </w:tc>
        <w:tc>
          <w:tcPr>
            <w:tcW w:w="1874" w:type="dxa"/>
          </w:tcPr>
          <w:p w14:paraId="4EA64357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1.63±0.07</w:t>
            </w:r>
          </w:p>
        </w:tc>
        <w:tc>
          <w:tcPr>
            <w:tcW w:w="2236" w:type="dxa"/>
          </w:tcPr>
          <w:p w14:paraId="5B723041" w14:textId="3FF64766" w:rsidR="00265DBB" w:rsidRPr="00F537F0" w:rsidRDefault="007F0C4F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1.63 </w:t>
            </w:r>
            <w:r w:rsidR="00265DBB"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±</w:t>
            </w: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6.7</w:t>
            </w:r>
          </w:p>
        </w:tc>
        <w:tc>
          <w:tcPr>
            <w:tcW w:w="1543" w:type="dxa"/>
          </w:tcPr>
          <w:p w14:paraId="46B20AAD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0.82</w:t>
            </w:r>
          </w:p>
        </w:tc>
      </w:tr>
      <w:tr w:rsidR="00265DBB" w:rsidRPr="00F537F0" w14:paraId="350A08F5" w14:textId="77777777" w:rsidTr="004E79A9">
        <w:tc>
          <w:tcPr>
            <w:tcW w:w="3067" w:type="dxa"/>
          </w:tcPr>
          <w:p w14:paraId="207CD441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Weight, kg</w:t>
            </w:r>
          </w:p>
        </w:tc>
        <w:tc>
          <w:tcPr>
            <w:tcW w:w="1874" w:type="dxa"/>
          </w:tcPr>
          <w:p w14:paraId="6FE77995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60.0±10.5</w:t>
            </w:r>
          </w:p>
        </w:tc>
        <w:tc>
          <w:tcPr>
            <w:tcW w:w="2236" w:type="dxa"/>
          </w:tcPr>
          <w:p w14:paraId="1E303D45" w14:textId="650E5E51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59.3±10.3</w:t>
            </w:r>
          </w:p>
        </w:tc>
        <w:tc>
          <w:tcPr>
            <w:tcW w:w="1543" w:type="dxa"/>
          </w:tcPr>
          <w:p w14:paraId="3BAB4886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0.54</w:t>
            </w:r>
          </w:p>
        </w:tc>
      </w:tr>
      <w:tr w:rsidR="00265DBB" w:rsidRPr="00F537F0" w14:paraId="43552C11" w14:textId="77777777" w:rsidTr="004E79A9">
        <w:tc>
          <w:tcPr>
            <w:tcW w:w="3067" w:type="dxa"/>
          </w:tcPr>
          <w:p w14:paraId="5D067565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Body mass index</w:t>
            </w:r>
          </w:p>
        </w:tc>
        <w:tc>
          <w:tcPr>
            <w:tcW w:w="1874" w:type="dxa"/>
          </w:tcPr>
          <w:p w14:paraId="5BD28E17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22.7 ± 3.1</w:t>
            </w:r>
          </w:p>
        </w:tc>
        <w:tc>
          <w:tcPr>
            <w:tcW w:w="2236" w:type="dxa"/>
          </w:tcPr>
          <w:p w14:paraId="37A1DF7F" w14:textId="73452DAD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22.3±3.2</w:t>
            </w:r>
          </w:p>
        </w:tc>
        <w:tc>
          <w:tcPr>
            <w:tcW w:w="1543" w:type="dxa"/>
          </w:tcPr>
          <w:p w14:paraId="5807EE7E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0.33</w:t>
            </w:r>
          </w:p>
        </w:tc>
      </w:tr>
      <w:tr w:rsidR="00265DBB" w:rsidRPr="00F537F0" w14:paraId="6BD0D847" w14:textId="77777777" w:rsidTr="004E79A9">
        <w:tc>
          <w:tcPr>
            <w:tcW w:w="3067" w:type="dxa"/>
          </w:tcPr>
          <w:p w14:paraId="35886F47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GOLD stage 1/2/3/4</w:t>
            </w:r>
          </w:p>
        </w:tc>
        <w:tc>
          <w:tcPr>
            <w:tcW w:w="1874" w:type="dxa"/>
          </w:tcPr>
          <w:p w14:paraId="4E21CE3C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29</w:t>
            </w:r>
            <w:r w:rsidR="00E41EA1"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/</w:t>
            </w: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45/19/3</w:t>
            </w:r>
          </w:p>
        </w:tc>
        <w:tc>
          <w:tcPr>
            <w:tcW w:w="2236" w:type="dxa"/>
          </w:tcPr>
          <w:p w14:paraId="01F1ACAA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72/126/68/13</w:t>
            </w:r>
          </w:p>
        </w:tc>
        <w:tc>
          <w:tcPr>
            <w:tcW w:w="1543" w:type="dxa"/>
          </w:tcPr>
          <w:p w14:paraId="2F79B992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0.65</w:t>
            </w:r>
          </w:p>
        </w:tc>
      </w:tr>
      <w:tr w:rsidR="00265DBB" w:rsidRPr="00F537F0" w14:paraId="2D8D9735" w14:textId="77777777" w:rsidTr="004E79A9">
        <w:tc>
          <w:tcPr>
            <w:tcW w:w="3067" w:type="dxa"/>
          </w:tcPr>
          <w:p w14:paraId="4605FC27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%FVC, %</w:t>
            </w:r>
          </w:p>
        </w:tc>
        <w:tc>
          <w:tcPr>
            <w:tcW w:w="1874" w:type="dxa"/>
            <w:vAlign w:val="center"/>
          </w:tcPr>
          <w:p w14:paraId="6EA72E6B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101.6± 14.6</w:t>
            </w:r>
          </w:p>
        </w:tc>
        <w:tc>
          <w:tcPr>
            <w:tcW w:w="2236" w:type="dxa"/>
          </w:tcPr>
          <w:p w14:paraId="1EACBF4D" w14:textId="259277FC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100.5 ± 18.9</w:t>
            </w:r>
          </w:p>
        </w:tc>
        <w:tc>
          <w:tcPr>
            <w:tcW w:w="1543" w:type="dxa"/>
          </w:tcPr>
          <w:p w14:paraId="6433AD56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0.60</w:t>
            </w:r>
          </w:p>
        </w:tc>
      </w:tr>
      <w:tr w:rsidR="00265DBB" w:rsidRPr="00F537F0" w14:paraId="18EE1DEB" w14:textId="77777777" w:rsidTr="004E79A9">
        <w:tc>
          <w:tcPr>
            <w:tcW w:w="3067" w:type="dxa"/>
          </w:tcPr>
          <w:p w14:paraId="2BEE935D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left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%FEV</w:t>
            </w: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  <w:vertAlign w:val="subscript"/>
              </w:rPr>
              <w:t>1</w:t>
            </w: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74" w:type="dxa"/>
          </w:tcPr>
          <w:p w14:paraId="7A9818B8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66.2 ± 19.4</w:t>
            </w:r>
          </w:p>
        </w:tc>
        <w:tc>
          <w:tcPr>
            <w:tcW w:w="2236" w:type="dxa"/>
          </w:tcPr>
          <w:p w14:paraId="37F9450D" w14:textId="694E2F2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64.5 ± 21.9</w:t>
            </w:r>
          </w:p>
        </w:tc>
        <w:tc>
          <w:tcPr>
            <w:tcW w:w="1543" w:type="dxa"/>
          </w:tcPr>
          <w:p w14:paraId="70DAE773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0.51</w:t>
            </w:r>
          </w:p>
        </w:tc>
      </w:tr>
      <w:tr w:rsidR="00265DBB" w:rsidRPr="00F537F0" w14:paraId="686EE6BB" w14:textId="77777777" w:rsidTr="004E79A9">
        <w:tc>
          <w:tcPr>
            <w:tcW w:w="3067" w:type="dxa"/>
            <w:hideMark/>
          </w:tcPr>
          <w:p w14:paraId="01FE6CA8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FEV</w:t>
            </w: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  <w:vertAlign w:val="subscript"/>
              </w:rPr>
              <w:t>1</w:t>
            </w: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/FVC, %</w:t>
            </w:r>
          </w:p>
        </w:tc>
        <w:tc>
          <w:tcPr>
            <w:tcW w:w="1874" w:type="dxa"/>
            <w:vAlign w:val="center"/>
            <w:hideMark/>
          </w:tcPr>
          <w:p w14:paraId="189B29EC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sz w:val="24"/>
                <w:szCs w:val="24"/>
              </w:rPr>
              <w:t>52.1 ± 12.6</w:t>
            </w:r>
          </w:p>
        </w:tc>
        <w:tc>
          <w:tcPr>
            <w:tcW w:w="2236" w:type="dxa"/>
          </w:tcPr>
          <w:p w14:paraId="13A401C1" w14:textId="7773E6DF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51.2 ± 12.7</w:t>
            </w:r>
          </w:p>
        </w:tc>
        <w:tc>
          <w:tcPr>
            <w:tcW w:w="1543" w:type="dxa"/>
          </w:tcPr>
          <w:p w14:paraId="15E40A61" w14:textId="77777777" w:rsidR="00265DBB" w:rsidRPr="00F537F0" w:rsidRDefault="00265DBB" w:rsidP="00D516AC">
            <w:pPr>
              <w:autoSpaceDE w:val="0"/>
              <w:autoSpaceDN w:val="0"/>
              <w:adjustRightInd w:val="0"/>
              <w:snapToGrid w:val="0"/>
              <w:spacing w:line="480" w:lineRule="auto"/>
              <w:contextualSpacing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F537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0.53</w:t>
            </w:r>
          </w:p>
        </w:tc>
      </w:tr>
    </w:tbl>
    <w:p w14:paraId="01967652" w14:textId="77777777" w:rsidR="00265DBB" w:rsidRPr="00F537F0" w:rsidRDefault="00265DBB" w:rsidP="00D516AC">
      <w:pPr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 w:rsidRPr="00F537F0">
        <w:rPr>
          <w:rFonts w:ascii="Times New Roman" w:hAnsi="Times New Roman" w:cs="Times New Roman"/>
          <w:sz w:val="24"/>
          <w:szCs w:val="24"/>
        </w:rPr>
        <w:t xml:space="preserve">Data are shown as the means </w:t>
      </w:r>
      <w:r w:rsidRPr="00F537F0">
        <w:rPr>
          <w:rFonts w:ascii="Times New Roman" w:eastAsia="ＭＳ Ｐゴシック" w:hAnsi="Times New Roman" w:cs="Times New Roman"/>
          <w:sz w:val="24"/>
          <w:szCs w:val="24"/>
        </w:rPr>
        <w:t>± standard deviations. FEV</w:t>
      </w:r>
      <w:r w:rsidRPr="00F537F0">
        <w:rPr>
          <w:rFonts w:ascii="Times New Roman" w:eastAsia="ＭＳ Ｐゴシック" w:hAnsi="Times New Roman" w:cs="Times New Roman"/>
          <w:sz w:val="24"/>
          <w:szCs w:val="24"/>
          <w:vertAlign w:val="subscript"/>
        </w:rPr>
        <w:t>1</w:t>
      </w:r>
      <w:r w:rsidRPr="00F537F0">
        <w:rPr>
          <w:rFonts w:ascii="Times New Roman" w:eastAsia="ＭＳ Ｐゴシック" w:hAnsi="Times New Roman" w:cs="Times New Roman"/>
          <w:sz w:val="24"/>
          <w:szCs w:val="24"/>
        </w:rPr>
        <w:t>/FVC is an absolute % value.</w:t>
      </w:r>
    </w:p>
    <w:p w14:paraId="0445C7DD" w14:textId="77777777" w:rsidR="00265DBB" w:rsidRPr="00F537F0" w:rsidRDefault="00265DBB" w:rsidP="00D516AC">
      <w:pPr>
        <w:snapToGrid w:val="0"/>
        <w:spacing w:line="480" w:lineRule="auto"/>
        <w:contextualSpacing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bCs/>
          <w:kern w:val="0"/>
          <w:sz w:val="24"/>
          <w:szCs w:val="24"/>
        </w:rPr>
        <w:t>Abbreviations: FVC, forced vital capacity, FEV</w:t>
      </w:r>
      <w:r w:rsidRPr="00F537F0">
        <w:rPr>
          <w:rFonts w:ascii="Times New Roman" w:hAnsi="Times New Roman" w:cs="Times New Roman"/>
          <w:bCs/>
          <w:kern w:val="0"/>
          <w:sz w:val="24"/>
          <w:szCs w:val="24"/>
          <w:vertAlign w:val="subscript"/>
        </w:rPr>
        <w:t>1</w:t>
      </w:r>
      <w:r w:rsidRPr="00F537F0">
        <w:rPr>
          <w:rFonts w:ascii="Times New Roman" w:hAnsi="Times New Roman" w:cs="Times New Roman"/>
          <w:bCs/>
          <w:kern w:val="0"/>
          <w:sz w:val="24"/>
          <w:szCs w:val="24"/>
        </w:rPr>
        <w:t>, forced expiratory volume in 1 s</w:t>
      </w:r>
    </w:p>
    <w:p w14:paraId="041112E0" w14:textId="77777777" w:rsidR="00265DBB" w:rsidRPr="00F537F0" w:rsidRDefault="00265DBB" w:rsidP="00D516AC">
      <w:pPr>
        <w:snapToGrid w:val="0"/>
        <w:spacing w:line="480" w:lineRule="auto"/>
        <w:contextualSpacing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41F8E8B5" w14:textId="221F83A1" w:rsidR="00D516AC" w:rsidRPr="00F537F0" w:rsidRDefault="00D516AC" w:rsidP="00D516AC">
      <w:pPr>
        <w:widowControl/>
        <w:snapToGrid w:val="0"/>
        <w:spacing w:line="480" w:lineRule="auto"/>
        <w:contextualSpacing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bCs/>
          <w:kern w:val="0"/>
          <w:sz w:val="24"/>
          <w:szCs w:val="24"/>
        </w:rPr>
        <w:br w:type="page"/>
      </w:r>
    </w:p>
    <w:p w14:paraId="050450F5" w14:textId="5DD1317C" w:rsidR="00265DBB" w:rsidRPr="00F537F0" w:rsidRDefault="00D73504" w:rsidP="00D516AC">
      <w:pPr>
        <w:snapToGrid w:val="0"/>
        <w:spacing w:line="480" w:lineRule="auto"/>
        <w:contextualSpacing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 xml:space="preserve">Supplementary </w:t>
      </w:r>
      <w:r w:rsidR="00265DBB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Table E2. </w:t>
      </w:r>
      <w:r w:rsidR="002B7902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>Univariable and m</w:t>
      </w:r>
      <w:r w:rsidR="00265DBB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>ultivaria</w:t>
      </w:r>
      <w:r w:rsidR="00E8626C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>ble</w:t>
      </w:r>
      <w:r w:rsidR="00265DBB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Cox proportional hazards analysis of exacerbation and all-cause mortality in the Hokkaido COPD cohort (n=96)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1044"/>
        <w:gridCol w:w="1212"/>
        <w:gridCol w:w="1008"/>
        <w:gridCol w:w="869"/>
        <w:gridCol w:w="1154"/>
        <w:gridCol w:w="1010"/>
      </w:tblGrid>
      <w:tr w:rsidR="00CC6B55" w:rsidRPr="00F537F0" w14:paraId="7CFE7A6F" w14:textId="77777777" w:rsidTr="00B7548C">
        <w:trPr>
          <w:trHeight w:val="170"/>
        </w:trPr>
        <w:tc>
          <w:tcPr>
            <w:tcW w:w="2207" w:type="dxa"/>
          </w:tcPr>
          <w:p w14:paraId="11A27B62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64" w:type="dxa"/>
            <w:gridSpan w:val="3"/>
          </w:tcPr>
          <w:p w14:paraId="216410CE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Exacerbation</w:t>
            </w:r>
          </w:p>
        </w:tc>
        <w:tc>
          <w:tcPr>
            <w:tcW w:w="3033" w:type="dxa"/>
            <w:gridSpan w:val="3"/>
          </w:tcPr>
          <w:p w14:paraId="16E57D24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Mortality</w:t>
            </w:r>
          </w:p>
        </w:tc>
      </w:tr>
      <w:tr w:rsidR="00CC6B55" w:rsidRPr="00F537F0" w14:paraId="7463883D" w14:textId="77777777" w:rsidTr="00B7548C">
        <w:trPr>
          <w:trHeight w:val="170"/>
        </w:trPr>
        <w:tc>
          <w:tcPr>
            <w:tcW w:w="2207" w:type="dxa"/>
            <w:tcBorders>
              <w:bottom w:val="single" w:sz="4" w:space="0" w:color="auto"/>
            </w:tcBorders>
          </w:tcPr>
          <w:p w14:paraId="49ABE28B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621ECFD4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HR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5317CFFB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95% CI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392B376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 value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DFBA98F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HR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7AA497CE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95% CI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1760B745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 value</w:t>
            </w:r>
          </w:p>
        </w:tc>
      </w:tr>
      <w:tr w:rsidR="00CC6B55" w:rsidRPr="00F537F0" w14:paraId="3EDEB9BE" w14:textId="77777777" w:rsidTr="00A637FD">
        <w:trPr>
          <w:trHeight w:val="170"/>
        </w:trPr>
        <w:tc>
          <w:tcPr>
            <w:tcW w:w="2207" w:type="dxa"/>
            <w:tcBorders>
              <w:top w:val="single" w:sz="4" w:space="0" w:color="auto"/>
              <w:bottom w:val="nil"/>
            </w:tcBorders>
          </w:tcPr>
          <w:p w14:paraId="296E7284" w14:textId="77777777" w:rsidR="00BC607C" w:rsidRPr="00F537F0" w:rsidRDefault="00BC60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Model 1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</w:tcPr>
          <w:p w14:paraId="0D2BEA3A" w14:textId="77777777" w:rsidR="00BC607C" w:rsidRPr="00F537F0" w:rsidRDefault="00BC60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68C5765B" w14:textId="77777777" w:rsidR="00BC607C" w:rsidRPr="00F537F0" w:rsidRDefault="00BC60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7A5A5F3D" w14:textId="77777777" w:rsidR="00BC607C" w:rsidRPr="00F537F0" w:rsidRDefault="00BC60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14:paraId="7804B3B9" w14:textId="77777777" w:rsidR="00BC607C" w:rsidRPr="00F537F0" w:rsidRDefault="00BC60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nil"/>
            </w:tcBorders>
          </w:tcPr>
          <w:p w14:paraId="676FB71E" w14:textId="77777777" w:rsidR="00BC607C" w:rsidRPr="00F537F0" w:rsidRDefault="00BC60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14:paraId="43D0DDEE" w14:textId="77777777" w:rsidR="00BC607C" w:rsidRPr="00F537F0" w:rsidRDefault="00BC60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CC6B55" w:rsidRPr="00F537F0" w14:paraId="54D6D6AE" w14:textId="77777777" w:rsidTr="00A637FD">
        <w:trPr>
          <w:trHeight w:val="170"/>
        </w:trPr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01889667" w14:textId="77777777" w:rsidR="005D2B7C" w:rsidRPr="00F537F0" w:rsidRDefault="005D2B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sz w:val="24"/>
                <w:szCs w:val="24"/>
              </w:rPr>
              <w:t>%LAV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14:paraId="6FFEA1DD" w14:textId="77777777" w:rsidR="005D2B7C" w:rsidRPr="00F537F0" w:rsidRDefault="005D2B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1694A130" w14:textId="77777777" w:rsidR="005D2B7C" w:rsidRPr="00F537F0" w:rsidRDefault="005D2B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sz w:val="24"/>
                <w:szCs w:val="24"/>
              </w:rPr>
              <w:t>0.99-1.06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5EF85DDE" w14:textId="77777777" w:rsidR="005D2B7C" w:rsidRPr="00F537F0" w:rsidRDefault="005D2B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</w:tcPr>
          <w:p w14:paraId="7935E6A9" w14:textId="77777777" w:rsidR="005D2B7C" w:rsidRPr="00F537F0" w:rsidRDefault="005D2B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</w:tcPr>
          <w:p w14:paraId="23DED982" w14:textId="77777777" w:rsidR="005D2B7C" w:rsidRPr="00F537F0" w:rsidRDefault="005D2B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sz w:val="24"/>
                <w:szCs w:val="24"/>
              </w:rPr>
              <w:t>1.02-1.07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</w:tcPr>
          <w:p w14:paraId="374B0A4C" w14:textId="77777777" w:rsidR="005D2B7C" w:rsidRPr="00F537F0" w:rsidRDefault="005D2B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CC6B55" w:rsidRPr="00F537F0" w14:paraId="15D4EDD0" w14:textId="77777777" w:rsidTr="00A637FD">
        <w:trPr>
          <w:trHeight w:val="170"/>
        </w:trPr>
        <w:tc>
          <w:tcPr>
            <w:tcW w:w="2207" w:type="dxa"/>
            <w:tcBorders>
              <w:top w:val="single" w:sz="4" w:space="0" w:color="auto"/>
              <w:bottom w:val="nil"/>
            </w:tcBorders>
          </w:tcPr>
          <w:p w14:paraId="50F6BF94" w14:textId="77777777" w:rsidR="00BC607C" w:rsidRPr="00F537F0" w:rsidRDefault="00BC60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Model 2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</w:tcPr>
          <w:p w14:paraId="25207FF6" w14:textId="77777777" w:rsidR="00BC607C" w:rsidRPr="00F537F0" w:rsidRDefault="00BC60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6AD9C91F" w14:textId="77777777" w:rsidR="00BC607C" w:rsidRPr="00F537F0" w:rsidRDefault="00BC60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4005926A" w14:textId="77777777" w:rsidR="00BC607C" w:rsidRPr="00F537F0" w:rsidRDefault="00BC60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14:paraId="30CEB291" w14:textId="77777777" w:rsidR="00BC607C" w:rsidRPr="00F537F0" w:rsidRDefault="00BC60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nil"/>
            </w:tcBorders>
          </w:tcPr>
          <w:p w14:paraId="04A53826" w14:textId="77777777" w:rsidR="00BC607C" w:rsidRPr="00F537F0" w:rsidRDefault="00BC60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14:paraId="5167CA9E" w14:textId="77777777" w:rsidR="00BC607C" w:rsidRPr="00F537F0" w:rsidRDefault="00BC60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CC6B55" w:rsidRPr="00F537F0" w14:paraId="1514AD75" w14:textId="77777777" w:rsidTr="00A637FD">
        <w:trPr>
          <w:trHeight w:val="170"/>
        </w:trPr>
        <w:tc>
          <w:tcPr>
            <w:tcW w:w="2207" w:type="dxa"/>
            <w:tcBorders>
              <w:top w:val="nil"/>
              <w:bottom w:val="nil"/>
            </w:tcBorders>
          </w:tcPr>
          <w:p w14:paraId="24B3F2F2" w14:textId="77777777" w:rsidR="005D2B7C" w:rsidRPr="00F537F0" w:rsidRDefault="005D2B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267BF21A" w14:textId="77777777" w:rsidR="005D2B7C" w:rsidRPr="00F537F0" w:rsidRDefault="005D2B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C038E28" w14:textId="77777777" w:rsidR="005D2B7C" w:rsidRPr="00F537F0" w:rsidRDefault="005D2B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sz w:val="24"/>
                <w:szCs w:val="24"/>
              </w:rPr>
              <w:t>0.00-0.85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2F719602" w14:textId="77777777" w:rsidR="005D2B7C" w:rsidRPr="00F537F0" w:rsidRDefault="005D2B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14:paraId="33949FC5" w14:textId="77777777" w:rsidR="005D2B7C" w:rsidRPr="00F537F0" w:rsidRDefault="005D2B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67C2289F" w14:textId="77777777" w:rsidR="005D2B7C" w:rsidRPr="00F537F0" w:rsidRDefault="005D2B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sz w:val="24"/>
                <w:szCs w:val="24"/>
              </w:rPr>
              <w:t>0.01-1.35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1E9D56B9" w14:textId="77777777" w:rsidR="005D2B7C" w:rsidRPr="00F537F0" w:rsidRDefault="005D2B7C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CC6B55" w:rsidRPr="00F537F0" w14:paraId="2D57BAD2" w14:textId="77777777" w:rsidTr="00B7548C">
        <w:trPr>
          <w:trHeight w:val="170"/>
        </w:trPr>
        <w:tc>
          <w:tcPr>
            <w:tcW w:w="2207" w:type="dxa"/>
            <w:tcBorders>
              <w:top w:val="single" w:sz="4" w:space="0" w:color="auto"/>
              <w:bottom w:val="nil"/>
            </w:tcBorders>
          </w:tcPr>
          <w:p w14:paraId="554F2876" w14:textId="652AD32D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Model </w:t>
            </w:r>
            <w:r w:rsidR="00BC607C"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</w:tcPr>
          <w:p w14:paraId="58D0113B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4131E085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317F3139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14:paraId="7790288D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nil"/>
            </w:tcBorders>
          </w:tcPr>
          <w:p w14:paraId="7070A90C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14:paraId="2D122D11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CC6B55" w:rsidRPr="00F537F0" w14:paraId="0B770144" w14:textId="77777777" w:rsidTr="00B7548C">
        <w:trPr>
          <w:trHeight w:val="170"/>
        </w:trPr>
        <w:tc>
          <w:tcPr>
            <w:tcW w:w="2207" w:type="dxa"/>
            <w:tcBorders>
              <w:top w:val="nil"/>
              <w:bottom w:val="nil"/>
            </w:tcBorders>
          </w:tcPr>
          <w:p w14:paraId="19A6D55F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%LAV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30545123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1.0</w:t>
            </w:r>
            <w:r w:rsidR="00DC180A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2DB98B53" w14:textId="77777777" w:rsidR="00265DBB" w:rsidRPr="00F537F0" w:rsidRDefault="000731B6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0.96</w:t>
            </w:r>
            <w:r w:rsidR="00265DBB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-1.05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4222C04D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</w:t>
            </w:r>
            <w:r w:rsidR="00DC180A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76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14:paraId="4A3818F2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1.03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6521E6FC" w14:textId="77777777" w:rsidR="00265DBB" w:rsidRPr="00F537F0" w:rsidRDefault="007969B6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1.00</w:t>
            </w:r>
            <w:r w:rsidR="00265DBB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-1.07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0A7410A" w14:textId="77777777" w:rsidR="00265DBB" w:rsidRPr="00F537F0" w:rsidRDefault="007969B6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0.08</w:t>
            </w:r>
          </w:p>
        </w:tc>
      </w:tr>
      <w:tr w:rsidR="00CC6B55" w:rsidRPr="00F537F0" w14:paraId="5E2B3BAF" w14:textId="77777777" w:rsidTr="00B7548C">
        <w:trPr>
          <w:trHeight w:val="170"/>
        </w:trPr>
        <w:tc>
          <w:tcPr>
            <w:tcW w:w="2207" w:type="dxa"/>
            <w:tcBorders>
              <w:top w:val="nil"/>
              <w:bottom w:val="nil"/>
            </w:tcBorders>
          </w:tcPr>
          <w:p w14:paraId="6F783F01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Age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7315F721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0.98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2CB6B13D" w14:textId="77777777" w:rsidR="00265DBB" w:rsidRPr="00F537F0" w:rsidRDefault="000731B6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0.93-1.04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77BA3B90" w14:textId="77777777" w:rsidR="00265DBB" w:rsidRPr="00F537F0" w:rsidRDefault="008F2523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0.5</w:t>
            </w:r>
            <w:r w:rsidR="00DC180A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14:paraId="3E8BEB50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1.15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18CF3A66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1.07-1.23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10028D4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&lt;0.01</w:t>
            </w:r>
          </w:p>
        </w:tc>
      </w:tr>
      <w:tr w:rsidR="00CC6B55" w:rsidRPr="00F537F0" w14:paraId="0BFB87F4" w14:textId="77777777" w:rsidTr="00B7548C">
        <w:trPr>
          <w:trHeight w:val="170"/>
        </w:trPr>
        <w:tc>
          <w:tcPr>
            <w:tcW w:w="2207" w:type="dxa"/>
            <w:tcBorders>
              <w:top w:val="nil"/>
              <w:bottom w:val="nil"/>
            </w:tcBorders>
          </w:tcPr>
          <w:p w14:paraId="3B9D8D47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Height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2641BB6E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1.0</w:t>
            </w:r>
            <w:r w:rsidR="00DC180A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42C02E3F" w14:textId="77777777" w:rsidR="00265DBB" w:rsidRPr="00F537F0" w:rsidRDefault="00DC180A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0.91</w:t>
            </w:r>
            <w:r w:rsidR="00265DBB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-1.1</w:t>
            </w: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61BB0512" w14:textId="77777777" w:rsidR="00265DBB" w:rsidRPr="00F537F0" w:rsidRDefault="008F2523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</w:t>
            </w:r>
            <w:r w:rsidR="00DC180A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14:paraId="5EBE69BD" w14:textId="77777777" w:rsidR="00265DBB" w:rsidRPr="00F537F0" w:rsidRDefault="007969B6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1.04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49EB6E92" w14:textId="77777777" w:rsidR="00265DBB" w:rsidRPr="00F537F0" w:rsidRDefault="007969B6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0.94-1.14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7FDBAFE" w14:textId="77777777" w:rsidR="00265DBB" w:rsidRPr="00F537F0" w:rsidRDefault="007969B6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0.46</w:t>
            </w:r>
          </w:p>
        </w:tc>
      </w:tr>
      <w:tr w:rsidR="00CC6B55" w:rsidRPr="00F537F0" w14:paraId="5A571EB8" w14:textId="77777777" w:rsidTr="00B7548C">
        <w:trPr>
          <w:trHeight w:val="170"/>
        </w:trPr>
        <w:tc>
          <w:tcPr>
            <w:tcW w:w="2207" w:type="dxa"/>
            <w:tcBorders>
              <w:top w:val="nil"/>
              <w:bottom w:val="nil"/>
            </w:tcBorders>
          </w:tcPr>
          <w:p w14:paraId="4B9B61C6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Weight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2302C35F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0.97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3C0DD034" w14:textId="77777777" w:rsidR="00265DBB" w:rsidRPr="00F537F0" w:rsidRDefault="000731B6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</w:t>
            </w:r>
            <w:r w:rsidR="00DC180A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91</w:t>
            </w:r>
            <w:r w:rsidR="00265DBB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-1.04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78F939AC" w14:textId="77777777" w:rsidR="00265DBB" w:rsidRPr="00F537F0" w:rsidRDefault="008F2523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0.4</w:t>
            </w:r>
            <w:r w:rsidR="00DC180A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14:paraId="0C267313" w14:textId="77777777" w:rsidR="00265DBB" w:rsidRPr="00F537F0" w:rsidRDefault="007969B6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0.97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3A194F7C" w14:textId="77777777" w:rsidR="00265DBB" w:rsidRPr="00F537F0" w:rsidRDefault="007969B6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0.91-1.03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780B08A2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0.35</w:t>
            </w:r>
          </w:p>
        </w:tc>
      </w:tr>
      <w:tr w:rsidR="00CC6B55" w:rsidRPr="00F537F0" w14:paraId="68652939" w14:textId="77777777" w:rsidTr="00B7548C">
        <w:trPr>
          <w:trHeight w:val="170"/>
        </w:trPr>
        <w:tc>
          <w:tcPr>
            <w:tcW w:w="2207" w:type="dxa"/>
            <w:tcBorders>
              <w:top w:val="nil"/>
              <w:bottom w:val="nil"/>
            </w:tcBorders>
          </w:tcPr>
          <w:p w14:paraId="5B425A06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FEV</w:t>
            </w: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14:paraId="1B848893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0.4</w:t>
            </w:r>
            <w:r w:rsidR="00DC180A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46783490" w14:textId="77777777" w:rsidR="00265DBB" w:rsidRPr="00F537F0" w:rsidRDefault="000731B6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0.16-1.</w:t>
            </w:r>
            <w:r w:rsidR="00DC180A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0C8544E5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0.1</w:t>
            </w:r>
            <w:r w:rsidR="00DC180A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14:paraId="6FB0AABA" w14:textId="77777777" w:rsidR="00265DBB" w:rsidRPr="00F537F0" w:rsidRDefault="007969B6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1.56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14:paraId="6792A1D8" w14:textId="77777777" w:rsidR="00265DBB" w:rsidRPr="00F537F0" w:rsidRDefault="007969B6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0.65-3.71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7F57DA78" w14:textId="77777777" w:rsidR="00265DBB" w:rsidRPr="00F537F0" w:rsidRDefault="007969B6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0.32</w:t>
            </w:r>
          </w:p>
        </w:tc>
      </w:tr>
      <w:tr w:rsidR="00CC6B55" w:rsidRPr="00F537F0" w14:paraId="5C3949E6" w14:textId="77777777" w:rsidTr="00B7548C">
        <w:trPr>
          <w:trHeight w:val="170"/>
        </w:trPr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0BEB64D3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Smoking status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14:paraId="6087A274" w14:textId="77777777" w:rsidR="00265DBB" w:rsidRPr="00F537F0" w:rsidRDefault="008F2523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0.5</w:t>
            </w:r>
            <w:r w:rsidR="00DC180A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4E7037FF" w14:textId="77777777" w:rsidR="00265DBB" w:rsidRPr="00F537F0" w:rsidRDefault="008F2523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0.1</w:t>
            </w:r>
            <w:r w:rsidR="00DC180A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-1.</w:t>
            </w:r>
            <w:r w:rsidR="00DC180A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53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42211524" w14:textId="77777777" w:rsidR="00265DBB" w:rsidRPr="00F537F0" w:rsidRDefault="008F2523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0.36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</w:tcPr>
          <w:p w14:paraId="0A34E850" w14:textId="77777777" w:rsidR="00265DBB" w:rsidRPr="00F537F0" w:rsidRDefault="007969B6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1.04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</w:tcPr>
          <w:p w14:paraId="2AC0FD8F" w14:textId="77777777" w:rsidR="00265DBB" w:rsidRPr="00F537F0" w:rsidRDefault="007969B6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0.39-2.44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</w:tcPr>
          <w:p w14:paraId="48CC2F24" w14:textId="77777777" w:rsidR="00265DBB" w:rsidRPr="00F537F0" w:rsidRDefault="007969B6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0.94</w:t>
            </w:r>
          </w:p>
        </w:tc>
      </w:tr>
      <w:tr w:rsidR="00CC6B55" w:rsidRPr="00F537F0" w14:paraId="7A5DCE9C" w14:textId="77777777" w:rsidTr="00B7548C">
        <w:trPr>
          <w:trHeight w:val="170"/>
        </w:trPr>
        <w:tc>
          <w:tcPr>
            <w:tcW w:w="2207" w:type="dxa"/>
            <w:tcBorders>
              <w:top w:val="single" w:sz="4" w:space="0" w:color="auto"/>
            </w:tcBorders>
          </w:tcPr>
          <w:p w14:paraId="1CD4E3E2" w14:textId="36F45E82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Model </w:t>
            </w:r>
            <w:r w:rsidR="00BC607C"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2E371B16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1316E77F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0BBB811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6C916892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2165A7BF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53E103DB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CC6B55" w:rsidRPr="00F537F0" w14:paraId="2365D4B9" w14:textId="77777777" w:rsidTr="00B7548C">
        <w:trPr>
          <w:trHeight w:val="170"/>
        </w:trPr>
        <w:tc>
          <w:tcPr>
            <w:tcW w:w="2207" w:type="dxa"/>
          </w:tcPr>
          <w:p w14:paraId="7BCC1FA5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D</w:t>
            </w:r>
          </w:p>
        </w:tc>
        <w:tc>
          <w:tcPr>
            <w:tcW w:w="1044" w:type="dxa"/>
          </w:tcPr>
          <w:p w14:paraId="60E6E936" w14:textId="77777777" w:rsidR="00265DBB" w:rsidRPr="00F537F0" w:rsidRDefault="003A1BD7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</w:t>
            </w:r>
            <w:r w:rsidR="0074385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  <w:r w:rsidR="00C96B1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158DA897" w14:textId="77777777" w:rsidR="00265DBB" w:rsidRPr="00F537F0" w:rsidRDefault="003A1BD7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</w:t>
            </w:r>
            <w:r w:rsidR="00C96B1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00</w:t>
            </w: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-</w:t>
            </w:r>
            <w:r w:rsidR="00C96B1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4.60</w:t>
            </w:r>
          </w:p>
        </w:tc>
        <w:tc>
          <w:tcPr>
            <w:tcW w:w="1008" w:type="dxa"/>
          </w:tcPr>
          <w:p w14:paraId="768978E0" w14:textId="77777777" w:rsidR="00265DBB" w:rsidRPr="00F537F0" w:rsidRDefault="003A1BD7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</w:t>
            </w:r>
            <w:r w:rsidR="00C96B1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869" w:type="dxa"/>
          </w:tcPr>
          <w:p w14:paraId="12EF2948" w14:textId="77777777" w:rsidR="00265DBB" w:rsidRPr="00F537F0" w:rsidRDefault="00E17958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0.29</w:t>
            </w:r>
          </w:p>
        </w:tc>
        <w:tc>
          <w:tcPr>
            <w:tcW w:w="1154" w:type="dxa"/>
          </w:tcPr>
          <w:p w14:paraId="7C0F6507" w14:textId="77777777" w:rsidR="00265DBB" w:rsidRPr="00F537F0" w:rsidRDefault="00E17958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0.02-5.18</w:t>
            </w:r>
          </w:p>
        </w:tc>
        <w:tc>
          <w:tcPr>
            <w:tcW w:w="1010" w:type="dxa"/>
          </w:tcPr>
          <w:p w14:paraId="75A3AE62" w14:textId="77777777" w:rsidR="00265DBB" w:rsidRPr="00F537F0" w:rsidRDefault="00E17958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0.40</w:t>
            </w:r>
          </w:p>
        </w:tc>
      </w:tr>
      <w:tr w:rsidR="00CC6B55" w:rsidRPr="00F537F0" w14:paraId="19F73501" w14:textId="77777777" w:rsidTr="00B7548C">
        <w:trPr>
          <w:trHeight w:val="170"/>
        </w:trPr>
        <w:tc>
          <w:tcPr>
            <w:tcW w:w="2207" w:type="dxa"/>
          </w:tcPr>
          <w:p w14:paraId="149E7F12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Age</w:t>
            </w:r>
          </w:p>
        </w:tc>
        <w:tc>
          <w:tcPr>
            <w:tcW w:w="1044" w:type="dxa"/>
          </w:tcPr>
          <w:p w14:paraId="1F7DA26B" w14:textId="77777777" w:rsidR="00265DBB" w:rsidRPr="00F537F0" w:rsidRDefault="00C96B1F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0.98</w:t>
            </w:r>
          </w:p>
        </w:tc>
        <w:tc>
          <w:tcPr>
            <w:tcW w:w="1212" w:type="dxa"/>
          </w:tcPr>
          <w:p w14:paraId="31CCA449" w14:textId="77777777" w:rsidR="00265DBB" w:rsidRPr="00F537F0" w:rsidRDefault="00C96B1F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0.92</w:t>
            </w:r>
            <w:r w:rsidR="003A1BD7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-1.0</w:t>
            </w: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14:paraId="12C74DF4" w14:textId="77777777" w:rsidR="00265DBB" w:rsidRPr="00F537F0" w:rsidRDefault="003A1BD7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</w:t>
            </w:r>
            <w:r w:rsidR="0074385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07</w:t>
            </w:r>
          </w:p>
        </w:tc>
        <w:tc>
          <w:tcPr>
            <w:tcW w:w="869" w:type="dxa"/>
          </w:tcPr>
          <w:p w14:paraId="03063D6C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1.15</w:t>
            </w:r>
          </w:p>
        </w:tc>
        <w:tc>
          <w:tcPr>
            <w:tcW w:w="1154" w:type="dxa"/>
          </w:tcPr>
          <w:p w14:paraId="216EF90E" w14:textId="77777777" w:rsidR="00265DBB" w:rsidRPr="00F537F0" w:rsidRDefault="00E17958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1.08-1.23</w:t>
            </w:r>
          </w:p>
        </w:tc>
        <w:tc>
          <w:tcPr>
            <w:tcW w:w="1010" w:type="dxa"/>
          </w:tcPr>
          <w:p w14:paraId="395556FF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&lt;0.01</w:t>
            </w:r>
          </w:p>
        </w:tc>
      </w:tr>
      <w:tr w:rsidR="00CC6B55" w:rsidRPr="00F537F0" w14:paraId="23455430" w14:textId="77777777" w:rsidTr="00B7548C">
        <w:trPr>
          <w:trHeight w:val="170"/>
        </w:trPr>
        <w:tc>
          <w:tcPr>
            <w:tcW w:w="2207" w:type="dxa"/>
          </w:tcPr>
          <w:p w14:paraId="3BB91BF7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Height</w:t>
            </w:r>
          </w:p>
        </w:tc>
        <w:tc>
          <w:tcPr>
            <w:tcW w:w="1044" w:type="dxa"/>
          </w:tcPr>
          <w:p w14:paraId="477299D6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1.0</w:t>
            </w:r>
            <w:r w:rsidR="00C96B1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12848F0C" w14:textId="77777777" w:rsidR="00265DBB" w:rsidRPr="00F537F0" w:rsidRDefault="0074385F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0.9</w:t>
            </w:r>
            <w:r w:rsidR="00C96B1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</w:t>
            </w:r>
            <w:r w:rsidR="00265DBB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-1.</w:t>
            </w: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  <w:r w:rsidR="00C96B1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14:paraId="02706CD8" w14:textId="77777777" w:rsidR="00265DBB" w:rsidRPr="00F537F0" w:rsidRDefault="003A1BD7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</w:t>
            </w:r>
            <w:r w:rsidR="0074385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66</w:t>
            </w:r>
          </w:p>
        </w:tc>
        <w:tc>
          <w:tcPr>
            <w:tcW w:w="869" w:type="dxa"/>
          </w:tcPr>
          <w:p w14:paraId="2E0C57C3" w14:textId="77777777" w:rsidR="00265DBB" w:rsidRPr="00F537F0" w:rsidRDefault="00E17958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1.08</w:t>
            </w:r>
          </w:p>
        </w:tc>
        <w:tc>
          <w:tcPr>
            <w:tcW w:w="1154" w:type="dxa"/>
          </w:tcPr>
          <w:p w14:paraId="2A8F9DA6" w14:textId="77777777" w:rsidR="00265DBB" w:rsidRPr="00F537F0" w:rsidRDefault="00E17958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1.00-1.17</w:t>
            </w:r>
          </w:p>
        </w:tc>
        <w:tc>
          <w:tcPr>
            <w:tcW w:w="1010" w:type="dxa"/>
          </w:tcPr>
          <w:p w14:paraId="629FB08F" w14:textId="77777777" w:rsidR="00265DBB" w:rsidRPr="00F537F0" w:rsidRDefault="00E17958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0.06</w:t>
            </w:r>
          </w:p>
        </w:tc>
      </w:tr>
      <w:tr w:rsidR="00CC6B55" w:rsidRPr="00F537F0" w14:paraId="7A54A77C" w14:textId="77777777" w:rsidTr="00B7548C">
        <w:trPr>
          <w:trHeight w:val="170"/>
        </w:trPr>
        <w:tc>
          <w:tcPr>
            <w:tcW w:w="2207" w:type="dxa"/>
          </w:tcPr>
          <w:p w14:paraId="35BB810B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Weight</w:t>
            </w:r>
          </w:p>
        </w:tc>
        <w:tc>
          <w:tcPr>
            <w:tcW w:w="1044" w:type="dxa"/>
          </w:tcPr>
          <w:p w14:paraId="75524109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0.9</w:t>
            </w:r>
            <w:r w:rsidR="0074385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14:paraId="6F95DF64" w14:textId="77777777" w:rsidR="00265DBB" w:rsidRPr="00F537F0" w:rsidRDefault="0074385F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0.9</w:t>
            </w:r>
            <w:r w:rsidR="00C96B1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</w:t>
            </w:r>
            <w:r w:rsidR="003A1BD7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-1.0</w:t>
            </w:r>
            <w:r w:rsidR="00C96B1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14:paraId="63A7F989" w14:textId="77777777" w:rsidR="00265DBB" w:rsidRPr="00F537F0" w:rsidRDefault="003A1BD7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</w:t>
            </w:r>
            <w:r w:rsidR="0074385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869" w:type="dxa"/>
          </w:tcPr>
          <w:p w14:paraId="3E1CE080" w14:textId="77777777" w:rsidR="00265DBB" w:rsidRPr="00F537F0" w:rsidRDefault="00E17958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0.95</w:t>
            </w:r>
          </w:p>
        </w:tc>
        <w:tc>
          <w:tcPr>
            <w:tcW w:w="1154" w:type="dxa"/>
          </w:tcPr>
          <w:p w14:paraId="74DD5F45" w14:textId="77777777" w:rsidR="00265DBB" w:rsidRPr="00F537F0" w:rsidRDefault="00E17958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0.90-1.00</w:t>
            </w:r>
          </w:p>
        </w:tc>
        <w:tc>
          <w:tcPr>
            <w:tcW w:w="1010" w:type="dxa"/>
          </w:tcPr>
          <w:p w14:paraId="6B9CD2EC" w14:textId="77777777" w:rsidR="00265DBB" w:rsidRPr="00F537F0" w:rsidRDefault="00E17958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0.03</w:t>
            </w:r>
          </w:p>
        </w:tc>
      </w:tr>
      <w:tr w:rsidR="00CC6B55" w:rsidRPr="00F537F0" w14:paraId="7161ECA6" w14:textId="77777777" w:rsidTr="00B7548C">
        <w:trPr>
          <w:trHeight w:val="170"/>
        </w:trPr>
        <w:tc>
          <w:tcPr>
            <w:tcW w:w="2207" w:type="dxa"/>
          </w:tcPr>
          <w:p w14:paraId="1CAA34B6" w14:textId="77777777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FEV</w:t>
            </w: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44" w:type="dxa"/>
          </w:tcPr>
          <w:p w14:paraId="48B4FCEA" w14:textId="77777777" w:rsidR="00265DBB" w:rsidRPr="00F537F0" w:rsidRDefault="00C96B1F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0.52</w:t>
            </w:r>
          </w:p>
        </w:tc>
        <w:tc>
          <w:tcPr>
            <w:tcW w:w="1212" w:type="dxa"/>
          </w:tcPr>
          <w:p w14:paraId="62576BD5" w14:textId="77777777" w:rsidR="00265DBB" w:rsidRPr="00F537F0" w:rsidRDefault="003A1BD7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</w:t>
            </w:r>
            <w:r w:rsidR="00C96B1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19</w:t>
            </w: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-1.</w:t>
            </w:r>
            <w:r w:rsidR="00C96B1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1008" w:type="dxa"/>
          </w:tcPr>
          <w:p w14:paraId="4ED0A784" w14:textId="77777777" w:rsidR="00265DBB" w:rsidRPr="00F537F0" w:rsidRDefault="003A1BD7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</w:t>
            </w:r>
            <w:r w:rsidR="0074385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93</w:t>
            </w:r>
          </w:p>
        </w:tc>
        <w:tc>
          <w:tcPr>
            <w:tcW w:w="869" w:type="dxa"/>
          </w:tcPr>
          <w:p w14:paraId="35B74454" w14:textId="77777777" w:rsidR="00265DBB" w:rsidRPr="00F537F0" w:rsidRDefault="00E17958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1.27</w:t>
            </w:r>
          </w:p>
        </w:tc>
        <w:tc>
          <w:tcPr>
            <w:tcW w:w="1154" w:type="dxa"/>
          </w:tcPr>
          <w:p w14:paraId="52C50808" w14:textId="77777777" w:rsidR="00265DBB" w:rsidRPr="00F537F0" w:rsidRDefault="00E17958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0.55-2.94</w:t>
            </w:r>
          </w:p>
        </w:tc>
        <w:tc>
          <w:tcPr>
            <w:tcW w:w="1010" w:type="dxa"/>
          </w:tcPr>
          <w:p w14:paraId="6BD1F99D" w14:textId="77777777" w:rsidR="00265DBB" w:rsidRPr="00F537F0" w:rsidRDefault="00E17958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0.57</w:t>
            </w:r>
          </w:p>
        </w:tc>
      </w:tr>
      <w:tr w:rsidR="00CC6B55" w:rsidRPr="00F537F0" w14:paraId="05A12488" w14:textId="77777777" w:rsidTr="00B7548C">
        <w:trPr>
          <w:trHeight w:val="170"/>
        </w:trPr>
        <w:tc>
          <w:tcPr>
            <w:tcW w:w="2207" w:type="dxa"/>
          </w:tcPr>
          <w:p w14:paraId="54C09CCE" w14:textId="441C82EC" w:rsidR="00265DBB" w:rsidRPr="00F537F0" w:rsidRDefault="00265DBB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Smoking status </w:t>
            </w:r>
          </w:p>
        </w:tc>
        <w:tc>
          <w:tcPr>
            <w:tcW w:w="1044" w:type="dxa"/>
          </w:tcPr>
          <w:p w14:paraId="7C4C7874" w14:textId="77777777" w:rsidR="00265DBB" w:rsidRPr="00F537F0" w:rsidRDefault="003A1BD7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</w:t>
            </w:r>
            <w:r w:rsidR="00C96B1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53</w:t>
            </w:r>
          </w:p>
        </w:tc>
        <w:tc>
          <w:tcPr>
            <w:tcW w:w="1212" w:type="dxa"/>
          </w:tcPr>
          <w:p w14:paraId="1CB5F061" w14:textId="77777777" w:rsidR="00265DBB" w:rsidRPr="00F537F0" w:rsidRDefault="0074385F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</w:t>
            </w:r>
            <w:r w:rsidR="00C96B1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15</w:t>
            </w:r>
            <w:r w:rsidR="003A1BD7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-1.</w:t>
            </w:r>
            <w:r w:rsidR="00C96B1F"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1008" w:type="dxa"/>
          </w:tcPr>
          <w:p w14:paraId="0AD384FF" w14:textId="77777777" w:rsidR="00265DBB" w:rsidRPr="00F537F0" w:rsidRDefault="003A1BD7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0.37</w:t>
            </w:r>
          </w:p>
        </w:tc>
        <w:tc>
          <w:tcPr>
            <w:tcW w:w="869" w:type="dxa"/>
          </w:tcPr>
          <w:p w14:paraId="6FA1D040" w14:textId="77777777" w:rsidR="00265DBB" w:rsidRPr="00F537F0" w:rsidRDefault="00E17958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0.89</w:t>
            </w:r>
          </w:p>
        </w:tc>
        <w:tc>
          <w:tcPr>
            <w:tcW w:w="1154" w:type="dxa"/>
          </w:tcPr>
          <w:p w14:paraId="2DBF0822" w14:textId="77777777" w:rsidR="00265DBB" w:rsidRPr="00F537F0" w:rsidRDefault="00E17958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0.34-2.02</w:t>
            </w:r>
          </w:p>
        </w:tc>
        <w:tc>
          <w:tcPr>
            <w:tcW w:w="1010" w:type="dxa"/>
          </w:tcPr>
          <w:p w14:paraId="14A7D4F3" w14:textId="77777777" w:rsidR="00265DBB" w:rsidRPr="00F537F0" w:rsidRDefault="00E17958" w:rsidP="00D516AC">
            <w:pPr>
              <w:snapToGrid w:val="0"/>
              <w:spacing w:line="480" w:lineRule="auto"/>
              <w:contextualSpacing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F537F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0.78</w:t>
            </w:r>
          </w:p>
        </w:tc>
      </w:tr>
    </w:tbl>
    <w:p w14:paraId="12031601" w14:textId="72F9F32E" w:rsidR="00D516AC" w:rsidRPr="00F537F0" w:rsidRDefault="00B7548C" w:rsidP="00A637FD">
      <w:pPr>
        <w:snapToGrid w:val="0"/>
        <w:spacing w:line="48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bCs/>
          <w:kern w:val="0"/>
          <w:sz w:val="24"/>
          <w:szCs w:val="24"/>
        </w:rPr>
        <w:t>Abbreviations: FEV</w:t>
      </w:r>
      <w:r w:rsidRPr="00F537F0">
        <w:rPr>
          <w:rFonts w:ascii="Times New Roman" w:hAnsi="Times New Roman" w:cs="Times New Roman"/>
          <w:bCs/>
          <w:kern w:val="0"/>
          <w:sz w:val="24"/>
          <w:szCs w:val="24"/>
          <w:vertAlign w:val="subscript"/>
        </w:rPr>
        <w:t>1</w:t>
      </w:r>
      <w:r w:rsidRPr="00F537F0">
        <w:rPr>
          <w:rFonts w:ascii="Times New Roman" w:hAnsi="Times New Roman" w:cs="Times New Roman"/>
          <w:bCs/>
          <w:kern w:val="0"/>
          <w:sz w:val="24"/>
          <w:szCs w:val="24"/>
        </w:rPr>
        <w:t xml:space="preserve">, forced expiratory volume in 1 s, %LAV, percent low attenuation </w:t>
      </w:r>
      <w:r w:rsidRPr="00F537F0">
        <w:rPr>
          <w:rFonts w:ascii="Times New Roman" w:hAnsi="Times New Roman" w:cs="Times New Roman"/>
          <w:bCs/>
          <w:kern w:val="0"/>
          <w:sz w:val="24"/>
          <w:szCs w:val="24"/>
        </w:rPr>
        <w:lastRenderedPageBreak/>
        <w:t>volume</w:t>
      </w:r>
      <w:r w:rsidR="00D516AC" w:rsidRPr="00F537F0">
        <w:rPr>
          <w:rFonts w:ascii="Times New Roman" w:hAnsi="Times New Roman" w:cs="Times New Roman"/>
          <w:bCs/>
          <w:kern w:val="0"/>
          <w:sz w:val="24"/>
          <w:szCs w:val="24"/>
        </w:rPr>
        <w:br w:type="page"/>
      </w:r>
    </w:p>
    <w:p w14:paraId="1B6FD85E" w14:textId="5A1BD650" w:rsidR="005E7F49" w:rsidRPr="00F537F0" w:rsidRDefault="00265DBB" w:rsidP="00D516AC">
      <w:pPr>
        <w:snapToGrid w:val="0"/>
        <w:spacing w:line="480" w:lineRule="auto"/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FIGURE CAPTIONS</w:t>
      </w:r>
    </w:p>
    <w:p w14:paraId="3354A4EB" w14:textId="746F3DB3" w:rsidR="00265DBB" w:rsidRPr="00F537F0" w:rsidRDefault="00BA5A37" w:rsidP="00D516AC">
      <w:pPr>
        <w:snapToGrid w:val="0"/>
        <w:spacing w:line="480" w:lineRule="auto"/>
        <w:contextualSpacing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b/>
          <w:kern w:val="0"/>
          <w:sz w:val="24"/>
          <w:szCs w:val="24"/>
          <w:lang w:val="en-GB"/>
        </w:rPr>
        <w:t>Supplementary</w:t>
      </w:r>
      <w:r w:rsidRPr="00F537F0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en-GB"/>
        </w:rPr>
        <w:t xml:space="preserve"> </w:t>
      </w:r>
      <w:r w:rsidR="00265DBB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>Figure E1</w:t>
      </w:r>
      <w:r w:rsidR="00414B20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="00265DBB" w:rsidRPr="00F537F0">
        <w:rPr>
          <w:rFonts w:ascii="Times New Roman" w:hAnsi="Times New Roman" w:cs="Times New Roman"/>
          <w:b/>
          <w:kern w:val="0"/>
          <w:sz w:val="24"/>
          <w:szCs w:val="24"/>
        </w:rPr>
        <w:t>Selection of patients with COPD in the Hokkaido COPD cohort</w:t>
      </w:r>
    </w:p>
    <w:p w14:paraId="51479C38" w14:textId="300055EE" w:rsidR="00265DBB" w:rsidRPr="00F537F0" w:rsidRDefault="00265DBB" w:rsidP="00D516AC">
      <w:pPr>
        <w:snapToGrid w:val="0"/>
        <w:spacing w:line="48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bCs/>
          <w:kern w:val="0"/>
          <w:sz w:val="24"/>
          <w:szCs w:val="24"/>
        </w:rPr>
        <w:t xml:space="preserve">121 patients were recruited at Hokkaido University Hospital. Of 121 patients, 70 patients had CT data at Visit 1 </w:t>
      </w:r>
      <w:r w:rsidR="00E41EA1" w:rsidRPr="00F537F0">
        <w:rPr>
          <w:rFonts w:ascii="Times New Roman" w:hAnsi="Times New Roman" w:cs="Times New Roman"/>
          <w:bCs/>
          <w:kern w:val="0"/>
          <w:sz w:val="24"/>
          <w:szCs w:val="24"/>
        </w:rPr>
        <w:t xml:space="preserve">suitable </w:t>
      </w:r>
      <w:r w:rsidRPr="00F537F0">
        <w:rPr>
          <w:rFonts w:ascii="Times New Roman" w:hAnsi="Times New Roman" w:cs="Times New Roman"/>
          <w:bCs/>
          <w:kern w:val="0"/>
          <w:sz w:val="24"/>
          <w:szCs w:val="24"/>
        </w:rPr>
        <w:t xml:space="preserve">for VIDA </w:t>
      </w:r>
      <w:r w:rsidR="00E41EA1" w:rsidRPr="00F537F0">
        <w:rPr>
          <w:rFonts w:ascii="Times New Roman" w:hAnsi="Times New Roman" w:cs="Times New Roman"/>
          <w:bCs/>
          <w:kern w:val="0"/>
          <w:sz w:val="24"/>
          <w:szCs w:val="24"/>
        </w:rPr>
        <w:t>analysis</w:t>
      </w:r>
      <w:r w:rsidRPr="00F537F0">
        <w:rPr>
          <w:rFonts w:ascii="Times New Roman" w:hAnsi="Times New Roman" w:cs="Times New Roman"/>
          <w:bCs/>
          <w:kern w:val="0"/>
          <w:sz w:val="24"/>
          <w:szCs w:val="24"/>
        </w:rPr>
        <w:t xml:space="preserve"> and other 26 patients had suitable CT data on Visit 3. Finally, a total of 96 patients were included for the further analysis.</w:t>
      </w:r>
    </w:p>
    <w:p w14:paraId="4340E9CF" w14:textId="77777777" w:rsidR="0053093E" w:rsidRPr="00F537F0" w:rsidRDefault="0053093E" w:rsidP="00D516AC">
      <w:pPr>
        <w:snapToGrid w:val="0"/>
        <w:spacing w:line="48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0D620D54" w14:textId="33ADACBE" w:rsidR="004A53B9" w:rsidRPr="00F537F0" w:rsidRDefault="00BA5A37" w:rsidP="00D516AC">
      <w:pPr>
        <w:snapToGrid w:val="0"/>
        <w:spacing w:line="48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b/>
          <w:kern w:val="0"/>
          <w:sz w:val="24"/>
          <w:szCs w:val="24"/>
          <w:lang w:val="en-GB"/>
        </w:rPr>
        <w:t>Supplementary</w:t>
      </w:r>
      <w:r w:rsidRPr="00F537F0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en-GB"/>
        </w:rPr>
        <w:t xml:space="preserve"> </w:t>
      </w:r>
      <w:r w:rsidR="004A53B9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>Figure E2</w:t>
      </w:r>
      <w:r w:rsidR="00414B20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="00FD1806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Selection of patients with COPD in </w:t>
      </w:r>
      <w:r w:rsidR="00555C87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the </w:t>
      </w:r>
      <w:r w:rsidR="00FD1806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>Kyoto University cohort</w:t>
      </w:r>
    </w:p>
    <w:p w14:paraId="4AC83339" w14:textId="37D51147" w:rsidR="00724847" w:rsidRPr="00F537F0" w:rsidRDefault="00414B20" w:rsidP="00D516AC">
      <w:pPr>
        <w:snapToGrid w:val="0"/>
        <w:spacing w:line="480" w:lineRule="auto"/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One hundred fifty-four male patients with COPD were screened </w:t>
      </w:r>
      <w:r w:rsidR="002D166C"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>at</w:t>
      </w:r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</w:t>
      </w:r>
      <w:r w:rsidR="00A637FD"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>Kyoto</w:t>
      </w:r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University Hospital. Among them, 24 patients were excluded because of interstitial pneumonia (n=4), bronchial asthma (n=2), bronchiectasis (n=11), abnormal shadows on chest CT scans (n=11), a history of malignancy within the past 5 years (n=5), and a history of lobectomy (n=1). A total 130 male patients were included in the Kyoto</w:t>
      </w:r>
      <w:r w:rsidR="00055DAD" w:rsidRPr="00F537F0">
        <w:rPr>
          <w:rFonts w:ascii="Times New Roman" w:hAnsi="Times New Roman" w:cs="Times New Roman"/>
          <w:bCs/>
          <w:kern w:val="0"/>
          <w:sz w:val="24"/>
          <w:szCs w:val="24"/>
        </w:rPr>
        <w:t xml:space="preserve"> University cohort study. </w:t>
      </w:r>
    </w:p>
    <w:p w14:paraId="27465D75" w14:textId="77777777" w:rsidR="00414B20" w:rsidRPr="00F537F0" w:rsidRDefault="00414B20" w:rsidP="00D516AC">
      <w:pPr>
        <w:snapToGrid w:val="0"/>
        <w:spacing w:line="480" w:lineRule="auto"/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2735610" w14:textId="58951F59" w:rsidR="0053093E" w:rsidRPr="00F537F0" w:rsidRDefault="00BA5A37" w:rsidP="00D516AC">
      <w:pPr>
        <w:snapToGrid w:val="0"/>
        <w:spacing w:line="48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b/>
          <w:kern w:val="0"/>
          <w:sz w:val="24"/>
          <w:szCs w:val="24"/>
          <w:lang w:val="en-GB"/>
        </w:rPr>
        <w:t>Supplementary</w:t>
      </w:r>
      <w:r w:rsidRPr="00F537F0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en-GB"/>
        </w:rPr>
        <w:t xml:space="preserve"> </w:t>
      </w:r>
      <w:r w:rsidR="0053093E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Figure </w:t>
      </w:r>
      <w:r w:rsidR="00401083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>E</w:t>
      </w:r>
      <w:r w:rsidR="004A53B9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="0053093E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="00414B20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863602" w:rsidRPr="00F537F0">
        <w:rPr>
          <w:rFonts w:ascii="Times New Roman" w:hAnsi="Times New Roman" w:cs="Times New Roman"/>
          <w:b/>
          <w:kern w:val="0"/>
          <w:sz w:val="24"/>
          <w:szCs w:val="24"/>
        </w:rPr>
        <w:t xml:space="preserve">Correlation between fractal </w:t>
      </w:r>
      <w:r w:rsidR="00863602" w:rsidRPr="00F537F0">
        <w:rPr>
          <w:rFonts w:ascii="Times New Roman" w:hAnsi="Times New Roman" w:cs="Times New Roman"/>
          <w:b/>
          <w:i/>
          <w:kern w:val="0"/>
          <w:sz w:val="24"/>
          <w:szCs w:val="24"/>
        </w:rPr>
        <w:t>D</w:t>
      </w:r>
      <w:r w:rsidR="00863602" w:rsidRPr="00F537F0">
        <w:rPr>
          <w:rFonts w:ascii="Times New Roman" w:hAnsi="Times New Roman" w:cs="Times New Roman"/>
          <w:b/>
          <w:kern w:val="0"/>
          <w:sz w:val="24"/>
          <w:szCs w:val="24"/>
        </w:rPr>
        <w:t xml:space="preserve"> and </w:t>
      </w:r>
      <w:r w:rsidR="0088582B" w:rsidRPr="00F537F0">
        <w:rPr>
          <w:rFonts w:ascii="Times New Roman" w:hAnsi="Times New Roman" w:cs="Times New Roman"/>
          <w:b/>
          <w:kern w:val="0"/>
          <w:sz w:val="24"/>
          <w:szCs w:val="24"/>
        </w:rPr>
        <w:t xml:space="preserve">%LAV </w:t>
      </w:r>
      <w:r w:rsidR="00863602" w:rsidRPr="00F537F0">
        <w:rPr>
          <w:rFonts w:ascii="Times New Roman" w:hAnsi="Times New Roman" w:cs="Times New Roman"/>
          <w:b/>
          <w:kern w:val="0"/>
          <w:sz w:val="24"/>
          <w:szCs w:val="24"/>
        </w:rPr>
        <w:t>in the Hokkaido COPD cohort (N=96)</w:t>
      </w:r>
    </w:p>
    <w:p w14:paraId="0DB983A6" w14:textId="77777777" w:rsidR="00863602" w:rsidRPr="00F537F0" w:rsidRDefault="00863602" w:rsidP="00D516AC">
      <w:pPr>
        <w:snapToGrid w:val="0"/>
        <w:spacing w:line="48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bCs/>
          <w:kern w:val="0"/>
          <w:sz w:val="24"/>
          <w:szCs w:val="24"/>
        </w:rPr>
        <w:t xml:space="preserve">There was a significant negative correlation between fractal </w:t>
      </w:r>
      <w:r w:rsidRPr="00F537F0">
        <w:rPr>
          <w:rFonts w:ascii="Times New Roman" w:hAnsi="Times New Roman" w:cs="Times New Roman"/>
          <w:bCs/>
          <w:i/>
          <w:kern w:val="0"/>
          <w:sz w:val="24"/>
          <w:szCs w:val="24"/>
        </w:rPr>
        <w:t>D</w:t>
      </w:r>
      <w:r w:rsidRPr="00F537F0">
        <w:rPr>
          <w:rFonts w:ascii="Times New Roman" w:hAnsi="Times New Roman" w:cs="Times New Roman"/>
          <w:bCs/>
          <w:kern w:val="0"/>
          <w:sz w:val="24"/>
          <w:szCs w:val="24"/>
        </w:rPr>
        <w:t xml:space="preserve"> and percent lung attenuation volume.</w:t>
      </w:r>
    </w:p>
    <w:p w14:paraId="20FC36FF" w14:textId="77777777" w:rsidR="00863602" w:rsidRPr="00F537F0" w:rsidRDefault="00863602" w:rsidP="00D516AC">
      <w:pPr>
        <w:snapToGrid w:val="0"/>
        <w:spacing w:line="48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71753815" w14:textId="55A6FBA9" w:rsidR="0088582B" w:rsidRPr="00F537F0" w:rsidRDefault="00BA5A37" w:rsidP="00D516AC">
      <w:pPr>
        <w:snapToGrid w:val="0"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537F0">
        <w:rPr>
          <w:rFonts w:ascii="Times New Roman" w:hAnsi="Times New Roman" w:cs="Times New Roman"/>
          <w:kern w:val="0"/>
          <w:sz w:val="24"/>
          <w:szCs w:val="24"/>
          <w:lang w:val="en-GB"/>
        </w:rPr>
        <w:t>Supplementary</w:t>
      </w:r>
      <w:r w:rsidRPr="00F537F0">
        <w:rPr>
          <w:rFonts w:ascii="Times New Roman" w:hAnsi="Times New Roman" w:cs="Times New Roman"/>
          <w:color w:val="FF0000"/>
          <w:kern w:val="0"/>
          <w:sz w:val="24"/>
          <w:szCs w:val="24"/>
          <w:lang w:val="en-GB"/>
        </w:rPr>
        <w:t xml:space="preserve"> </w:t>
      </w:r>
      <w:r w:rsidR="00863602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Figure </w:t>
      </w:r>
      <w:r w:rsidR="00401083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>E</w:t>
      </w:r>
      <w:r w:rsidR="004A53B9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  <w:r w:rsidR="00863602" w:rsidRPr="00F537F0">
        <w:rPr>
          <w:rFonts w:ascii="Times New Roman" w:hAnsi="Times New Roman" w:cs="Times New Roman"/>
          <w:bCs/>
          <w:kern w:val="0"/>
          <w:sz w:val="24"/>
          <w:szCs w:val="24"/>
        </w:rPr>
        <w:t>.</w:t>
      </w:r>
      <w:r w:rsidR="00414B20" w:rsidRPr="00F537F0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CC6B55" w:rsidRPr="00F537F0">
        <w:rPr>
          <w:rFonts w:ascii="Times New Roman" w:hAnsi="Times New Roman" w:cs="Times New Roman"/>
          <w:bCs/>
          <w:kern w:val="0"/>
          <w:sz w:val="24"/>
          <w:szCs w:val="24"/>
        </w:rPr>
        <w:t xml:space="preserve">Time to first </w:t>
      </w:r>
      <w:r w:rsidR="00CC6B55" w:rsidRPr="00F537F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8582B" w:rsidRPr="00F537F0">
        <w:rPr>
          <w:rFonts w:ascii="Times New Roman" w:hAnsi="Times New Roman" w:cs="Times New Roman"/>
          <w:b/>
          <w:bCs/>
          <w:sz w:val="24"/>
          <w:szCs w:val="24"/>
        </w:rPr>
        <w:t xml:space="preserve">xacerbation in prescription definition categorized by baseline fractal </w:t>
      </w:r>
      <w:r w:rsidR="0088582B" w:rsidRPr="00F537F0">
        <w:rPr>
          <w:rFonts w:ascii="Times New Roman" w:hAnsi="Times New Roman" w:cs="Times New Roman"/>
          <w:b/>
          <w:bCs/>
          <w:i/>
          <w:sz w:val="24"/>
          <w:szCs w:val="24"/>
        </w:rPr>
        <w:t>D</w:t>
      </w:r>
      <w:r w:rsidR="0088582B" w:rsidRPr="00F537F0">
        <w:rPr>
          <w:rFonts w:ascii="Times New Roman" w:hAnsi="Times New Roman" w:cs="Times New Roman"/>
          <w:b/>
          <w:bCs/>
          <w:sz w:val="24"/>
          <w:szCs w:val="24"/>
        </w:rPr>
        <w:t xml:space="preserve"> or %LAV in the Hokkaido COPD cohort</w:t>
      </w:r>
    </w:p>
    <w:p w14:paraId="38D2D533" w14:textId="20E4D7C0" w:rsidR="0088582B" w:rsidRPr="00F537F0" w:rsidRDefault="0088582B" w:rsidP="00D516AC">
      <w:pPr>
        <w:autoSpaceDE w:val="0"/>
        <w:autoSpaceDN w:val="0"/>
        <w:adjustRightInd w:val="0"/>
        <w:snapToGrid w:val="0"/>
        <w:spacing w:line="48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F537F0">
        <w:rPr>
          <w:rFonts w:ascii="Times New Roman" w:eastAsia="ＭＳ Ｐゴシック" w:hAnsi="Times New Roman" w:cs="Times New Roman"/>
          <w:sz w:val="24"/>
          <w:szCs w:val="24"/>
        </w:rPr>
        <w:lastRenderedPageBreak/>
        <w:t xml:space="preserve">Patients were divided into those </w:t>
      </w:r>
      <w:r w:rsidRPr="00F537F0">
        <w:rPr>
          <w:rFonts w:ascii="Times New Roman" w:hAnsi="Times New Roman" w:cs="Times New Roman"/>
          <w:sz w:val="24"/>
          <w:szCs w:val="24"/>
        </w:rPr>
        <w:t xml:space="preserve">with mild and severe emphysematous changes based on either median of </w:t>
      </w:r>
      <w:r w:rsidRPr="00F537F0">
        <w:rPr>
          <w:rFonts w:ascii="Times New Roman" w:hAnsi="Times New Roman" w:cs="Times New Roman"/>
          <w:i/>
          <w:sz w:val="24"/>
          <w:szCs w:val="24"/>
        </w:rPr>
        <w:t>D</w:t>
      </w:r>
      <w:r w:rsidRPr="00F537F0">
        <w:rPr>
          <w:rFonts w:ascii="Times New Roman" w:hAnsi="Times New Roman" w:cs="Times New Roman"/>
          <w:sz w:val="24"/>
          <w:szCs w:val="24"/>
        </w:rPr>
        <w:t xml:space="preserve"> or median of %LAV. Patients with </w:t>
      </w:r>
      <w:r w:rsidRPr="00F537F0">
        <w:rPr>
          <w:rFonts w:ascii="Times New Roman" w:eastAsia="ＭＳ Ｐゴシック" w:hAnsi="Times New Roman" w:cs="Times New Roman"/>
          <w:i/>
          <w:sz w:val="24"/>
          <w:szCs w:val="24"/>
        </w:rPr>
        <w:t>D</w:t>
      </w:r>
      <w:r w:rsidR="007E1D6B" w:rsidRPr="00F537F0">
        <w:rPr>
          <w:rFonts w:ascii="Times New Roman" w:eastAsia="ＭＳ Ｐゴシック" w:hAnsi="Times New Roman" w:cs="Times New Roman"/>
          <w:i/>
          <w:sz w:val="24"/>
          <w:szCs w:val="24"/>
        </w:rPr>
        <w:t xml:space="preserve"> </w:t>
      </w:r>
      <w:r w:rsidRPr="00F537F0">
        <w:rPr>
          <w:rFonts w:ascii="Times New Roman" w:eastAsia="ＭＳ Ｐゴシック" w:hAnsi="Times New Roman" w:cs="Times New Roman"/>
          <w:sz w:val="24"/>
          <w:szCs w:val="24"/>
        </w:rPr>
        <w:t xml:space="preserve">&lt;median value of </w:t>
      </w:r>
      <w:r w:rsidR="006C1F7F" w:rsidRPr="00F537F0">
        <w:rPr>
          <w:rFonts w:ascii="Times New Roman" w:eastAsia="ＭＳ Ｐゴシック" w:hAnsi="Times New Roman" w:cs="Times New Roman"/>
          <w:sz w:val="24"/>
          <w:szCs w:val="24"/>
        </w:rPr>
        <w:t>1.47</w:t>
      </w:r>
      <w:r w:rsidRPr="00F537F0">
        <w:rPr>
          <w:rFonts w:ascii="Times New Roman" w:eastAsia="ＭＳ Ｐゴシック" w:hAnsi="Times New Roman" w:cs="Times New Roman"/>
          <w:sz w:val="24"/>
          <w:szCs w:val="24"/>
        </w:rPr>
        <w:t xml:space="preserve"> were categorized into </w:t>
      </w:r>
      <w:r w:rsidRPr="00F537F0">
        <w:rPr>
          <w:rFonts w:ascii="Times New Roman" w:eastAsia="ＭＳ Ｐゴシック" w:hAnsi="Times New Roman" w:cs="Times New Roman"/>
          <w:i/>
          <w:sz w:val="24"/>
          <w:szCs w:val="24"/>
        </w:rPr>
        <w:t>D</w:t>
      </w:r>
      <w:r w:rsidRPr="00F537F0">
        <w:rPr>
          <w:rFonts w:ascii="Times New Roman" w:eastAsia="ＭＳ Ｐゴシック" w:hAnsi="Times New Roman" w:cs="Times New Roman"/>
          <w:sz w:val="24"/>
          <w:szCs w:val="24"/>
        </w:rPr>
        <w:t xml:space="preserve"> low category (n=48) and patients with %LAV&lt;median value of </w:t>
      </w:r>
      <w:r w:rsidR="00201450" w:rsidRPr="00F537F0">
        <w:rPr>
          <w:rFonts w:ascii="Times New Roman" w:eastAsia="ＭＳ Ｐゴシック" w:hAnsi="Times New Roman" w:cs="Times New Roman"/>
          <w:sz w:val="24"/>
          <w:szCs w:val="24"/>
        </w:rPr>
        <w:t>18.95</w:t>
      </w:r>
      <w:r w:rsidRPr="00F537F0">
        <w:rPr>
          <w:rFonts w:ascii="Times New Roman" w:eastAsia="ＭＳ Ｐゴシック" w:hAnsi="Times New Roman" w:cs="Times New Roman"/>
          <w:sz w:val="24"/>
          <w:szCs w:val="24"/>
        </w:rPr>
        <w:t xml:space="preserve"> were categorized into %LAV low category (n=48).</w:t>
      </w:r>
      <w:r w:rsidR="00414B20" w:rsidRPr="00F537F0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BA5A37" w:rsidRPr="00F537F0">
        <w:rPr>
          <w:rFonts w:ascii="Times New Roman" w:eastAsia="ＭＳ Ｐゴシック" w:hAnsi="Times New Roman" w:cs="Times New Roman"/>
          <w:sz w:val="24"/>
          <w:szCs w:val="24"/>
        </w:rPr>
        <w:t xml:space="preserve">Time to first exacerbation </w:t>
      </w:r>
      <w:r w:rsidR="00BA5A37" w:rsidRPr="00F537F0">
        <w:rPr>
          <w:rFonts w:ascii="Times New Roman" w:hAnsi="Times New Roman" w:cs="Times New Roman"/>
          <w:sz w:val="24"/>
          <w:szCs w:val="24"/>
        </w:rPr>
        <w:t>requiring the change in their prescriptions</w:t>
      </w:r>
      <w:r w:rsidR="00BA5A37" w:rsidRPr="00F537F0">
        <w:rPr>
          <w:rFonts w:ascii="Times New Roman" w:eastAsia="ＭＳ Ｐゴシック" w:hAnsi="Times New Roman" w:cs="Times New Roman"/>
          <w:sz w:val="24"/>
          <w:szCs w:val="24"/>
        </w:rPr>
        <w:t xml:space="preserve"> was shorter </w:t>
      </w:r>
      <w:r w:rsidRPr="00F537F0">
        <w:rPr>
          <w:rFonts w:ascii="Times New Roman" w:hAnsi="Times New Roman" w:cs="Times New Roman"/>
          <w:sz w:val="24"/>
          <w:szCs w:val="24"/>
        </w:rPr>
        <w:t xml:space="preserve">in the low </w:t>
      </w:r>
      <w:r w:rsidRPr="00F537F0">
        <w:rPr>
          <w:rFonts w:ascii="Times New Roman" w:hAnsi="Times New Roman" w:cs="Times New Roman"/>
          <w:i/>
          <w:sz w:val="24"/>
          <w:szCs w:val="24"/>
        </w:rPr>
        <w:t>D</w:t>
      </w:r>
      <w:r w:rsidRPr="00F537F0">
        <w:rPr>
          <w:rFonts w:ascii="Times New Roman" w:hAnsi="Times New Roman" w:cs="Times New Roman"/>
          <w:sz w:val="24"/>
          <w:szCs w:val="24"/>
        </w:rPr>
        <w:t xml:space="preserve"> group than in the high </w:t>
      </w:r>
      <w:r w:rsidRPr="00F537F0">
        <w:rPr>
          <w:rFonts w:ascii="Times New Roman" w:hAnsi="Times New Roman" w:cs="Times New Roman"/>
          <w:i/>
          <w:sz w:val="24"/>
          <w:szCs w:val="24"/>
        </w:rPr>
        <w:t>D</w:t>
      </w:r>
      <w:r w:rsidRPr="00F537F0">
        <w:rPr>
          <w:rFonts w:ascii="Times New Roman" w:hAnsi="Times New Roman" w:cs="Times New Roman"/>
          <w:sz w:val="24"/>
          <w:szCs w:val="24"/>
        </w:rPr>
        <w:t xml:space="preserve"> g</w:t>
      </w:r>
      <w:r w:rsidR="00135D30" w:rsidRPr="00F537F0">
        <w:rPr>
          <w:rFonts w:ascii="Times New Roman" w:hAnsi="Times New Roman" w:cs="Times New Roman"/>
          <w:sz w:val="24"/>
          <w:szCs w:val="24"/>
        </w:rPr>
        <w:t>roup (p=</w:t>
      </w:r>
      <w:r w:rsidRPr="00F537F0">
        <w:rPr>
          <w:rFonts w:ascii="Times New Roman" w:hAnsi="Times New Roman" w:cs="Times New Roman"/>
          <w:sz w:val="24"/>
          <w:szCs w:val="24"/>
        </w:rPr>
        <w:t xml:space="preserve">0.01), while the </w:t>
      </w:r>
      <w:r w:rsidR="00BA5A37" w:rsidRPr="00F537F0">
        <w:rPr>
          <w:rFonts w:ascii="Times New Roman" w:hAnsi="Times New Roman" w:cs="Times New Roman"/>
          <w:sz w:val="24"/>
          <w:szCs w:val="24"/>
        </w:rPr>
        <w:t>time to first exacerbation</w:t>
      </w:r>
      <w:r w:rsidRPr="00F537F0">
        <w:rPr>
          <w:rFonts w:ascii="Times New Roman" w:hAnsi="Times New Roman" w:cs="Times New Roman"/>
          <w:sz w:val="24"/>
          <w:szCs w:val="24"/>
        </w:rPr>
        <w:t xml:space="preserve"> did not differ between the </w:t>
      </w:r>
      <w:r w:rsidR="00135D30" w:rsidRPr="00F537F0">
        <w:rPr>
          <w:rFonts w:ascii="Times New Roman" w:hAnsi="Times New Roman" w:cs="Times New Roman"/>
          <w:sz w:val="24"/>
          <w:szCs w:val="24"/>
        </w:rPr>
        <w:t>high and low %LAV groups (p=0.75</w:t>
      </w:r>
      <w:r w:rsidRPr="00F537F0">
        <w:rPr>
          <w:rFonts w:ascii="Times New Roman" w:hAnsi="Times New Roman" w:cs="Times New Roman"/>
          <w:sz w:val="24"/>
          <w:szCs w:val="24"/>
        </w:rPr>
        <w:t>)</w:t>
      </w:r>
      <w:r w:rsidR="00414B20" w:rsidRPr="00F537F0">
        <w:rPr>
          <w:rFonts w:ascii="Times New Roman" w:hAnsi="Times New Roman" w:cs="Times New Roman"/>
          <w:sz w:val="24"/>
          <w:szCs w:val="24"/>
        </w:rPr>
        <w:t>.</w:t>
      </w:r>
      <w:r w:rsidRPr="00F53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9E9C9" w14:textId="77777777" w:rsidR="00863602" w:rsidRPr="00F537F0" w:rsidRDefault="00863602" w:rsidP="00D516AC">
      <w:pPr>
        <w:snapToGrid w:val="0"/>
        <w:spacing w:line="48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1A1AD27C" w14:textId="67001551" w:rsidR="002A678B" w:rsidRPr="00F537F0" w:rsidRDefault="00151F00" w:rsidP="00D516AC">
      <w:pPr>
        <w:snapToGrid w:val="0"/>
        <w:spacing w:line="480" w:lineRule="auto"/>
        <w:contextualSpacing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b/>
          <w:kern w:val="0"/>
          <w:sz w:val="24"/>
          <w:szCs w:val="24"/>
          <w:lang w:val="en-GB"/>
        </w:rPr>
        <w:t>Supplementary</w:t>
      </w:r>
      <w:r w:rsidRPr="00F537F0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en-GB"/>
        </w:rPr>
        <w:t xml:space="preserve"> </w:t>
      </w:r>
      <w:r w:rsidR="004A53B9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>Figure E5</w:t>
      </w:r>
      <w:r w:rsidR="00414B20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="00A637FD" w:rsidRPr="00F537F0">
        <w:rPr>
          <w:rFonts w:ascii="Times New Roman" w:hAnsi="Times New Roman" w:cs="Times New Roman"/>
          <w:b/>
          <w:kern w:val="0"/>
          <w:sz w:val="24"/>
          <w:szCs w:val="24"/>
        </w:rPr>
        <w:t>H</w:t>
      </w:r>
      <w:r w:rsidR="002A678B" w:rsidRPr="00F537F0">
        <w:rPr>
          <w:rFonts w:ascii="Times New Roman" w:hAnsi="Times New Roman" w:cs="Times New Roman"/>
          <w:b/>
          <w:kern w:val="0"/>
          <w:sz w:val="24"/>
          <w:szCs w:val="24"/>
        </w:rPr>
        <w:t>istogram of %FEV</w:t>
      </w:r>
      <w:r w:rsidR="002A678B" w:rsidRPr="00F537F0">
        <w:rPr>
          <w:rFonts w:ascii="Times New Roman" w:hAnsi="Times New Roman" w:cs="Times New Roman"/>
          <w:b/>
          <w:kern w:val="0"/>
          <w:sz w:val="24"/>
          <w:szCs w:val="24"/>
          <w:vertAlign w:val="subscript"/>
        </w:rPr>
        <w:t>1</w:t>
      </w:r>
      <w:r w:rsidR="002A678B" w:rsidRPr="00F537F0">
        <w:rPr>
          <w:rFonts w:ascii="Times New Roman" w:hAnsi="Times New Roman" w:cs="Times New Roman"/>
          <w:b/>
          <w:kern w:val="0"/>
          <w:sz w:val="24"/>
          <w:szCs w:val="24"/>
        </w:rPr>
        <w:t xml:space="preserve"> in the Hokkaido COPD cohort and </w:t>
      </w:r>
      <w:r w:rsidR="00555C87" w:rsidRPr="00F537F0">
        <w:rPr>
          <w:rFonts w:ascii="Times New Roman" w:hAnsi="Times New Roman" w:cs="Times New Roman"/>
          <w:b/>
          <w:kern w:val="0"/>
          <w:sz w:val="24"/>
          <w:szCs w:val="24"/>
        </w:rPr>
        <w:t xml:space="preserve">the </w:t>
      </w:r>
      <w:r w:rsidR="002A678B" w:rsidRPr="00F537F0">
        <w:rPr>
          <w:rFonts w:ascii="Times New Roman" w:hAnsi="Times New Roman" w:cs="Times New Roman"/>
          <w:b/>
          <w:kern w:val="0"/>
          <w:sz w:val="24"/>
          <w:szCs w:val="24"/>
        </w:rPr>
        <w:t>Kyoto University cohort</w:t>
      </w:r>
    </w:p>
    <w:p w14:paraId="120994A0" w14:textId="539090DD" w:rsidR="004A53B9" w:rsidRPr="00F537F0" w:rsidRDefault="002A678B" w:rsidP="00D516AC">
      <w:pPr>
        <w:snapToGrid w:val="0"/>
        <w:spacing w:line="48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bCs/>
          <w:kern w:val="0"/>
          <w:sz w:val="24"/>
          <w:szCs w:val="24"/>
        </w:rPr>
        <w:t xml:space="preserve">The median </w:t>
      </w:r>
      <w:r w:rsidR="00A637FD" w:rsidRPr="00F537F0">
        <w:rPr>
          <w:rFonts w:ascii="Times New Roman" w:hAnsi="Times New Roman" w:cs="Times New Roman"/>
          <w:bCs/>
          <w:kern w:val="0"/>
          <w:sz w:val="24"/>
          <w:szCs w:val="24"/>
        </w:rPr>
        <w:t>percent forced expiratory in 1 second (</w:t>
      </w:r>
      <w:r w:rsidRPr="00F537F0">
        <w:rPr>
          <w:rFonts w:ascii="Times New Roman" w:hAnsi="Times New Roman" w:cs="Times New Roman"/>
          <w:bCs/>
          <w:kern w:val="0"/>
          <w:sz w:val="24"/>
          <w:szCs w:val="24"/>
        </w:rPr>
        <w:t>%FEV</w:t>
      </w:r>
      <w:r w:rsidRPr="00F537F0">
        <w:rPr>
          <w:rFonts w:ascii="Times New Roman" w:hAnsi="Times New Roman" w:cs="Times New Roman"/>
          <w:bCs/>
          <w:kern w:val="0"/>
          <w:sz w:val="24"/>
          <w:szCs w:val="24"/>
          <w:vertAlign w:val="subscript"/>
        </w:rPr>
        <w:t>1</w:t>
      </w:r>
      <w:r w:rsidR="00A637FD" w:rsidRPr="00F537F0">
        <w:rPr>
          <w:rFonts w:ascii="Times New Roman" w:hAnsi="Times New Roman" w:cs="Times New Roman"/>
          <w:bCs/>
          <w:kern w:val="0"/>
          <w:sz w:val="24"/>
          <w:szCs w:val="24"/>
        </w:rPr>
        <w:t>)</w:t>
      </w:r>
      <w:r w:rsidRPr="00F537F0">
        <w:rPr>
          <w:rFonts w:ascii="Times New Roman" w:hAnsi="Times New Roman" w:cs="Times New Roman"/>
          <w:bCs/>
          <w:kern w:val="0"/>
          <w:sz w:val="24"/>
          <w:szCs w:val="24"/>
        </w:rPr>
        <w:t xml:space="preserve"> in the Hokkaido COPD cohort is equivalent to the 68</w:t>
      </w:r>
      <w:r w:rsidRPr="00F537F0">
        <w:rPr>
          <w:rFonts w:ascii="Times New Roman" w:hAnsi="Times New Roman" w:cs="Times New Roman"/>
          <w:bCs/>
          <w:kern w:val="0"/>
          <w:sz w:val="24"/>
          <w:szCs w:val="24"/>
          <w:vertAlign w:val="superscript"/>
        </w:rPr>
        <w:t>th</w:t>
      </w:r>
      <w:r w:rsidRPr="00F537F0">
        <w:rPr>
          <w:rFonts w:ascii="Times New Roman" w:hAnsi="Times New Roman" w:cs="Times New Roman"/>
          <w:bCs/>
          <w:kern w:val="0"/>
          <w:sz w:val="24"/>
          <w:szCs w:val="24"/>
        </w:rPr>
        <w:t xml:space="preserve"> percentile of %FEV</w:t>
      </w:r>
      <w:r w:rsidRPr="00F537F0">
        <w:rPr>
          <w:rFonts w:ascii="Times New Roman" w:hAnsi="Times New Roman" w:cs="Times New Roman"/>
          <w:bCs/>
          <w:kern w:val="0"/>
          <w:sz w:val="24"/>
          <w:szCs w:val="24"/>
          <w:vertAlign w:val="subscript"/>
        </w:rPr>
        <w:t>1</w:t>
      </w:r>
      <w:r w:rsidRPr="00F537F0">
        <w:rPr>
          <w:rFonts w:ascii="Times New Roman" w:hAnsi="Times New Roman" w:cs="Times New Roman"/>
          <w:bCs/>
          <w:kern w:val="0"/>
          <w:sz w:val="24"/>
          <w:szCs w:val="24"/>
        </w:rPr>
        <w:t xml:space="preserve"> in the Kyoto University cohort. </w:t>
      </w:r>
    </w:p>
    <w:p w14:paraId="14976CBC" w14:textId="77777777" w:rsidR="002A678B" w:rsidRPr="00F537F0" w:rsidRDefault="002A678B" w:rsidP="00D516AC">
      <w:pPr>
        <w:snapToGrid w:val="0"/>
        <w:spacing w:line="48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5510E65E" w14:textId="52E5AB53" w:rsidR="00414B20" w:rsidRPr="00F537F0" w:rsidRDefault="00151F00" w:rsidP="00D516AC">
      <w:pPr>
        <w:snapToGrid w:val="0"/>
        <w:spacing w:line="480" w:lineRule="auto"/>
        <w:contextualSpacing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537F0">
        <w:rPr>
          <w:rFonts w:ascii="Times New Roman" w:hAnsi="Times New Roman" w:cs="Times New Roman"/>
          <w:b/>
          <w:kern w:val="0"/>
          <w:sz w:val="24"/>
          <w:szCs w:val="24"/>
          <w:lang w:val="en-GB"/>
        </w:rPr>
        <w:t>Supplementary</w:t>
      </w:r>
      <w:r w:rsidRPr="00F537F0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en-GB"/>
        </w:rPr>
        <w:t xml:space="preserve"> </w:t>
      </w:r>
      <w:r w:rsidR="00414B20" w:rsidRPr="00F537F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Figure E6. </w:t>
      </w:r>
      <w:r w:rsidR="00414B20" w:rsidRPr="00F537F0">
        <w:rPr>
          <w:rFonts w:ascii="Times New Roman" w:hAnsi="Times New Roman" w:cs="Times New Roman"/>
          <w:b/>
          <w:kern w:val="0"/>
          <w:sz w:val="24"/>
          <w:szCs w:val="24"/>
        </w:rPr>
        <w:t xml:space="preserve">Comparisons of </w:t>
      </w:r>
      <w:r w:rsidR="00CC6B55" w:rsidRPr="00F537F0">
        <w:rPr>
          <w:rFonts w:ascii="Times New Roman" w:hAnsi="Times New Roman" w:cs="Times New Roman"/>
          <w:b/>
          <w:kern w:val="0"/>
          <w:sz w:val="24"/>
          <w:szCs w:val="24"/>
        </w:rPr>
        <w:t xml:space="preserve">time to first </w:t>
      </w:r>
      <w:r w:rsidR="00414B20" w:rsidRPr="00F537F0">
        <w:rPr>
          <w:rFonts w:ascii="Times New Roman" w:hAnsi="Times New Roman" w:cs="Times New Roman"/>
          <w:b/>
          <w:kern w:val="0"/>
          <w:sz w:val="24"/>
          <w:szCs w:val="24"/>
        </w:rPr>
        <w:t>exacerbation and mortality between mild and severe emphysematous change on CT using the 68</w:t>
      </w:r>
      <w:r w:rsidR="00414B20" w:rsidRPr="00F537F0">
        <w:rPr>
          <w:rFonts w:ascii="Times New Roman" w:hAnsi="Times New Roman" w:cs="Times New Roman"/>
          <w:b/>
          <w:kern w:val="0"/>
          <w:sz w:val="24"/>
          <w:szCs w:val="24"/>
          <w:vertAlign w:val="superscript"/>
        </w:rPr>
        <w:t>th</w:t>
      </w:r>
      <w:r w:rsidR="00414B20" w:rsidRPr="00F537F0">
        <w:rPr>
          <w:rFonts w:ascii="Times New Roman" w:hAnsi="Times New Roman" w:cs="Times New Roman"/>
          <w:b/>
          <w:kern w:val="0"/>
          <w:sz w:val="24"/>
          <w:szCs w:val="24"/>
        </w:rPr>
        <w:t xml:space="preserve"> percentile-based categorization. in the Kyoto University cohort </w:t>
      </w:r>
    </w:p>
    <w:p w14:paraId="0462997D" w14:textId="7006DBB8" w:rsidR="00414B20" w:rsidRPr="00F537F0" w:rsidRDefault="00414B20" w:rsidP="00D516AC">
      <w:pPr>
        <w:snapToGrid w:val="0"/>
        <w:spacing w:line="48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F537F0">
        <w:rPr>
          <w:rFonts w:ascii="Times New Roman" w:eastAsia="ＭＳ 明朝" w:hAnsi="Times New Roman" w:cs="Times New Roman"/>
          <w:sz w:val="24"/>
          <w:szCs w:val="24"/>
        </w:rPr>
        <w:t>T</w:t>
      </w:r>
      <w:r w:rsidRPr="00F537F0">
        <w:rPr>
          <w:rFonts w:ascii="Times New Roman" w:hAnsi="Times New Roman" w:cs="Times New Roman"/>
          <w:sz w:val="24"/>
          <w:szCs w:val="24"/>
        </w:rPr>
        <w:t>he 68</w:t>
      </w:r>
      <w:r w:rsidRPr="00F537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537F0">
        <w:rPr>
          <w:rFonts w:ascii="Times New Roman" w:hAnsi="Times New Roman" w:cs="Times New Roman"/>
          <w:sz w:val="24"/>
          <w:szCs w:val="24"/>
        </w:rPr>
        <w:t xml:space="preserve"> percentile of </w:t>
      </w:r>
      <w:r w:rsidRPr="00F537F0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F537F0">
        <w:rPr>
          <w:rFonts w:ascii="Times New Roman" w:hAnsi="Times New Roman" w:cs="Times New Roman"/>
          <w:sz w:val="24"/>
          <w:szCs w:val="24"/>
        </w:rPr>
        <w:t xml:space="preserve"> and the 32</w:t>
      </w:r>
      <w:r w:rsidRPr="00F537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537F0">
        <w:rPr>
          <w:rFonts w:ascii="Times New Roman" w:hAnsi="Times New Roman" w:cs="Times New Roman"/>
          <w:sz w:val="24"/>
          <w:szCs w:val="24"/>
        </w:rPr>
        <w:t xml:space="preserve"> percentile of percent low attenuation volume (%LAV) were used to divide patients into mild and severe emphysema groups, </w:t>
      </w:r>
      <w:r w:rsidR="00BA5A37" w:rsidRPr="00F537F0">
        <w:rPr>
          <w:rFonts w:ascii="Times New Roman" w:hAnsi="Times New Roman" w:cs="Times New Roman"/>
          <w:sz w:val="24"/>
          <w:szCs w:val="24"/>
        </w:rPr>
        <w:t xml:space="preserve">Time to first exacerbation was </w:t>
      </w:r>
      <w:r w:rsidRPr="00F537F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BA5A37" w:rsidRPr="00F537F0">
        <w:rPr>
          <w:rFonts w:ascii="Times New Roman" w:eastAsia="ＭＳ 明朝" w:hAnsi="Times New Roman" w:cs="Times New Roman"/>
          <w:sz w:val="24"/>
          <w:szCs w:val="24"/>
        </w:rPr>
        <w:t xml:space="preserve">shorter </w:t>
      </w:r>
      <w:r w:rsidRPr="00F537F0">
        <w:rPr>
          <w:rFonts w:ascii="Times New Roman" w:eastAsia="ＭＳ 明朝" w:hAnsi="Times New Roman" w:cs="Times New Roman"/>
          <w:sz w:val="24"/>
          <w:szCs w:val="24"/>
        </w:rPr>
        <w:t>in subjects with the low D group than in those with the high D group but did not differ between those with the low %LAV and those with high %LAV groups. The mortality rate was higher in subjects with the high %LAV group than in those with the low %LAV group but did not differ between those with the low D and those with high D groups.</w:t>
      </w:r>
    </w:p>
    <w:p w14:paraId="20165471" w14:textId="7A589E3F" w:rsidR="00447CE5" w:rsidRPr="00F537F0" w:rsidRDefault="00447CE5" w:rsidP="00D516AC">
      <w:pPr>
        <w:snapToGrid w:val="0"/>
        <w:spacing w:line="48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</w:rPr>
      </w:pPr>
    </w:p>
    <w:sectPr w:rsidR="00447CE5" w:rsidRPr="00F537F0" w:rsidSect="005E7F49">
      <w:pgSz w:w="11906" w:h="16838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C393" w14:textId="77777777" w:rsidR="00A24962" w:rsidRDefault="00A24962" w:rsidP="005E7F49">
      <w:r>
        <w:separator/>
      </w:r>
    </w:p>
  </w:endnote>
  <w:endnote w:type="continuationSeparator" w:id="0">
    <w:p w14:paraId="4208007F" w14:textId="77777777" w:rsidR="00A24962" w:rsidRDefault="00A24962" w:rsidP="005E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F9D7D" w14:textId="77777777" w:rsidR="00A24962" w:rsidRDefault="00A24962" w:rsidP="005E7F49">
      <w:r>
        <w:separator/>
      </w:r>
    </w:p>
  </w:footnote>
  <w:footnote w:type="continuationSeparator" w:id="0">
    <w:p w14:paraId="2EE3F13C" w14:textId="77777777" w:rsidR="00A24962" w:rsidRDefault="00A24962" w:rsidP="005E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1515"/>
    <w:multiLevelType w:val="hybridMultilevel"/>
    <w:tmpl w:val="E2CEB724"/>
    <w:lvl w:ilvl="0" w:tplc="67B4C6B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1" w:hanging="420"/>
      </w:pPr>
    </w:lvl>
  </w:abstractNum>
  <w:abstractNum w:abstractNumId="1" w15:restartNumberingAfterBreak="0">
    <w:nsid w:val="2E6232FD"/>
    <w:multiLevelType w:val="hybridMultilevel"/>
    <w:tmpl w:val="42284B6E"/>
    <w:lvl w:ilvl="0" w:tplc="67B4C6B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1" w:hanging="420"/>
      </w:pPr>
    </w:lvl>
  </w:abstractNum>
  <w:abstractNum w:abstractNumId="2" w15:restartNumberingAfterBreak="0">
    <w:nsid w:val="7AEF68E5"/>
    <w:multiLevelType w:val="hybridMultilevel"/>
    <w:tmpl w:val="A92EBC48"/>
    <w:lvl w:ilvl="0" w:tplc="30B4E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DEA"/>
    <w:rsid w:val="00017DC4"/>
    <w:rsid w:val="00042BD7"/>
    <w:rsid w:val="00055604"/>
    <w:rsid w:val="00055DAD"/>
    <w:rsid w:val="000731B6"/>
    <w:rsid w:val="00075668"/>
    <w:rsid w:val="000853BF"/>
    <w:rsid w:val="000A0AAB"/>
    <w:rsid w:val="001072D3"/>
    <w:rsid w:val="00112557"/>
    <w:rsid w:val="00112F6E"/>
    <w:rsid w:val="001155F2"/>
    <w:rsid w:val="001205A7"/>
    <w:rsid w:val="001208D7"/>
    <w:rsid w:val="001237A8"/>
    <w:rsid w:val="00123913"/>
    <w:rsid w:val="0012616A"/>
    <w:rsid w:val="00135D30"/>
    <w:rsid w:val="00151F00"/>
    <w:rsid w:val="0018496A"/>
    <w:rsid w:val="001917EC"/>
    <w:rsid w:val="001963C4"/>
    <w:rsid w:val="001B1702"/>
    <w:rsid w:val="001D5C5C"/>
    <w:rsid w:val="002003FD"/>
    <w:rsid w:val="00201450"/>
    <w:rsid w:val="00204E49"/>
    <w:rsid w:val="00206653"/>
    <w:rsid w:val="00206DEA"/>
    <w:rsid w:val="002374F5"/>
    <w:rsid w:val="00260DB2"/>
    <w:rsid w:val="00265DBB"/>
    <w:rsid w:val="00292D34"/>
    <w:rsid w:val="002A678B"/>
    <w:rsid w:val="002A76EC"/>
    <w:rsid w:val="002B1612"/>
    <w:rsid w:val="002B7902"/>
    <w:rsid w:val="002C66BA"/>
    <w:rsid w:val="002D166C"/>
    <w:rsid w:val="002F5EE8"/>
    <w:rsid w:val="00312F9F"/>
    <w:rsid w:val="003170EF"/>
    <w:rsid w:val="00317F75"/>
    <w:rsid w:val="00357675"/>
    <w:rsid w:val="00372B8E"/>
    <w:rsid w:val="0039158B"/>
    <w:rsid w:val="003A03B1"/>
    <w:rsid w:val="003A1BD7"/>
    <w:rsid w:val="003A46DC"/>
    <w:rsid w:val="003A6B58"/>
    <w:rsid w:val="003F4E4C"/>
    <w:rsid w:val="00401083"/>
    <w:rsid w:val="00403C25"/>
    <w:rsid w:val="00414B20"/>
    <w:rsid w:val="00440066"/>
    <w:rsid w:val="00447CE5"/>
    <w:rsid w:val="00457B39"/>
    <w:rsid w:val="00496712"/>
    <w:rsid w:val="004A53B9"/>
    <w:rsid w:val="004C747E"/>
    <w:rsid w:val="004E79A9"/>
    <w:rsid w:val="00513E76"/>
    <w:rsid w:val="00520220"/>
    <w:rsid w:val="0052568C"/>
    <w:rsid w:val="0053093E"/>
    <w:rsid w:val="0054000A"/>
    <w:rsid w:val="0054524D"/>
    <w:rsid w:val="0054777E"/>
    <w:rsid w:val="00555C87"/>
    <w:rsid w:val="005674BD"/>
    <w:rsid w:val="00571EB0"/>
    <w:rsid w:val="0058725F"/>
    <w:rsid w:val="005B4E33"/>
    <w:rsid w:val="005C286B"/>
    <w:rsid w:val="005C5DCB"/>
    <w:rsid w:val="005D1155"/>
    <w:rsid w:val="005D2B7C"/>
    <w:rsid w:val="005E7F49"/>
    <w:rsid w:val="005F35E3"/>
    <w:rsid w:val="00621F84"/>
    <w:rsid w:val="0063182E"/>
    <w:rsid w:val="00640F41"/>
    <w:rsid w:val="00642AEE"/>
    <w:rsid w:val="006537E4"/>
    <w:rsid w:val="006801FE"/>
    <w:rsid w:val="0069049F"/>
    <w:rsid w:val="006A14AD"/>
    <w:rsid w:val="006A3625"/>
    <w:rsid w:val="006C1F7F"/>
    <w:rsid w:val="007035D8"/>
    <w:rsid w:val="00710CEF"/>
    <w:rsid w:val="00724847"/>
    <w:rsid w:val="00727DEA"/>
    <w:rsid w:val="00732814"/>
    <w:rsid w:val="0074385F"/>
    <w:rsid w:val="007643F8"/>
    <w:rsid w:val="007726DC"/>
    <w:rsid w:val="00774CD3"/>
    <w:rsid w:val="00790FA5"/>
    <w:rsid w:val="007969B6"/>
    <w:rsid w:val="007C385C"/>
    <w:rsid w:val="007D1B04"/>
    <w:rsid w:val="007E0123"/>
    <w:rsid w:val="007E13DB"/>
    <w:rsid w:val="007E1D6B"/>
    <w:rsid w:val="007F0C4F"/>
    <w:rsid w:val="007F62A9"/>
    <w:rsid w:val="00811148"/>
    <w:rsid w:val="00813B3F"/>
    <w:rsid w:val="00830128"/>
    <w:rsid w:val="0083596F"/>
    <w:rsid w:val="008360B5"/>
    <w:rsid w:val="0084553E"/>
    <w:rsid w:val="00845F24"/>
    <w:rsid w:val="00863602"/>
    <w:rsid w:val="00867682"/>
    <w:rsid w:val="0087075D"/>
    <w:rsid w:val="00875379"/>
    <w:rsid w:val="0088582B"/>
    <w:rsid w:val="008860F5"/>
    <w:rsid w:val="00897846"/>
    <w:rsid w:val="008A3F38"/>
    <w:rsid w:val="008B687E"/>
    <w:rsid w:val="008F2523"/>
    <w:rsid w:val="008F4115"/>
    <w:rsid w:val="009018AC"/>
    <w:rsid w:val="00917EFD"/>
    <w:rsid w:val="009521EB"/>
    <w:rsid w:val="00990F37"/>
    <w:rsid w:val="00996BEC"/>
    <w:rsid w:val="009B5105"/>
    <w:rsid w:val="009D4D9A"/>
    <w:rsid w:val="009E2624"/>
    <w:rsid w:val="00A01FE7"/>
    <w:rsid w:val="00A05243"/>
    <w:rsid w:val="00A24962"/>
    <w:rsid w:val="00A32DC7"/>
    <w:rsid w:val="00A3516E"/>
    <w:rsid w:val="00A42C94"/>
    <w:rsid w:val="00A637FD"/>
    <w:rsid w:val="00A63FB1"/>
    <w:rsid w:val="00A71FF6"/>
    <w:rsid w:val="00A7748B"/>
    <w:rsid w:val="00A77A52"/>
    <w:rsid w:val="00AA3D8A"/>
    <w:rsid w:val="00AB6FFB"/>
    <w:rsid w:val="00AC6FD4"/>
    <w:rsid w:val="00AD5EFA"/>
    <w:rsid w:val="00AE2EE5"/>
    <w:rsid w:val="00AE5241"/>
    <w:rsid w:val="00B27D07"/>
    <w:rsid w:val="00B45A46"/>
    <w:rsid w:val="00B5673E"/>
    <w:rsid w:val="00B56AD7"/>
    <w:rsid w:val="00B62A7D"/>
    <w:rsid w:val="00B73782"/>
    <w:rsid w:val="00B7548C"/>
    <w:rsid w:val="00B770B2"/>
    <w:rsid w:val="00B813B5"/>
    <w:rsid w:val="00B85F77"/>
    <w:rsid w:val="00BA5A37"/>
    <w:rsid w:val="00BB2D43"/>
    <w:rsid w:val="00BC607C"/>
    <w:rsid w:val="00BF5529"/>
    <w:rsid w:val="00BF581F"/>
    <w:rsid w:val="00BF7247"/>
    <w:rsid w:val="00C01B93"/>
    <w:rsid w:val="00C25471"/>
    <w:rsid w:val="00C6140C"/>
    <w:rsid w:val="00C70675"/>
    <w:rsid w:val="00C828B1"/>
    <w:rsid w:val="00C935DB"/>
    <w:rsid w:val="00C96B1F"/>
    <w:rsid w:val="00CA0E7C"/>
    <w:rsid w:val="00CB4AB4"/>
    <w:rsid w:val="00CC6831"/>
    <w:rsid w:val="00CC6B55"/>
    <w:rsid w:val="00CE4B39"/>
    <w:rsid w:val="00CE6951"/>
    <w:rsid w:val="00CF0A62"/>
    <w:rsid w:val="00D013E7"/>
    <w:rsid w:val="00D22422"/>
    <w:rsid w:val="00D2478A"/>
    <w:rsid w:val="00D463C7"/>
    <w:rsid w:val="00D516AC"/>
    <w:rsid w:val="00D70751"/>
    <w:rsid w:val="00D73504"/>
    <w:rsid w:val="00D809AD"/>
    <w:rsid w:val="00D85BA3"/>
    <w:rsid w:val="00DB210C"/>
    <w:rsid w:val="00DB4367"/>
    <w:rsid w:val="00DC180A"/>
    <w:rsid w:val="00DC3551"/>
    <w:rsid w:val="00DD0C7A"/>
    <w:rsid w:val="00DD0D67"/>
    <w:rsid w:val="00E059ED"/>
    <w:rsid w:val="00E17958"/>
    <w:rsid w:val="00E41EA1"/>
    <w:rsid w:val="00E44DF1"/>
    <w:rsid w:val="00E4544D"/>
    <w:rsid w:val="00E45941"/>
    <w:rsid w:val="00E56485"/>
    <w:rsid w:val="00E60253"/>
    <w:rsid w:val="00E8626C"/>
    <w:rsid w:val="00E955FB"/>
    <w:rsid w:val="00EB0383"/>
    <w:rsid w:val="00EB1FEE"/>
    <w:rsid w:val="00EB2F3E"/>
    <w:rsid w:val="00ED4635"/>
    <w:rsid w:val="00EE1A33"/>
    <w:rsid w:val="00EE1E3C"/>
    <w:rsid w:val="00F04C84"/>
    <w:rsid w:val="00F06502"/>
    <w:rsid w:val="00F06AA3"/>
    <w:rsid w:val="00F460D1"/>
    <w:rsid w:val="00F47456"/>
    <w:rsid w:val="00F47BD5"/>
    <w:rsid w:val="00F50EFC"/>
    <w:rsid w:val="00F537F0"/>
    <w:rsid w:val="00F861D8"/>
    <w:rsid w:val="00FA6C5A"/>
    <w:rsid w:val="00FA7F8D"/>
    <w:rsid w:val="00FB4740"/>
    <w:rsid w:val="00FD1806"/>
    <w:rsid w:val="00FD3A40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F5FF2"/>
  <w15:docId w15:val="{830ECCFD-38A0-45BE-A597-81718A76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F49"/>
  </w:style>
  <w:style w:type="paragraph" w:styleId="a5">
    <w:name w:val="footer"/>
    <w:basedOn w:val="a"/>
    <w:link w:val="a6"/>
    <w:uiPriority w:val="99"/>
    <w:unhideWhenUsed/>
    <w:rsid w:val="005E7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F49"/>
  </w:style>
  <w:style w:type="character" w:styleId="a7">
    <w:name w:val="line number"/>
    <w:basedOn w:val="a0"/>
    <w:uiPriority w:val="99"/>
    <w:semiHidden/>
    <w:unhideWhenUsed/>
    <w:rsid w:val="005E7F49"/>
  </w:style>
  <w:style w:type="paragraph" w:styleId="a8">
    <w:name w:val="List Paragraph"/>
    <w:basedOn w:val="a"/>
    <w:uiPriority w:val="34"/>
    <w:qFormat/>
    <w:rsid w:val="005E7F49"/>
    <w:pPr>
      <w:ind w:leftChars="400" w:left="840"/>
    </w:pPr>
    <w:rPr>
      <w:rFonts w:ascii="Times New Roman" w:eastAsia="ＭＳ 明朝" w:hAnsi="Times New Roman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B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2F3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D115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115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115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115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1155"/>
    <w:rPr>
      <w:b/>
      <w:bCs/>
    </w:rPr>
  </w:style>
  <w:style w:type="paragraph" w:styleId="af1">
    <w:name w:val="Revision"/>
    <w:hidden/>
    <w:uiPriority w:val="99"/>
    <w:semiHidden/>
    <w:rsid w:val="00D5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436D-22B5-4B78-A042-E3A3FBFC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Kaoruko Shimizu</dc:creator>
  <cp:lastModifiedBy>清水 薫子</cp:lastModifiedBy>
  <cp:revision>6</cp:revision>
  <cp:lastPrinted>2019-10-31T09:12:00Z</cp:lastPrinted>
  <dcterms:created xsi:type="dcterms:W3CDTF">2019-10-31T05:47:00Z</dcterms:created>
  <dcterms:modified xsi:type="dcterms:W3CDTF">2020-04-17T14:11:00Z</dcterms:modified>
</cp:coreProperties>
</file>