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A458" w14:textId="79110931" w:rsidR="00CF6EDD" w:rsidRPr="00C52B95" w:rsidRDefault="00CE7F45" w:rsidP="00FE368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FE3684"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upple</w:t>
      </w:r>
      <w:r w:rsidR="00C52B95" w:rsidRPr="00C52B95"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  <w:lang w:eastAsia="ja-JP"/>
        </w:rPr>
        <w:t>m</w:t>
      </w:r>
      <w:r w:rsidR="00C52B95"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ja-JP"/>
        </w:rPr>
        <w:t>ental</w:t>
      </w:r>
      <w:r w:rsidR="005E00A0"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52B95"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Data</w:t>
      </w:r>
      <w:r w:rsidR="00FE3684"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</w:t>
      </w:r>
      <w:r w:rsidR="005E00A0" w:rsidRPr="00C52B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 </w:t>
      </w:r>
      <w:bookmarkStart w:id="0" w:name="_GoBack"/>
      <w:bookmarkEnd w:id="0"/>
    </w:p>
    <w:p w14:paraId="1F45EA16" w14:textId="53219107" w:rsidR="007D6FF3" w:rsidRPr="007D6FF3" w:rsidRDefault="007D6FF3" w:rsidP="00807F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6FF3">
        <w:rPr>
          <w:rFonts w:asciiTheme="majorBidi" w:hAnsiTheme="majorBidi" w:cstheme="majorBidi"/>
          <w:b/>
          <w:bCs/>
          <w:sz w:val="24"/>
          <w:szCs w:val="24"/>
        </w:rPr>
        <w:t>RT-PCR</w:t>
      </w:r>
    </w:p>
    <w:p w14:paraId="60A86A67" w14:textId="2AF099CD" w:rsidR="007D6FF3" w:rsidRDefault="007D6FF3" w:rsidP="00B51728">
      <w:pPr>
        <w:tabs>
          <w:tab w:val="left" w:pos="3330"/>
        </w:tabs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D6FF3">
        <w:rPr>
          <w:rFonts w:asciiTheme="majorBidi" w:hAnsiTheme="majorBidi" w:cstheme="majorBidi"/>
          <w:sz w:val="24"/>
          <w:szCs w:val="24"/>
        </w:rPr>
        <w:t xml:space="preserve">Conventional RT-PCR </w:t>
      </w:r>
      <w:r>
        <w:rPr>
          <w:rFonts w:asciiTheme="majorBidi" w:hAnsiTheme="majorBidi" w:cstheme="majorBidi"/>
          <w:sz w:val="24"/>
          <w:szCs w:val="24"/>
        </w:rPr>
        <w:t>assays were</w:t>
      </w:r>
      <w:r w:rsidRPr="007D6FF3">
        <w:rPr>
          <w:rFonts w:asciiTheme="majorBidi" w:hAnsiTheme="majorBidi" w:cstheme="majorBidi"/>
          <w:sz w:val="24"/>
          <w:szCs w:val="24"/>
        </w:rPr>
        <w:t xml:space="preserve"> conducted for detection of FMDV nucleic acid using FMDV universal </w:t>
      </w:r>
      <w:r>
        <w:rPr>
          <w:rFonts w:asciiTheme="majorBidi" w:hAnsiTheme="majorBidi" w:cstheme="majorBidi"/>
          <w:sz w:val="24"/>
          <w:szCs w:val="24"/>
        </w:rPr>
        <w:t>or serotype-specific</w:t>
      </w:r>
      <w:r w:rsidRPr="007D6FF3">
        <w:rPr>
          <w:rFonts w:asciiTheme="majorBidi" w:hAnsiTheme="majorBidi" w:cstheme="majorBidi"/>
          <w:sz w:val="24"/>
          <w:szCs w:val="24"/>
        </w:rPr>
        <w:t xml:space="preserve"> primers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6FF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Table S</w:t>
      </w:r>
      <w:r w:rsidRPr="007D6FF3">
        <w:rPr>
          <w:rFonts w:asciiTheme="majorBidi" w:hAnsiTheme="majorBidi" w:cstheme="majorBidi"/>
          <w:sz w:val="24"/>
          <w:szCs w:val="24"/>
        </w:rPr>
        <w:t xml:space="preserve">1), </w:t>
      </w:r>
      <w:proofErr w:type="spellStart"/>
      <w:r w:rsidRPr="007D6FF3">
        <w:rPr>
          <w:rFonts w:asciiTheme="majorBidi" w:hAnsiTheme="majorBidi" w:cstheme="majorBidi"/>
          <w:sz w:val="24"/>
          <w:szCs w:val="24"/>
        </w:rPr>
        <w:t>QIAamp</w:t>
      </w:r>
      <w:proofErr w:type="spellEnd"/>
      <w:r w:rsidRPr="007D6FF3">
        <w:rPr>
          <w:rFonts w:asciiTheme="majorBidi" w:hAnsiTheme="majorBidi" w:cstheme="majorBidi"/>
          <w:sz w:val="24"/>
          <w:szCs w:val="24"/>
        </w:rPr>
        <w:t xml:space="preserve"> Viral RNA Mini Kit (Qiagen, Germany) for RNA extraction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7D6FF3">
        <w:rPr>
          <w:rFonts w:asciiTheme="majorBidi" w:hAnsiTheme="majorBidi" w:cstheme="majorBidi"/>
          <w:sz w:val="24"/>
          <w:szCs w:val="24"/>
        </w:rPr>
        <w:t xml:space="preserve"> and Verso™ one-step RT-PCR kit (Thermo scientific, Germany), according to manufacturer</w:t>
      </w:r>
      <w:r>
        <w:rPr>
          <w:rFonts w:asciiTheme="majorBidi" w:hAnsiTheme="majorBidi" w:cstheme="majorBidi"/>
          <w:sz w:val="24"/>
          <w:szCs w:val="24"/>
        </w:rPr>
        <w:t>s’</w:t>
      </w:r>
      <w:r w:rsidRPr="007D6FF3">
        <w:rPr>
          <w:rFonts w:asciiTheme="majorBidi" w:hAnsiTheme="majorBidi" w:cstheme="majorBidi"/>
          <w:sz w:val="24"/>
          <w:szCs w:val="24"/>
        </w:rPr>
        <w:t xml:space="preserve"> instructions.</w:t>
      </w:r>
      <w:r w:rsidR="00597FD2">
        <w:rPr>
          <w:rFonts w:asciiTheme="majorBidi" w:hAnsiTheme="majorBidi" w:cstheme="majorBidi"/>
          <w:sz w:val="24"/>
          <w:szCs w:val="24"/>
        </w:rPr>
        <w:t xml:space="preserve"> </w:t>
      </w:r>
      <w:r w:rsidRPr="007D6FF3">
        <w:rPr>
          <w:rFonts w:asciiTheme="majorBidi" w:hAnsiTheme="majorBidi" w:cstheme="majorBidi"/>
          <w:sz w:val="24"/>
          <w:szCs w:val="24"/>
        </w:rPr>
        <w:t xml:space="preserve">Egyptian FMDV strains (O pan Asia-2; A Iran 05, SAT2/EGY/2012), were used as positive controls for the RT-PCR assay. </w:t>
      </w:r>
      <w:r w:rsidR="00597FD2">
        <w:rPr>
          <w:rFonts w:asciiTheme="majorBidi" w:hAnsiTheme="majorBidi" w:cstheme="majorBidi"/>
          <w:sz w:val="24"/>
          <w:szCs w:val="24"/>
        </w:rPr>
        <w:t>Nuclease free water was used in no-template control tubes. The reaction conditions were as mentioned in the original publications describing the primers (Table S1)</w:t>
      </w:r>
    </w:p>
    <w:p w14:paraId="2A6BC138" w14:textId="7BE6FFCF" w:rsidR="007D6FF3" w:rsidRPr="007D6FF3" w:rsidRDefault="00597FD2" w:rsidP="00B51728">
      <w:pPr>
        <w:tabs>
          <w:tab w:val="left" w:pos="3330"/>
        </w:tabs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RT-PCR products were visualized in agarose gels strained with Ethidium Bromide after electrophoresis. </w:t>
      </w:r>
      <w:r w:rsidR="007D6FF3" w:rsidRPr="007D6FF3">
        <w:rPr>
          <w:rFonts w:asciiTheme="majorBidi" w:hAnsiTheme="majorBidi" w:cstheme="majorBidi"/>
          <w:sz w:val="24"/>
          <w:szCs w:val="24"/>
        </w:rPr>
        <w:t xml:space="preserve">The obtained DNA bands were purified using </w:t>
      </w:r>
      <w:proofErr w:type="spellStart"/>
      <w:r w:rsidR="007D6FF3" w:rsidRPr="007D6FF3">
        <w:rPr>
          <w:rFonts w:asciiTheme="majorBidi" w:hAnsiTheme="majorBidi" w:cstheme="majorBidi"/>
          <w:sz w:val="24"/>
          <w:szCs w:val="24"/>
        </w:rPr>
        <w:t>QIAquick</w:t>
      </w:r>
      <w:proofErr w:type="spellEnd"/>
      <w:r w:rsidR="007D6FF3" w:rsidRPr="007D6FF3">
        <w:rPr>
          <w:rFonts w:asciiTheme="majorBidi" w:hAnsiTheme="majorBidi" w:cstheme="majorBidi"/>
          <w:sz w:val="24"/>
          <w:szCs w:val="24"/>
        </w:rPr>
        <w:t xml:space="preserve"> Gel Extraction Kit (Qiagen, Germany)</w:t>
      </w:r>
      <w:r>
        <w:rPr>
          <w:rFonts w:asciiTheme="majorBidi" w:hAnsiTheme="majorBidi" w:cstheme="majorBidi"/>
          <w:sz w:val="24"/>
          <w:szCs w:val="24"/>
        </w:rPr>
        <w:t>,</w:t>
      </w:r>
      <w:r w:rsidR="007D6FF3" w:rsidRPr="007D6FF3">
        <w:rPr>
          <w:rFonts w:asciiTheme="majorBidi" w:hAnsiTheme="majorBidi" w:cstheme="majorBidi"/>
          <w:sz w:val="24"/>
          <w:szCs w:val="24"/>
        </w:rPr>
        <w:t xml:space="preserve"> and sequenced using the same forward and reverse primers used in RT-PCR. The dideoxy chain-termination method was used.</w:t>
      </w:r>
    </w:p>
    <w:p w14:paraId="0FD7945A" w14:textId="28678988" w:rsidR="007D6FF3" w:rsidRPr="007D6FF3" w:rsidRDefault="007D6FF3" w:rsidP="00B51728">
      <w:pPr>
        <w:tabs>
          <w:tab w:val="left" w:pos="3330"/>
        </w:tabs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D6FF3">
        <w:rPr>
          <w:rFonts w:asciiTheme="majorBidi" w:hAnsiTheme="majorBidi" w:cstheme="majorBidi"/>
          <w:sz w:val="24"/>
          <w:szCs w:val="24"/>
        </w:rPr>
        <w:t xml:space="preserve">The obtained nucleotide sequences were compared with FMDV sequences published in GenBank database using BLAST tool. Selected sequences were aligned and trimmed for analysis of nucleotide </w:t>
      </w:r>
      <w:r w:rsidR="00597FD2" w:rsidRPr="007D6FF3">
        <w:rPr>
          <w:rFonts w:asciiTheme="majorBidi" w:hAnsiTheme="majorBidi" w:cstheme="majorBidi"/>
          <w:sz w:val="24"/>
          <w:szCs w:val="24"/>
        </w:rPr>
        <w:t xml:space="preserve">sequence </w:t>
      </w:r>
      <w:r w:rsidRPr="007D6FF3">
        <w:rPr>
          <w:rFonts w:asciiTheme="majorBidi" w:hAnsiTheme="majorBidi" w:cstheme="majorBidi"/>
          <w:sz w:val="24"/>
          <w:szCs w:val="24"/>
        </w:rPr>
        <w:t xml:space="preserve">identity using </w:t>
      </w:r>
      <w:proofErr w:type="spellStart"/>
      <w:r w:rsidRPr="007D6FF3">
        <w:rPr>
          <w:rFonts w:asciiTheme="majorBidi" w:hAnsiTheme="majorBidi" w:cstheme="majorBidi"/>
          <w:sz w:val="24"/>
          <w:szCs w:val="24"/>
        </w:rPr>
        <w:t>Clustal</w:t>
      </w:r>
      <w:proofErr w:type="spellEnd"/>
      <w:r w:rsidRPr="007D6FF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6FF3">
        <w:rPr>
          <w:rFonts w:asciiTheme="majorBidi" w:hAnsiTheme="majorBidi" w:cstheme="majorBidi"/>
          <w:sz w:val="24"/>
          <w:szCs w:val="24"/>
        </w:rPr>
        <w:t>W</w:t>
      </w:r>
      <w:r w:rsidR="00597FD2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7D6FF3">
        <w:rPr>
          <w:rFonts w:asciiTheme="majorBidi" w:hAnsiTheme="majorBidi" w:cstheme="majorBidi"/>
          <w:sz w:val="24"/>
          <w:szCs w:val="24"/>
        </w:rPr>
        <w:t>BioEdit</w:t>
      </w:r>
      <w:proofErr w:type="spellEnd"/>
      <w:r w:rsidRPr="007D6FF3">
        <w:rPr>
          <w:rFonts w:asciiTheme="majorBidi" w:hAnsiTheme="majorBidi" w:cstheme="majorBidi"/>
          <w:sz w:val="24"/>
          <w:szCs w:val="24"/>
        </w:rPr>
        <w:t xml:space="preserve"> </w:t>
      </w:r>
      <w:r w:rsidR="00597FD2">
        <w:rPr>
          <w:rFonts w:asciiTheme="majorBidi" w:hAnsiTheme="majorBidi" w:cstheme="majorBidi"/>
          <w:sz w:val="24"/>
          <w:szCs w:val="24"/>
        </w:rPr>
        <w:t>Sequence Alignment Editor,</w:t>
      </w:r>
      <w:r w:rsidRPr="007D6FF3">
        <w:rPr>
          <w:rFonts w:asciiTheme="majorBidi" w:hAnsiTheme="majorBidi" w:cstheme="majorBidi"/>
          <w:sz w:val="24"/>
          <w:szCs w:val="24"/>
        </w:rPr>
        <w:t xml:space="preserve"> version 7.2.5</w:t>
      </w:r>
      <w:r w:rsidR="00597FD2">
        <w:rPr>
          <w:rFonts w:asciiTheme="majorBidi" w:hAnsiTheme="majorBidi" w:cstheme="majorBidi"/>
          <w:sz w:val="24"/>
          <w:szCs w:val="24"/>
        </w:rPr>
        <w:t>)</w:t>
      </w:r>
    </w:p>
    <w:p w14:paraId="78C099C2" w14:textId="1740B4DF" w:rsidR="007D6FF3" w:rsidRPr="007D6FF3" w:rsidRDefault="007D6FF3" w:rsidP="00B51728">
      <w:pPr>
        <w:tabs>
          <w:tab w:val="left" w:pos="3330"/>
        </w:tabs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51728">
        <w:rPr>
          <w:rFonts w:asciiTheme="majorBidi" w:hAnsiTheme="majorBidi" w:cstheme="majorBidi"/>
          <w:sz w:val="24"/>
          <w:szCs w:val="24"/>
        </w:rPr>
        <w:t xml:space="preserve">Table S1. FMD universal and serotype-specific primers used for RT-PCR. Oligonucleotide primers were synthesized by </w:t>
      </w:r>
      <w:proofErr w:type="spellStart"/>
      <w:r w:rsidRPr="00B51728">
        <w:rPr>
          <w:rFonts w:asciiTheme="majorBidi" w:hAnsiTheme="majorBidi" w:cstheme="majorBidi"/>
          <w:sz w:val="24"/>
          <w:szCs w:val="24"/>
        </w:rPr>
        <w:t>Metabion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International AG (Germany).</w:t>
      </w:r>
    </w:p>
    <w:tbl>
      <w:tblPr>
        <w:tblStyle w:val="a3"/>
        <w:tblW w:w="537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722"/>
        <w:gridCol w:w="1172"/>
        <w:gridCol w:w="3833"/>
        <w:gridCol w:w="993"/>
        <w:gridCol w:w="1132"/>
      </w:tblGrid>
      <w:tr w:rsidR="00597FD2" w:rsidRPr="007D6FF3" w14:paraId="12E44772" w14:textId="77777777" w:rsidTr="00A953EB">
        <w:trPr>
          <w:trHeight w:val="720"/>
          <w:jc w:val="center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2180EC9A" w14:textId="3C622BFD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Serotype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6A019088" w14:textId="1BE09A49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079EB9C8" w14:textId="2D5B1C52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Orientation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</w:tcPr>
          <w:p w14:paraId="5912A146" w14:textId="043F3346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Sequence (5'- 3')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AC1DB8A" w14:textId="6BF40BCF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Product</w:t>
            </w:r>
            <w:r w:rsidRPr="007D6FF3">
              <w:rPr>
                <w:rFonts w:asciiTheme="majorBidi" w:hAnsiTheme="majorBidi" w:cstheme="majorBidi"/>
                <w:sz w:val="20"/>
                <w:szCs w:val="20"/>
              </w:rPr>
              <w:t xml:space="preserve"> size (bp)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3A100032" w14:textId="30097805" w:rsidR="007D6FF3" w:rsidRPr="007D6FF3" w:rsidRDefault="00597FD2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</w:tr>
      <w:tr w:rsidR="00597FD2" w:rsidRPr="007D6FF3" w14:paraId="4F3B8E35" w14:textId="77777777" w:rsidTr="00A953EB">
        <w:trPr>
          <w:trHeight w:val="20"/>
          <w:jc w:val="center"/>
        </w:trPr>
        <w:tc>
          <w:tcPr>
            <w:tcW w:w="604" w:type="pct"/>
            <w:vMerge w:val="restart"/>
            <w:tcBorders>
              <w:top w:val="single" w:sz="4" w:space="0" w:color="auto"/>
            </w:tcBorders>
          </w:tcPr>
          <w:p w14:paraId="5A95AC9D" w14:textId="7D1A3486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Universal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3B0BF8D3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1F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0231914D" w14:textId="44A691E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2146" w:type="pct"/>
            <w:tcBorders>
              <w:top w:val="single" w:sz="4" w:space="0" w:color="auto"/>
            </w:tcBorders>
          </w:tcPr>
          <w:p w14:paraId="55557ECF" w14:textId="09DE1FB9" w:rsidR="007D6FF3" w:rsidRPr="007D6FF3" w:rsidRDefault="00A953EB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GCCTGGTCT</w:t>
            </w:r>
            <w:r w:rsidR="007D6FF3" w:rsidRPr="007D6FF3">
              <w:rPr>
                <w:rFonts w:asciiTheme="majorBidi" w:hAnsiTheme="majorBidi" w:cstheme="majorBidi"/>
                <w:sz w:val="20"/>
                <w:szCs w:val="20"/>
              </w:rPr>
              <w:t>TTC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CAGGTC</w:t>
            </w:r>
            <w:r w:rsidR="007D6FF3" w:rsidRPr="007D6FF3">
              <w:rPr>
                <w:rFonts w:asciiTheme="majorBidi" w:hAnsiTheme="majorBidi" w:cstheme="majorBidi"/>
                <w:sz w:val="20"/>
                <w:szCs w:val="20"/>
              </w:rPr>
              <w:t>T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4BEEA1F7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328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1CC8679C" w14:textId="42B14107" w:rsidR="007D6FF3" w:rsidRPr="00A953EB" w:rsidRDefault="00A953EB" w:rsidP="007D6F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53EB">
              <w:rPr>
                <w:rFonts w:asciiTheme="majorBidi" w:hAnsiTheme="majorBidi" w:cstheme="majorBidi"/>
                <w:sz w:val="18"/>
                <w:szCs w:val="18"/>
              </w:rPr>
              <w:t>5)</w:t>
            </w:r>
          </w:p>
        </w:tc>
      </w:tr>
      <w:tr w:rsidR="00597FD2" w:rsidRPr="007D6FF3" w14:paraId="39FA3214" w14:textId="77777777" w:rsidTr="00A953EB">
        <w:trPr>
          <w:trHeight w:val="20"/>
          <w:jc w:val="center"/>
        </w:trPr>
        <w:tc>
          <w:tcPr>
            <w:tcW w:w="604" w:type="pct"/>
            <w:vMerge/>
          </w:tcPr>
          <w:p w14:paraId="3ACB6C7C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</w:tcPr>
          <w:p w14:paraId="290D93BC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1R</w:t>
            </w:r>
          </w:p>
        </w:tc>
        <w:tc>
          <w:tcPr>
            <w:tcW w:w="656" w:type="pct"/>
          </w:tcPr>
          <w:p w14:paraId="0BA19313" w14:textId="45381A0B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46" w:type="pct"/>
          </w:tcPr>
          <w:p w14:paraId="08E9601A" w14:textId="2CD0D530" w:rsidR="007D6FF3" w:rsidRPr="007D6FF3" w:rsidRDefault="00A953EB" w:rsidP="00A953E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CCAGTCCCCTTCTCAGAT</w:t>
            </w:r>
            <w:r w:rsidR="007D6FF3" w:rsidRPr="007D6FF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556" w:type="pct"/>
            <w:vMerge/>
          </w:tcPr>
          <w:p w14:paraId="7C187FE3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52EF1B61" w14:textId="77777777" w:rsidR="007D6FF3" w:rsidRPr="00A953EB" w:rsidRDefault="007D6FF3" w:rsidP="007D6F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97FD2" w:rsidRPr="007D6FF3" w14:paraId="12562C34" w14:textId="77777777" w:rsidTr="00A953EB">
        <w:trPr>
          <w:trHeight w:val="20"/>
          <w:jc w:val="center"/>
        </w:trPr>
        <w:tc>
          <w:tcPr>
            <w:tcW w:w="604" w:type="pct"/>
          </w:tcPr>
          <w:p w14:paraId="4E5FFAF0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404" w:type="pct"/>
          </w:tcPr>
          <w:p w14:paraId="532AA293" w14:textId="3D7F388B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A612</w:t>
            </w:r>
          </w:p>
        </w:tc>
        <w:tc>
          <w:tcPr>
            <w:tcW w:w="656" w:type="pct"/>
          </w:tcPr>
          <w:p w14:paraId="5A595A77" w14:textId="144BEAA5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2146" w:type="pct"/>
          </w:tcPr>
          <w:p w14:paraId="25ABD5FE" w14:textId="50940A3B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TAGCGCCGGCAAAGACTTTGA</w:t>
            </w:r>
          </w:p>
        </w:tc>
        <w:tc>
          <w:tcPr>
            <w:tcW w:w="556" w:type="pct"/>
          </w:tcPr>
          <w:p w14:paraId="4C3D3D07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813-816</w:t>
            </w:r>
          </w:p>
        </w:tc>
        <w:tc>
          <w:tcPr>
            <w:tcW w:w="634" w:type="pct"/>
          </w:tcPr>
          <w:p w14:paraId="645B0185" w14:textId="1A6AFF2A" w:rsidR="007D6FF3" w:rsidRPr="00A953EB" w:rsidRDefault="00A953EB" w:rsidP="007D6F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53EB">
              <w:rPr>
                <w:rFonts w:asciiTheme="majorBidi" w:hAnsiTheme="majorBidi" w:cstheme="majorBidi"/>
                <w:sz w:val="18"/>
                <w:szCs w:val="18"/>
              </w:rPr>
              <w:t>3)</w:t>
            </w:r>
          </w:p>
        </w:tc>
      </w:tr>
      <w:tr w:rsidR="00597FD2" w:rsidRPr="007D6FF3" w14:paraId="53D3B7AB" w14:textId="77777777" w:rsidTr="00A953EB">
        <w:trPr>
          <w:trHeight w:val="20"/>
          <w:jc w:val="center"/>
        </w:trPr>
        <w:tc>
          <w:tcPr>
            <w:tcW w:w="604" w:type="pct"/>
          </w:tcPr>
          <w:p w14:paraId="0EEA750D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</w:tc>
        <w:tc>
          <w:tcPr>
            <w:tcW w:w="404" w:type="pct"/>
          </w:tcPr>
          <w:p w14:paraId="53992300" w14:textId="1F4A7FB3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EA</w:t>
            </w:r>
          </w:p>
        </w:tc>
        <w:tc>
          <w:tcPr>
            <w:tcW w:w="656" w:type="pct"/>
          </w:tcPr>
          <w:p w14:paraId="12135257" w14:textId="3F757CD4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2146" w:type="pct"/>
          </w:tcPr>
          <w:p w14:paraId="34E0A871" w14:textId="30F069B0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CCTCCTTCAAYTACGGTG</w:t>
            </w:r>
          </w:p>
        </w:tc>
        <w:tc>
          <w:tcPr>
            <w:tcW w:w="556" w:type="pct"/>
          </w:tcPr>
          <w:p w14:paraId="29AAD10B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283</w:t>
            </w:r>
          </w:p>
        </w:tc>
        <w:tc>
          <w:tcPr>
            <w:tcW w:w="634" w:type="pct"/>
          </w:tcPr>
          <w:p w14:paraId="19224C3E" w14:textId="34EF1FB4" w:rsidR="007D6FF3" w:rsidRPr="00A953EB" w:rsidRDefault="00A953EB" w:rsidP="007D6F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53EB">
              <w:rPr>
                <w:rFonts w:asciiTheme="majorBidi" w:hAnsiTheme="majorBidi" w:cstheme="majorBidi"/>
                <w:sz w:val="18"/>
                <w:szCs w:val="18"/>
              </w:rPr>
              <w:t>2)</w:t>
            </w:r>
          </w:p>
        </w:tc>
      </w:tr>
      <w:tr w:rsidR="00597FD2" w:rsidRPr="007D6FF3" w14:paraId="32029F9D" w14:textId="77777777" w:rsidTr="00A953EB">
        <w:trPr>
          <w:trHeight w:val="20"/>
          <w:jc w:val="center"/>
        </w:trPr>
        <w:tc>
          <w:tcPr>
            <w:tcW w:w="604" w:type="pct"/>
          </w:tcPr>
          <w:p w14:paraId="7C3A1075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A and O</w:t>
            </w:r>
          </w:p>
        </w:tc>
        <w:tc>
          <w:tcPr>
            <w:tcW w:w="404" w:type="pct"/>
          </w:tcPr>
          <w:p w14:paraId="5A964393" w14:textId="7B6F99CD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EUR</w:t>
            </w:r>
          </w:p>
        </w:tc>
        <w:tc>
          <w:tcPr>
            <w:tcW w:w="656" w:type="pct"/>
          </w:tcPr>
          <w:p w14:paraId="6BD33844" w14:textId="1942B665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46" w:type="pct"/>
          </w:tcPr>
          <w:p w14:paraId="51AB4DF8" w14:textId="0A4A9F70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GACATGTCCTCCTGCATCTGGTTGAT</w:t>
            </w:r>
          </w:p>
        </w:tc>
        <w:tc>
          <w:tcPr>
            <w:tcW w:w="556" w:type="pct"/>
          </w:tcPr>
          <w:p w14:paraId="33DB0EB1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4" w:type="pct"/>
          </w:tcPr>
          <w:p w14:paraId="75CF6FD8" w14:textId="1C01276D" w:rsidR="007D6FF3" w:rsidRPr="00A953EB" w:rsidRDefault="00A953EB" w:rsidP="007D6F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53EB">
              <w:rPr>
                <w:rFonts w:asciiTheme="majorBidi" w:hAnsiTheme="majorBidi" w:cstheme="majorBidi"/>
                <w:sz w:val="18"/>
                <w:szCs w:val="18"/>
              </w:rPr>
              <w:t>1)</w:t>
            </w:r>
          </w:p>
        </w:tc>
      </w:tr>
      <w:tr w:rsidR="00597FD2" w:rsidRPr="007D6FF3" w14:paraId="4F11C2B5" w14:textId="77777777" w:rsidTr="00A953EB">
        <w:trPr>
          <w:trHeight w:val="20"/>
          <w:jc w:val="center"/>
        </w:trPr>
        <w:tc>
          <w:tcPr>
            <w:tcW w:w="604" w:type="pct"/>
            <w:vMerge w:val="restart"/>
          </w:tcPr>
          <w:p w14:paraId="29B2247A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SAT2</w:t>
            </w:r>
          </w:p>
        </w:tc>
        <w:tc>
          <w:tcPr>
            <w:tcW w:w="404" w:type="pct"/>
          </w:tcPr>
          <w:p w14:paraId="322E1903" w14:textId="34B9FBC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288</w:t>
            </w:r>
          </w:p>
        </w:tc>
        <w:tc>
          <w:tcPr>
            <w:tcW w:w="656" w:type="pct"/>
          </w:tcPr>
          <w:p w14:paraId="455B190F" w14:textId="2F5C1151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2146" w:type="pct"/>
          </w:tcPr>
          <w:p w14:paraId="2D8266E0" w14:textId="21228BD4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GTAACCCGCTTTGCCATC</w:t>
            </w:r>
          </w:p>
        </w:tc>
        <w:tc>
          <w:tcPr>
            <w:tcW w:w="556" w:type="pct"/>
            <w:vMerge w:val="restart"/>
          </w:tcPr>
          <w:p w14:paraId="7EB17098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288</w:t>
            </w:r>
          </w:p>
        </w:tc>
        <w:tc>
          <w:tcPr>
            <w:tcW w:w="634" w:type="pct"/>
            <w:vMerge w:val="restart"/>
          </w:tcPr>
          <w:p w14:paraId="78397386" w14:textId="3FDA7D0A" w:rsidR="007D6FF3" w:rsidRPr="00A953EB" w:rsidRDefault="00A953EB" w:rsidP="007D6FF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53EB">
              <w:rPr>
                <w:rFonts w:asciiTheme="majorBidi" w:hAnsiTheme="majorBidi" w:cstheme="majorBidi"/>
                <w:sz w:val="18"/>
                <w:szCs w:val="18"/>
              </w:rPr>
              <w:t>4)</w:t>
            </w:r>
          </w:p>
        </w:tc>
      </w:tr>
      <w:tr w:rsidR="00597FD2" w:rsidRPr="007D6FF3" w14:paraId="7F65D0BA" w14:textId="77777777" w:rsidTr="00A953EB">
        <w:trPr>
          <w:trHeight w:val="92"/>
          <w:jc w:val="center"/>
        </w:trPr>
        <w:tc>
          <w:tcPr>
            <w:tcW w:w="604" w:type="pct"/>
            <w:vMerge/>
          </w:tcPr>
          <w:p w14:paraId="77676A4C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</w:tcPr>
          <w:p w14:paraId="5565EFED" w14:textId="7EF0F528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288</w:t>
            </w:r>
          </w:p>
        </w:tc>
        <w:tc>
          <w:tcPr>
            <w:tcW w:w="656" w:type="pct"/>
          </w:tcPr>
          <w:p w14:paraId="0B3433D3" w14:textId="7A1114FB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46" w:type="pct"/>
          </w:tcPr>
          <w:p w14:paraId="42B23CED" w14:textId="52DD3482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D6FF3">
              <w:rPr>
                <w:rFonts w:asciiTheme="majorBidi" w:hAnsiTheme="majorBidi" w:cstheme="majorBidi"/>
                <w:sz w:val="20"/>
                <w:szCs w:val="20"/>
              </w:rPr>
              <w:t>CGCGTCGAATCTGTCTCTG</w:t>
            </w:r>
          </w:p>
        </w:tc>
        <w:tc>
          <w:tcPr>
            <w:tcW w:w="556" w:type="pct"/>
            <w:vMerge/>
          </w:tcPr>
          <w:p w14:paraId="4AD8242B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60F057D1" w14:textId="77777777" w:rsidR="007D6FF3" w:rsidRPr="007D6FF3" w:rsidRDefault="007D6FF3" w:rsidP="007D6F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FBCEE30" w14:textId="531694AD" w:rsidR="00B51728" w:rsidRPr="00B51728" w:rsidRDefault="00B51728" w:rsidP="00B5172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3480338" w14:textId="69721E07" w:rsidR="00A953EB" w:rsidRPr="00B51728" w:rsidRDefault="00A953EB" w:rsidP="0093688B">
      <w:pPr>
        <w:pStyle w:val="a8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52B95">
        <w:rPr>
          <w:rFonts w:asciiTheme="majorBidi" w:hAnsiTheme="majorBidi" w:cstheme="majorBidi"/>
          <w:sz w:val="24"/>
          <w:szCs w:val="24"/>
          <w:lang w:val="de-DE"/>
        </w:rPr>
        <w:t xml:space="preserve">Algayed MA, Elgendy E, Hagag N, Shahin M, Ibrahim MS. </w:t>
      </w:r>
      <w:r w:rsidRPr="00B51728">
        <w:rPr>
          <w:rFonts w:asciiTheme="majorBidi" w:hAnsiTheme="majorBidi" w:cstheme="majorBidi"/>
          <w:sz w:val="24"/>
          <w:szCs w:val="24"/>
        </w:rPr>
        <w:t>Molecular characterization of FMD virus during 2016-2017 in Egypt.</w:t>
      </w:r>
      <w:r w:rsidR="00307784" w:rsidRPr="00307784">
        <w:t xml:space="preserve"> </w:t>
      </w:r>
      <w:r w:rsidR="00307784" w:rsidRPr="00307784">
        <w:rPr>
          <w:rFonts w:asciiTheme="majorBidi" w:hAnsiTheme="majorBidi" w:cstheme="majorBidi"/>
          <w:sz w:val="24"/>
          <w:szCs w:val="24"/>
        </w:rPr>
        <w:t>Eur J Pharm Med Res</w:t>
      </w:r>
      <w:r w:rsidR="009B1702">
        <w:rPr>
          <w:rFonts w:asciiTheme="majorBidi" w:hAnsiTheme="majorBidi" w:cstheme="majorBidi"/>
          <w:sz w:val="24"/>
          <w:szCs w:val="24"/>
        </w:rPr>
        <w:t xml:space="preserve"> </w:t>
      </w:r>
      <w:r w:rsidR="00307784">
        <w:rPr>
          <w:rFonts w:asciiTheme="majorBidi" w:hAnsiTheme="majorBidi" w:cstheme="majorBidi"/>
          <w:sz w:val="24"/>
          <w:szCs w:val="24"/>
        </w:rPr>
        <w:t xml:space="preserve">5, </w:t>
      </w:r>
      <w:r w:rsidR="00307784" w:rsidRPr="00307784">
        <w:rPr>
          <w:rFonts w:asciiTheme="majorBidi" w:hAnsiTheme="majorBidi" w:cstheme="majorBidi"/>
          <w:sz w:val="24"/>
          <w:szCs w:val="24"/>
        </w:rPr>
        <w:t>90-99</w:t>
      </w:r>
      <w:r w:rsidR="00307784">
        <w:rPr>
          <w:rFonts w:asciiTheme="majorBidi" w:hAnsiTheme="majorBidi" w:cstheme="majorBidi"/>
          <w:sz w:val="24"/>
          <w:szCs w:val="24"/>
        </w:rPr>
        <w:t xml:space="preserve">, </w:t>
      </w:r>
      <w:r w:rsidR="00307784" w:rsidRPr="00307784">
        <w:rPr>
          <w:rFonts w:asciiTheme="majorBidi" w:hAnsiTheme="majorBidi" w:cstheme="majorBidi"/>
          <w:sz w:val="24"/>
          <w:szCs w:val="24"/>
        </w:rPr>
        <w:t>2018</w:t>
      </w:r>
      <w:r w:rsidR="00307784">
        <w:rPr>
          <w:rFonts w:asciiTheme="majorBidi" w:hAnsiTheme="majorBidi" w:cstheme="majorBidi"/>
          <w:sz w:val="24"/>
          <w:szCs w:val="24"/>
        </w:rPr>
        <w:t>.</w:t>
      </w:r>
    </w:p>
    <w:p w14:paraId="75E54518" w14:textId="730D2DA6" w:rsidR="00A953EB" w:rsidRPr="00B51728" w:rsidRDefault="00B51728" w:rsidP="0093688B">
      <w:pPr>
        <w:pStyle w:val="a8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728">
        <w:rPr>
          <w:rFonts w:asciiTheme="majorBidi" w:hAnsiTheme="majorBidi" w:cstheme="majorBidi"/>
          <w:sz w:val="24"/>
          <w:szCs w:val="24"/>
        </w:rPr>
        <w:t>Bachanek-Bankowska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K, Mero HR, Wadsworth J, </w:t>
      </w:r>
      <w:proofErr w:type="spellStart"/>
      <w:r w:rsidRPr="00B51728">
        <w:rPr>
          <w:rFonts w:asciiTheme="majorBidi" w:hAnsiTheme="majorBidi" w:cstheme="majorBidi"/>
          <w:sz w:val="24"/>
          <w:szCs w:val="24"/>
        </w:rPr>
        <w:t>Mioulet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V, </w:t>
      </w:r>
      <w:proofErr w:type="spellStart"/>
      <w:r w:rsidRPr="00B51728">
        <w:rPr>
          <w:rFonts w:asciiTheme="majorBidi" w:hAnsiTheme="majorBidi" w:cstheme="majorBidi"/>
          <w:sz w:val="24"/>
          <w:szCs w:val="24"/>
        </w:rPr>
        <w:t>Sallu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R, </w:t>
      </w:r>
      <w:proofErr w:type="spellStart"/>
      <w:r w:rsidRPr="00B51728">
        <w:rPr>
          <w:rFonts w:asciiTheme="majorBidi" w:hAnsiTheme="majorBidi" w:cstheme="majorBidi"/>
          <w:sz w:val="24"/>
          <w:szCs w:val="24"/>
        </w:rPr>
        <w:t>Belsham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GJ, </w:t>
      </w:r>
      <w:proofErr w:type="spellStart"/>
      <w:r w:rsidRPr="00B51728">
        <w:rPr>
          <w:rFonts w:asciiTheme="majorBidi" w:hAnsiTheme="majorBidi" w:cstheme="majorBidi"/>
          <w:sz w:val="24"/>
          <w:szCs w:val="24"/>
        </w:rPr>
        <w:t>Kasanga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CJ, Knowles NJ, King DP. Development and evaluation of tailored specific Real-Time RT-PCR assays for detection of foot-and-mouth disease virus s</w:t>
      </w:r>
      <w:r w:rsidR="00A953EB" w:rsidRPr="00B51728">
        <w:rPr>
          <w:rFonts w:asciiTheme="majorBidi" w:hAnsiTheme="majorBidi" w:cstheme="majorBidi"/>
          <w:sz w:val="24"/>
          <w:szCs w:val="24"/>
        </w:rPr>
        <w:t>e</w:t>
      </w:r>
      <w:r w:rsidRPr="00B51728">
        <w:rPr>
          <w:rFonts w:asciiTheme="majorBidi" w:hAnsiTheme="majorBidi" w:cstheme="majorBidi"/>
          <w:sz w:val="24"/>
          <w:szCs w:val="24"/>
        </w:rPr>
        <w:t>rotypes c</w:t>
      </w:r>
      <w:r w:rsidR="00A953EB" w:rsidRPr="00B51728">
        <w:rPr>
          <w:rFonts w:asciiTheme="majorBidi" w:hAnsiTheme="majorBidi" w:cstheme="majorBidi"/>
          <w:sz w:val="24"/>
          <w:szCs w:val="24"/>
        </w:rPr>
        <w:t xml:space="preserve">irculating in East Africa. J. </w:t>
      </w:r>
      <w:proofErr w:type="spellStart"/>
      <w:r w:rsidR="00A953EB" w:rsidRPr="00B51728">
        <w:rPr>
          <w:rFonts w:asciiTheme="majorBidi" w:hAnsiTheme="majorBidi" w:cstheme="majorBidi"/>
          <w:sz w:val="24"/>
          <w:szCs w:val="24"/>
        </w:rPr>
        <w:t>Virol</w:t>
      </w:r>
      <w:proofErr w:type="spellEnd"/>
      <w:r w:rsidR="00A953EB" w:rsidRPr="00B51728">
        <w:rPr>
          <w:rFonts w:asciiTheme="majorBidi" w:hAnsiTheme="majorBidi" w:cstheme="majorBidi"/>
          <w:sz w:val="24"/>
          <w:szCs w:val="24"/>
        </w:rPr>
        <w:t>. Methods 237</w:t>
      </w:r>
      <w:r w:rsidRPr="00B51728">
        <w:rPr>
          <w:rFonts w:asciiTheme="majorBidi" w:hAnsiTheme="majorBidi" w:cstheme="majorBidi"/>
          <w:sz w:val="24"/>
          <w:szCs w:val="24"/>
        </w:rPr>
        <w:t xml:space="preserve">, 114–120, 2016. </w:t>
      </w:r>
    </w:p>
    <w:p w14:paraId="4A42A119" w14:textId="16F9487B" w:rsidR="00A953EB" w:rsidRPr="00B51728" w:rsidRDefault="00B51728" w:rsidP="0093688B">
      <w:pPr>
        <w:pStyle w:val="a8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1728">
        <w:rPr>
          <w:rFonts w:asciiTheme="majorBidi" w:hAnsiTheme="majorBidi" w:cstheme="majorBidi"/>
          <w:sz w:val="24"/>
          <w:szCs w:val="24"/>
        </w:rPr>
        <w:t>El-</w:t>
      </w:r>
      <w:proofErr w:type="spellStart"/>
      <w:r w:rsidRPr="00B51728">
        <w:rPr>
          <w:rFonts w:asciiTheme="majorBidi" w:hAnsiTheme="majorBidi" w:cstheme="majorBidi"/>
          <w:sz w:val="24"/>
          <w:szCs w:val="24"/>
        </w:rPr>
        <w:t>Kholy</w:t>
      </w:r>
      <w:proofErr w:type="spellEnd"/>
      <w:r w:rsidRPr="00B51728">
        <w:rPr>
          <w:rFonts w:asciiTheme="majorBidi" w:hAnsiTheme="majorBidi" w:cstheme="majorBidi"/>
          <w:sz w:val="24"/>
          <w:szCs w:val="24"/>
        </w:rPr>
        <w:t xml:space="preserve"> AA, Soliman HM, Helmy NA, Rahman A</w:t>
      </w:r>
      <w:r w:rsidR="00A953EB" w:rsidRPr="00B51728">
        <w:rPr>
          <w:rFonts w:asciiTheme="majorBidi" w:hAnsiTheme="majorBidi" w:cstheme="majorBidi"/>
          <w:sz w:val="24"/>
          <w:szCs w:val="24"/>
        </w:rPr>
        <w:t xml:space="preserve">O. A. </w:t>
      </w:r>
      <w:r w:rsidRPr="00B51728">
        <w:rPr>
          <w:rFonts w:asciiTheme="majorBidi" w:hAnsiTheme="majorBidi" w:cstheme="majorBidi"/>
          <w:sz w:val="24"/>
          <w:szCs w:val="24"/>
        </w:rPr>
        <w:t>genetic identification of the foot-and-mouth d</w:t>
      </w:r>
      <w:r w:rsidR="00A953EB" w:rsidRPr="00B51728">
        <w:rPr>
          <w:rFonts w:asciiTheme="majorBidi" w:hAnsiTheme="majorBidi" w:cstheme="majorBidi"/>
          <w:sz w:val="24"/>
          <w:szCs w:val="24"/>
        </w:rPr>
        <w:t>isea</w:t>
      </w:r>
      <w:r w:rsidRPr="00B51728">
        <w:rPr>
          <w:rFonts w:asciiTheme="majorBidi" w:hAnsiTheme="majorBidi" w:cstheme="majorBidi"/>
          <w:sz w:val="24"/>
          <w:szCs w:val="24"/>
        </w:rPr>
        <w:t>se virus caused 2006 o</w:t>
      </w:r>
      <w:r w:rsidR="00A953EB" w:rsidRPr="00B51728">
        <w:rPr>
          <w:rFonts w:asciiTheme="majorBidi" w:hAnsiTheme="majorBidi" w:cstheme="majorBidi"/>
          <w:sz w:val="24"/>
          <w:szCs w:val="24"/>
        </w:rPr>
        <w:t>utbreak in Egypt. Arab J Biotech</w:t>
      </w:r>
      <w:r w:rsidRPr="00B51728">
        <w:rPr>
          <w:rFonts w:asciiTheme="majorBidi" w:hAnsiTheme="majorBidi" w:cstheme="majorBidi"/>
          <w:sz w:val="24"/>
          <w:szCs w:val="24"/>
        </w:rPr>
        <w:t xml:space="preserve"> </w:t>
      </w:r>
      <w:r w:rsidR="00A953EB" w:rsidRPr="00B51728">
        <w:rPr>
          <w:rFonts w:asciiTheme="majorBidi" w:hAnsiTheme="majorBidi" w:cstheme="majorBidi"/>
          <w:sz w:val="24"/>
          <w:szCs w:val="24"/>
        </w:rPr>
        <w:t>10</w:t>
      </w:r>
      <w:r w:rsidRPr="00B51728">
        <w:rPr>
          <w:rFonts w:asciiTheme="majorBidi" w:hAnsiTheme="majorBidi" w:cstheme="majorBidi"/>
          <w:sz w:val="24"/>
          <w:szCs w:val="24"/>
        </w:rPr>
        <w:t xml:space="preserve">, 193–206, 2007. </w:t>
      </w:r>
    </w:p>
    <w:p w14:paraId="68BDF859" w14:textId="43647500" w:rsidR="00A953EB" w:rsidRPr="00B51728" w:rsidRDefault="00307784" w:rsidP="0093688B">
      <w:pPr>
        <w:pStyle w:val="a8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Ibrahim MS, Ahmed LA, </w:t>
      </w:r>
      <w:proofErr w:type="spellStart"/>
      <w:r>
        <w:rPr>
          <w:rFonts w:asciiTheme="majorBidi" w:hAnsiTheme="majorBidi" w:cstheme="majorBidi"/>
          <w:sz w:val="24"/>
          <w:szCs w:val="24"/>
        </w:rPr>
        <w:t>Kasem</w:t>
      </w:r>
      <w:proofErr w:type="spellEnd"/>
      <w:r w:rsidR="00A953EB" w:rsidRPr="00B51728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Hodhod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AA. Molecular study on foot and mouth disease virus in </w:t>
      </w:r>
      <w:proofErr w:type="spellStart"/>
      <w:r>
        <w:rPr>
          <w:rFonts w:asciiTheme="majorBidi" w:hAnsiTheme="majorBidi" w:cstheme="majorBidi"/>
          <w:sz w:val="24"/>
          <w:szCs w:val="24"/>
        </w:rPr>
        <w:t>Beheira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</w:t>
      </w:r>
      <w:r w:rsidR="00A953EB" w:rsidRPr="00B51728">
        <w:rPr>
          <w:rFonts w:asciiTheme="majorBidi" w:hAnsiTheme="majorBidi" w:cstheme="majorBidi"/>
          <w:sz w:val="24"/>
          <w:szCs w:val="24"/>
        </w:rPr>
        <w:t xml:space="preserve">overnorate, Egypt during 2014. </w:t>
      </w:r>
      <w:r>
        <w:rPr>
          <w:rFonts w:asciiTheme="majorBidi" w:hAnsiTheme="majorBidi" w:cstheme="majorBidi"/>
          <w:sz w:val="24"/>
          <w:szCs w:val="24"/>
        </w:rPr>
        <w:t>Alex. J Vet Sci</w:t>
      </w:r>
      <w:r w:rsidR="00A953EB" w:rsidRPr="00B51728">
        <w:rPr>
          <w:rFonts w:asciiTheme="majorBidi" w:hAnsiTheme="majorBidi" w:cstheme="majorBidi"/>
          <w:sz w:val="24"/>
          <w:szCs w:val="24"/>
        </w:rPr>
        <w:t xml:space="preserve"> 45</w:t>
      </w:r>
      <w:r>
        <w:rPr>
          <w:rFonts w:asciiTheme="majorBidi" w:hAnsiTheme="majorBidi" w:cstheme="majorBidi"/>
          <w:sz w:val="24"/>
          <w:szCs w:val="24"/>
        </w:rPr>
        <w:t>,</w:t>
      </w:r>
      <w:r w:rsidRPr="00307784">
        <w:rPr>
          <w:rFonts w:asciiTheme="majorBidi" w:hAnsiTheme="majorBidi" w:cstheme="majorBidi"/>
          <w:sz w:val="24"/>
          <w:szCs w:val="24"/>
        </w:rPr>
        <w:t xml:space="preserve"> </w:t>
      </w:r>
      <w:r w:rsidRPr="00B51728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3AAD4D2" w14:textId="017564C7" w:rsidR="00A953EB" w:rsidRPr="00B51728" w:rsidRDefault="00A953EB" w:rsidP="0093688B">
      <w:pPr>
        <w:pStyle w:val="a8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1728">
        <w:rPr>
          <w:rFonts w:asciiTheme="majorBidi" w:hAnsiTheme="majorBidi" w:cstheme="majorBidi"/>
          <w:sz w:val="24"/>
          <w:szCs w:val="24"/>
        </w:rPr>
        <w:fldChar w:fldCharType="begin"/>
      </w:r>
      <w:r w:rsidRPr="00B51728">
        <w:rPr>
          <w:rFonts w:asciiTheme="majorBidi" w:hAnsiTheme="majorBidi" w:cstheme="majorBidi"/>
          <w:sz w:val="24"/>
          <w:szCs w:val="24"/>
        </w:rPr>
        <w:instrText xml:space="preserve"> ADDIN ZOTERO_BIBL {"uncited":[],"omitted":[],"custom":[]} CSL_BIBLIOGRAPHY </w:instrText>
      </w:r>
      <w:r w:rsidRPr="00B51728">
        <w:rPr>
          <w:rFonts w:asciiTheme="majorBidi" w:hAnsiTheme="majorBidi" w:cstheme="majorBidi"/>
          <w:sz w:val="24"/>
          <w:szCs w:val="24"/>
        </w:rPr>
        <w:fldChar w:fldCharType="separate"/>
      </w:r>
      <w:r w:rsidR="00307784">
        <w:rPr>
          <w:rFonts w:asciiTheme="majorBidi" w:hAnsiTheme="majorBidi" w:cstheme="majorBidi"/>
          <w:sz w:val="24"/>
          <w:szCs w:val="24"/>
        </w:rPr>
        <w:t>Reid SM, Ferris NP, Hutchings GH, Samuel AR, Knowles NJ. Primary diagnosis of foot-and-mouth disease by reverse transcription polymerase chain r</w:t>
      </w:r>
      <w:r w:rsidRPr="00B51728">
        <w:rPr>
          <w:rFonts w:asciiTheme="majorBidi" w:hAnsiTheme="majorBidi" w:cstheme="majorBidi"/>
          <w:sz w:val="24"/>
          <w:szCs w:val="24"/>
        </w:rPr>
        <w:t>eaction. J. Virol. Methods 89</w:t>
      </w:r>
      <w:r w:rsidR="00307784">
        <w:rPr>
          <w:rFonts w:asciiTheme="majorBidi" w:hAnsiTheme="majorBidi" w:cstheme="majorBidi"/>
          <w:sz w:val="24"/>
          <w:szCs w:val="24"/>
        </w:rPr>
        <w:t xml:space="preserve">, 167–176, </w:t>
      </w:r>
      <w:r w:rsidR="00307784" w:rsidRPr="00B51728">
        <w:rPr>
          <w:rFonts w:asciiTheme="majorBidi" w:hAnsiTheme="majorBidi" w:cstheme="majorBidi"/>
          <w:sz w:val="24"/>
          <w:szCs w:val="24"/>
        </w:rPr>
        <w:t>2000</w:t>
      </w:r>
      <w:r w:rsidR="00307784">
        <w:rPr>
          <w:rFonts w:asciiTheme="majorBidi" w:hAnsiTheme="majorBidi" w:cstheme="majorBidi"/>
          <w:sz w:val="24"/>
          <w:szCs w:val="24"/>
        </w:rPr>
        <w:t>.</w:t>
      </w:r>
    </w:p>
    <w:p w14:paraId="0CD15B73" w14:textId="55E2BDCA" w:rsidR="00A953EB" w:rsidRPr="00B51728" w:rsidRDefault="00A953EB" w:rsidP="0093688B">
      <w:pPr>
        <w:pStyle w:val="a8"/>
        <w:spacing w:line="276" w:lineRule="auto"/>
        <w:ind w:hanging="360"/>
        <w:rPr>
          <w:rFonts w:asciiTheme="majorBidi" w:hAnsiTheme="majorBidi" w:cstheme="majorBidi"/>
          <w:sz w:val="24"/>
          <w:szCs w:val="24"/>
        </w:rPr>
      </w:pPr>
      <w:r w:rsidRPr="00B51728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A953EB" w:rsidRPr="00B51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2056"/>
    <w:multiLevelType w:val="hybridMultilevel"/>
    <w:tmpl w:val="B4D0063E"/>
    <w:lvl w:ilvl="0" w:tplc="E468E8D0">
      <w:start w:val="1"/>
      <w:numFmt w:val="decimal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054D5"/>
    <w:multiLevelType w:val="hybridMultilevel"/>
    <w:tmpl w:val="AE1845A0"/>
    <w:lvl w:ilvl="0" w:tplc="515EE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7A"/>
    <w:rsid w:val="002A1170"/>
    <w:rsid w:val="00307784"/>
    <w:rsid w:val="00325251"/>
    <w:rsid w:val="003A6DFB"/>
    <w:rsid w:val="00597FD2"/>
    <w:rsid w:val="005E00A0"/>
    <w:rsid w:val="0063307A"/>
    <w:rsid w:val="006331D2"/>
    <w:rsid w:val="00731793"/>
    <w:rsid w:val="00774EC1"/>
    <w:rsid w:val="007758CD"/>
    <w:rsid w:val="007D6FF3"/>
    <w:rsid w:val="00807FFA"/>
    <w:rsid w:val="008F7DE6"/>
    <w:rsid w:val="0093688B"/>
    <w:rsid w:val="009B1702"/>
    <w:rsid w:val="00A74FCE"/>
    <w:rsid w:val="00A953EB"/>
    <w:rsid w:val="00B51728"/>
    <w:rsid w:val="00C52B95"/>
    <w:rsid w:val="00CE7F45"/>
    <w:rsid w:val="00CF6EDD"/>
    <w:rsid w:val="00D6342A"/>
    <w:rsid w:val="00D67142"/>
    <w:rsid w:val="00F3335C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8841B"/>
  <w15:chartTrackingRefBased/>
  <w15:docId w15:val="{49190871-556F-4EB3-8135-2A701EB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">
    <w:name w:val="A7"/>
    <w:uiPriority w:val="99"/>
    <w:rsid w:val="00807FFA"/>
    <w:rPr>
      <w:color w:val="000000"/>
      <w:sz w:val="12"/>
      <w:szCs w:val="12"/>
    </w:rPr>
  </w:style>
  <w:style w:type="table" w:styleId="a3">
    <w:name w:val="Table Grid"/>
    <w:basedOn w:val="a1"/>
    <w:uiPriority w:val="39"/>
    <w:rsid w:val="00F3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FF3"/>
    <w:rPr>
      <w:rFonts w:ascii="Segoe UI" w:hAnsi="Segoe UI" w:cs="Segoe UI"/>
      <w:sz w:val="18"/>
      <w:szCs w:val="18"/>
    </w:rPr>
  </w:style>
  <w:style w:type="paragraph" w:styleId="a6">
    <w:name w:val="Bibliography"/>
    <w:basedOn w:val="a"/>
    <w:next w:val="a"/>
    <w:uiPriority w:val="37"/>
    <w:unhideWhenUsed/>
    <w:rsid w:val="00A953EB"/>
    <w:pPr>
      <w:tabs>
        <w:tab w:val="left" w:pos="504"/>
      </w:tabs>
      <w:spacing w:after="0" w:line="240" w:lineRule="auto"/>
      <w:ind w:left="504" w:hanging="504"/>
    </w:pPr>
  </w:style>
  <w:style w:type="paragraph" w:styleId="a8">
    <w:name w:val="List Paragraph"/>
    <w:basedOn w:val="a"/>
    <w:uiPriority w:val="34"/>
    <w:qFormat/>
    <w:rsid w:val="00B5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Omniya</dc:creator>
  <cp:keywords/>
  <dc:description/>
  <cp:lastModifiedBy>本間　静一郎</cp:lastModifiedBy>
  <cp:revision>11</cp:revision>
  <dcterms:created xsi:type="dcterms:W3CDTF">2020-08-04T20:11:00Z</dcterms:created>
  <dcterms:modified xsi:type="dcterms:W3CDTF">2020-12-08T06:47:00Z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id="dfdy1PaX"/&gt;&lt;style id="http://www.zotero.org/styles/american-chemical-society"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