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D774" w14:textId="77777777" w:rsidR="000F31E2" w:rsidRPr="00861F79" w:rsidRDefault="000F31E2" w:rsidP="000F31E2">
      <w:pPr>
        <w:widowControl/>
        <w:rPr>
          <w:rFonts w:ascii="Arial" w:hAnsi="Arial" w:cs="Arial"/>
          <w:b/>
          <w:color w:val="000000" w:themeColor="text1"/>
          <w:sz w:val="22"/>
        </w:rPr>
      </w:pPr>
      <w:bookmarkStart w:id="0" w:name="_GoBack"/>
      <w:bookmarkEnd w:id="0"/>
      <w:r w:rsidRPr="00861F79">
        <w:rPr>
          <w:rFonts w:ascii="Arial" w:hAnsi="Arial" w:cs="Arial"/>
          <w:b/>
          <w:color w:val="000000" w:themeColor="text1"/>
          <w:sz w:val="22"/>
        </w:rPr>
        <w:t>Supplementary Figure Legends</w:t>
      </w:r>
    </w:p>
    <w:p w14:paraId="22F82F58" w14:textId="77777777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S1.</w:t>
      </w:r>
    </w:p>
    <w:p w14:paraId="6BEAD41C" w14:textId="43B3C137" w:rsidR="00562ACA" w:rsidRPr="00861F79" w:rsidRDefault="00B14BCB" w:rsidP="000F31E2">
      <w:pPr>
        <w:widowControl/>
        <w:rPr>
          <w:rFonts w:asciiTheme="majorHAnsi" w:hAnsiTheme="majorHAnsi" w:cstheme="majorHAnsi"/>
          <w:color w:val="000000" w:themeColor="text1"/>
          <w:sz w:val="22"/>
        </w:rPr>
      </w:pPr>
      <w:r w:rsidRPr="00861F79">
        <w:rPr>
          <w:rFonts w:asciiTheme="majorHAnsi" w:hAnsiTheme="majorHAnsi" w:cstheme="majorHAnsi"/>
          <w:color w:val="000000" w:themeColor="text1"/>
          <w:sz w:val="22"/>
        </w:rPr>
        <w:t>Combined inhibition of BET and WEE1 produces synergistic cytotoxicity in NSCLC cell lines. Dose-response curves of the viability of 5 NSCLC cell lines, A549, H1299, H1975, H460, and H520, treated with JQ1 and AZD1775 (</w:t>
      </w:r>
      <w:r w:rsidRPr="00861F79">
        <w:rPr>
          <w:rFonts w:asciiTheme="majorHAnsi" w:hAnsiTheme="majorHAnsi" w:cstheme="majorHAnsi"/>
          <w:b/>
          <w:color w:val="000000" w:themeColor="text1"/>
          <w:sz w:val="22"/>
        </w:rPr>
        <w:t>A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) or AZD5153 and AZD1775 (</w:t>
      </w:r>
      <w:r w:rsidRPr="00861F79">
        <w:rPr>
          <w:rFonts w:asciiTheme="majorHAnsi" w:hAnsiTheme="majorHAnsi" w:cstheme="majorHAnsi"/>
          <w:b/>
          <w:color w:val="000000" w:themeColor="text1"/>
          <w:sz w:val="22"/>
        </w:rPr>
        <w:t>B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); cell viability was measured using MTT cell-proliferation assay. Circles: mean values (</w:t>
      </w:r>
      <w:r w:rsidRPr="00861F79">
        <w:rPr>
          <w:rFonts w:asciiTheme="majorHAnsi" w:hAnsiTheme="majorHAnsi" w:cstheme="majorHAnsi"/>
          <w:i/>
          <w:color w:val="000000" w:themeColor="text1"/>
          <w:sz w:val="22"/>
        </w:rPr>
        <w:t>n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 = 4/group); bars: SD.</w:t>
      </w:r>
    </w:p>
    <w:p w14:paraId="13DF915C" w14:textId="13458225" w:rsidR="00562ACA" w:rsidRPr="00861F79" w:rsidRDefault="00562ACA" w:rsidP="000F31E2">
      <w:pPr>
        <w:widowControl/>
        <w:rPr>
          <w:rFonts w:asciiTheme="majorHAnsi" w:hAnsiTheme="majorHAnsi" w:cstheme="majorHAnsi"/>
          <w:color w:val="000000" w:themeColor="text1"/>
          <w:sz w:val="22"/>
        </w:rPr>
      </w:pPr>
    </w:p>
    <w:p w14:paraId="6C9E6EF3" w14:textId="1A0378DC" w:rsidR="00562ACA" w:rsidRPr="00861F79" w:rsidRDefault="00562ACA" w:rsidP="000F31E2">
      <w:pPr>
        <w:widowControl/>
        <w:rPr>
          <w:rFonts w:asciiTheme="majorHAnsi" w:hAnsiTheme="majorHAnsi" w:cstheme="majorHAnsi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B14BCB" w:rsidRPr="00861F79">
        <w:rPr>
          <w:rFonts w:ascii="Arial" w:hAnsi="Arial" w:cs="Arial"/>
          <w:b/>
          <w:color w:val="000000" w:themeColor="text1"/>
          <w:sz w:val="22"/>
        </w:rPr>
        <w:t>2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263D1145" w14:textId="49AAC964" w:rsidR="000F31E2" w:rsidRPr="00861F79" w:rsidRDefault="003278A4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Pr="00861F79">
        <w:rPr>
          <w:rFonts w:asciiTheme="majorHAnsi" w:hAnsiTheme="majorHAnsi" w:cstheme="majorHAnsi"/>
          <w:b/>
          <w:color w:val="000000" w:themeColor="text1"/>
          <w:sz w:val="22"/>
        </w:rPr>
        <w:t>A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) Dose-response curves of the viability of H1299 cells transfected BRD4 siRNA or </w:t>
      </w:r>
      <w:r w:rsidR="00B14BCB" w:rsidRPr="00861F79">
        <w:rPr>
          <w:rFonts w:asciiTheme="majorHAnsi" w:hAnsiTheme="majorHAnsi" w:cstheme="majorHAnsi"/>
          <w:color w:val="000000" w:themeColor="text1"/>
          <w:sz w:val="22"/>
        </w:rPr>
        <w:t>n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on</w:t>
      </w:r>
      <w:r w:rsidR="00B14BCB" w:rsidRPr="00861F79">
        <w:rPr>
          <w:rFonts w:asciiTheme="majorHAnsi" w:hAnsiTheme="majorHAnsi" w:cstheme="majorHAnsi"/>
          <w:color w:val="000000" w:themeColor="text1"/>
          <w:sz w:val="22"/>
        </w:rPr>
        <w:t>-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target (NT) siRNA followed by AZD1775 administration. Circles: mean values (</w:t>
      </w:r>
      <w:r w:rsidRPr="00861F79">
        <w:rPr>
          <w:rFonts w:asciiTheme="majorHAnsi" w:hAnsiTheme="majorHAnsi" w:cstheme="majorHAnsi"/>
          <w:i/>
          <w:color w:val="000000" w:themeColor="text1"/>
          <w:sz w:val="22"/>
        </w:rPr>
        <w:t>n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 = 4/group); bars: SD. *</w:t>
      </w:r>
      <w:r w:rsidRPr="00861F79">
        <w:rPr>
          <w:rFonts w:asciiTheme="majorHAnsi" w:hAnsiTheme="majorHAnsi" w:cstheme="majorHAnsi"/>
          <w:i/>
          <w:color w:val="000000" w:themeColor="text1"/>
          <w:sz w:val="22"/>
        </w:rPr>
        <w:t>P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 &lt; 0.05, Welch </w:t>
      </w:r>
      <w:r w:rsidRPr="00861F79">
        <w:rPr>
          <w:rFonts w:asciiTheme="majorHAnsi" w:hAnsiTheme="majorHAnsi" w:cstheme="majorHAnsi"/>
          <w:i/>
          <w:color w:val="000000" w:themeColor="text1"/>
          <w:sz w:val="22"/>
        </w:rPr>
        <w:t>t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 test. (</w:t>
      </w:r>
      <w:r w:rsidRPr="00861F79">
        <w:rPr>
          <w:rFonts w:asciiTheme="majorHAnsi" w:hAnsiTheme="majorHAnsi" w:cstheme="majorHAnsi"/>
          <w:b/>
          <w:color w:val="000000" w:themeColor="text1"/>
          <w:sz w:val="22"/>
        </w:rPr>
        <w:t>B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) Western blotting results showing the efficiency of BRD4 knockdown through RNA interference.</w:t>
      </w:r>
      <w:r w:rsidRPr="00861F79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="000B615D" w:rsidRPr="00861F79">
        <w:rPr>
          <w:rFonts w:ascii="Arial" w:hAnsi="Arial" w:cs="Arial"/>
          <w:color w:val="000000" w:themeColor="text1"/>
          <w:sz w:val="22"/>
        </w:rPr>
        <w:t xml:space="preserve">The images of BRD4 and actin bands originate from Supplementary Figure S4C. 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Pr="00861F79">
        <w:rPr>
          <w:rFonts w:asciiTheme="majorHAnsi" w:hAnsiTheme="majorHAnsi" w:cstheme="majorHAnsi"/>
          <w:b/>
          <w:color w:val="000000" w:themeColor="text1"/>
          <w:sz w:val="22"/>
        </w:rPr>
        <w:t>C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)</w:t>
      </w:r>
      <w:r w:rsidR="000F31E2" w:rsidRPr="00861F79">
        <w:rPr>
          <w:rFonts w:ascii="Arial" w:hAnsi="Arial" w:cs="Arial"/>
          <w:color w:val="000000" w:themeColor="text1"/>
          <w:sz w:val="22"/>
        </w:rPr>
        <w:t xml:space="preserve"> Dose-response curves </w:t>
      </w:r>
      <w:r w:rsidR="00B14BCB" w:rsidRPr="00861F79">
        <w:rPr>
          <w:rFonts w:ascii="Arial" w:hAnsi="Arial" w:cs="Arial"/>
          <w:color w:val="000000" w:themeColor="text1"/>
          <w:sz w:val="22"/>
        </w:rPr>
        <w:t xml:space="preserve">of the viability of non-tumorigenic 293T cells </w:t>
      </w:r>
      <w:r w:rsidR="00B14BCB" w:rsidRPr="00861F79">
        <w:rPr>
          <w:rFonts w:asciiTheme="majorHAnsi" w:hAnsiTheme="majorHAnsi" w:cstheme="majorHAnsi"/>
          <w:color w:val="000000" w:themeColor="text1"/>
          <w:sz w:val="22"/>
        </w:rPr>
        <w:t>treated with JQ1 and AZD1775; cell viability was measured using MTT cell-proliferation assay. Circles: mean values (</w:t>
      </w:r>
      <w:r w:rsidR="00B14BCB" w:rsidRPr="00861F79">
        <w:rPr>
          <w:rFonts w:asciiTheme="majorHAnsi" w:hAnsiTheme="majorHAnsi" w:cstheme="majorHAnsi"/>
          <w:i/>
          <w:color w:val="000000" w:themeColor="text1"/>
          <w:sz w:val="22"/>
        </w:rPr>
        <w:t>n</w:t>
      </w:r>
      <w:r w:rsidR="00B14BCB" w:rsidRPr="00861F79">
        <w:rPr>
          <w:rFonts w:asciiTheme="majorHAnsi" w:hAnsiTheme="majorHAnsi" w:cstheme="majorHAnsi"/>
          <w:color w:val="000000" w:themeColor="text1"/>
          <w:sz w:val="22"/>
        </w:rPr>
        <w:t xml:space="preserve"> = 4/group); bars: SD.</w:t>
      </w:r>
      <w:r w:rsidR="000F31E2" w:rsidRPr="00861F79">
        <w:rPr>
          <w:rFonts w:ascii="Arial" w:hAnsi="Arial" w:cs="Arial"/>
          <w:color w:val="000000" w:themeColor="text1"/>
          <w:sz w:val="22"/>
        </w:rPr>
        <w:t xml:space="preserve"> CI, Combination index; Fa, Fraction affected.</w:t>
      </w:r>
    </w:p>
    <w:p w14:paraId="0FCC56CA" w14:textId="77777777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2D2A4B3E" w14:textId="1E2EB38B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621361" w:rsidRPr="00861F79">
        <w:rPr>
          <w:rFonts w:ascii="Arial" w:hAnsi="Arial" w:cs="Arial"/>
          <w:b/>
          <w:color w:val="000000" w:themeColor="text1"/>
          <w:sz w:val="22"/>
        </w:rPr>
        <w:t>3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4A95446B" w14:textId="544C55D0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color w:val="000000" w:themeColor="text1"/>
          <w:sz w:val="22"/>
        </w:rPr>
        <w:t xml:space="preserve">Combined inhibition of BET and WEE1 induces apoptosis. </w:t>
      </w:r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="00F00A7E" w:rsidRPr="00861F79">
        <w:rPr>
          <w:rFonts w:asciiTheme="majorHAnsi" w:hAnsiTheme="majorHAnsi" w:cstheme="majorHAnsi"/>
          <w:b/>
          <w:color w:val="000000" w:themeColor="text1"/>
          <w:sz w:val="22"/>
        </w:rPr>
        <w:t>A</w:t>
      </w:r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 xml:space="preserve">) </w:t>
      </w:r>
      <w:r w:rsidR="00580350" w:rsidRPr="00861F79">
        <w:rPr>
          <w:rFonts w:ascii="Arial" w:hAnsi="Arial" w:cs="Arial"/>
          <w:color w:val="000000" w:themeColor="text1"/>
          <w:sz w:val="22"/>
        </w:rPr>
        <w:t>Representative image</w:t>
      </w:r>
      <w:r w:rsidR="00347B38" w:rsidRPr="00861F79">
        <w:rPr>
          <w:rFonts w:ascii="Arial" w:hAnsi="Arial" w:cs="Arial"/>
          <w:color w:val="000000" w:themeColor="text1"/>
          <w:sz w:val="22"/>
        </w:rPr>
        <w:t>s</w:t>
      </w:r>
      <w:r w:rsidR="00580350" w:rsidRPr="00861F79">
        <w:rPr>
          <w:rFonts w:ascii="Arial" w:hAnsi="Arial" w:cs="Arial"/>
          <w:color w:val="000000" w:themeColor="text1"/>
          <w:sz w:val="22"/>
        </w:rPr>
        <w:t xml:space="preserve"> of</w:t>
      </w:r>
      <w:r w:rsidR="00F00A7E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="0038786E" w:rsidRPr="00861F79">
        <w:rPr>
          <w:rFonts w:ascii="Arial" w:hAnsi="Arial" w:cs="Arial"/>
          <w:color w:val="000000" w:themeColor="text1"/>
          <w:sz w:val="22"/>
        </w:rPr>
        <w:t xml:space="preserve">flow cytometry for </w:t>
      </w:r>
      <w:r w:rsidR="00F00A7E" w:rsidRPr="00861F79">
        <w:rPr>
          <w:rFonts w:ascii="Arial" w:hAnsi="Arial" w:cs="Arial"/>
          <w:color w:val="000000" w:themeColor="text1"/>
          <w:sz w:val="22"/>
        </w:rPr>
        <w:t xml:space="preserve">apoptosis </w:t>
      </w:r>
      <w:r w:rsidR="002A74B1" w:rsidRPr="00861F79">
        <w:rPr>
          <w:rFonts w:ascii="Arial" w:hAnsi="Arial" w:cs="Arial"/>
          <w:color w:val="000000" w:themeColor="text1"/>
          <w:sz w:val="22"/>
        </w:rPr>
        <w:t xml:space="preserve">in A549 cells treated with </w:t>
      </w:r>
      <w:r w:rsidR="00F00A7E" w:rsidRPr="00861F79">
        <w:rPr>
          <w:rFonts w:ascii="Arial" w:hAnsi="Arial" w:cs="Arial"/>
          <w:color w:val="000000" w:themeColor="text1"/>
          <w:sz w:val="22"/>
        </w:rPr>
        <w:t>indicated compounds</w:t>
      </w:r>
      <w:r w:rsidR="002A74B1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 xml:space="preserve">(at 1.0 </w:t>
      </w:r>
      <w:proofErr w:type="spellStart"/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>μmol</w:t>
      </w:r>
      <w:proofErr w:type="spellEnd"/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>/L) or vehicle</w:t>
      </w:r>
      <w:r w:rsidR="002A74B1" w:rsidRPr="00861F79">
        <w:rPr>
          <w:rFonts w:asciiTheme="majorHAnsi" w:hAnsiTheme="majorHAnsi" w:cstheme="majorHAnsi"/>
          <w:color w:val="000000" w:themeColor="text1"/>
          <w:sz w:val="22"/>
        </w:rPr>
        <w:t xml:space="preserve"> for 72 h</w:t>
      </w:r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 xml:space="preserve">. </w:t>
      </w:r>
      <w:r w:rsidR="005A0A0C" w:rsidRPr="00861F79">
        <w:rPr>
          <w:rFonts w:asciiTheme="majorHAnsi" w:hAnsiTheme="majorHAnsi" w:cstheme="majorHAnsi"/>
          <w:color w:val="000000" w:themeColor="text1"/>
          <w:sz w:val="22"/>
        </w:rPr>
        <w:t>Bar charts showing percentages of apoptotic cells among H1299 (</w:t>
      </w:r>
      <w:r w:rsidR="005A0A0C" w:rsidRPr="00861F79">
        <w:rPr>
          <w:rFonts w:asciiTheme="majorHAnsi" w:hAnsiTheme="majorHAnsi" w:cstheme="majorHAnsi"/>
          <w:b/>
          <w:color w:val="000000" w:themeColor="text1"/>
          <w:sz w:val="22"/>
        </w:rPr>
        <w:t>B</w:t>
      </w:r>
      <w:r w:rsidR="005A0A0C" w:rsidRPr="00861F79">
        <w:rPr>
          <w:rFonts w:asciiTheme="majorHAnsi" w:hAnsiTheme="majorHAnsi" w:cstheme="majorHAnsi"/>
          <w:color w:val="000000" w:themeColor="text1"/>
          <w:sz w:val="22"/>
        </w:rPr>
        <w:t>), and H1975 (</w:t>
      </w:r>
      <w:r w:rsidR="005A0A0C" w:rsidRPr="00861F79">
        <w:rPr>
          <w:rFonts w:asciiTheme="majorHAnsi" w:hAnsiTheme="majorHAnsi" w:cstheme="majorHAnsi"/>
          <w:b/>
          <w:color w:val="000000" w:themeColor="text1"/>
          <w:sz w:val="22"/>
        </w:rPr>
        <w:t>C</w:t>
      </w:r>
      <w:r w:rsidR="005A0A0C" w:rsidRPr="00861F79">
        <w:rPr>
          <w:rFonts w:asciiTheme="majorHAnsi" w:hAnsiTheme="majorHAnsi" w:cstheme="majorHAnsi"/>
          <w:color w:val="000000" w:themeColor="text1"/>
          <w:sz w:val="22"/>
        </w:rPr>
        <w:t>) cells after 72</w:t>
      </w:r>
      <w:r w:rsidR="007B0227" w:rsidRPr="00861F79">
        <w:rPr>
          <w:rFonts w:asciiTheme="majorHAnsi" w:hAnsiTheme="majorHAnsi" w:cstheme="majorHAnsi"/>
          <w:color w:val="000000" w:themeColor="text1"/>
          <w:sz w:val="22"/>
        </w:rPr>
        <w:t xml:space="preserve"> </w:t>
      </w:r>
      <w:r w:rsidR="005A0A0C" w:rsidRPr="00861F79">
        <w:rPr>
          <w:rFonts w:asciiTheme="majorHAnsi" w:hAnsiTheme="majorHAnsi" w:cstheme="majorHAnsi"/>
          <w:color w:val="000000" w:themeColor="text1"/>
          <w:sz w:val="22"/>
        </w:rPr>
        <w:t>h treatment with JQ1, AZD1775, or their combination. Apoptotic-cell percentages were determined using flow cytometry and Annexin V/PI double staining. Boxes: mean values (</w:t>
      </w:r>
      <w:r w:rsidR="005A0A0C" w:rsidRPr="00861F79">
        <w:rPr>
          <w:rFonts w:asciiTheme="majorHAnsi" w:hAnsiTheme="majorHAnsi" w:cstheme="majorHAnsi"/>
          <w:i/>
          <w:color w:val="000000" w:themeColor="text1"/>
          <w:sz w:val="22"/>
        </w:rPr>
        <w:t>n</w:t>
      </w:r>
      <w:r w:rsidR="005A0A0C" w:rsidRPr="00861F79">
        <w:rPr>
          <w:rFonts w:asciiTheme="majorHAnsi" w:hAnsiTheme="majorHAnsi" w:cstheme="majorHAnsi"/>
          <w:color w:val="000000" w:themeColor="text1"/>
          <w:sz w:val="22"/>
        </w:rPr>
        <w:t xml:space="preserve"> = 3/group); error bars: SD. *</w:t>
      </w:r>
      <w:r w:rsidR="005A0A0C" w:rsidRPr="00861F79">
        <w:rPr>
          <w:rFonts w:asciiTheme="majorHAnsi" w:hAnsiTheme="majorHAnsi" w:cstheme="majorHAnsi"/>
          <w:i/>
          <w:color w:val="000000" w:themeColor="text1"/>
          <w:sz w:val="22"/>
        </w:rPr>
        <w:t>P</w:t>
      </w:r>
      <w:r w:rsidR="005A0A0C" w:rsidRPr="00861F79">
        <w:rPr>
          <w:rFonts w:asciiTheme="majorHAnsi" w:hAnsiTheme="majorHAnsi" w:cstheme="majorHAnsi"/>
          <w:color w:val="000000" w:themeColor="text1"/>
          <w:sz w:val="22"/>
        </w:rPr>
        <w:t xml:space="preserve"> &lt; 0.05, Welch </w:t>
      </w:r>
      <w:r w:rsidR="005A0A0C" w:rsidRPr="00861F79">
        <w:rPr>
          <w:rFonts w:asciiTheme="majorHAnsi" w:hAnsiTheme="majorHAnsi" w:cstheme="majorHAnsi"/>
          <w:i/>
          <w:color w:val="000000" w:themeColor="text1"/>
          <w:sz w:val="22"/>
        </w:rPr>
        <w:t>t</w:t>
      </w:r>
      <w:r w:rsidR="005A0A0C" w:rsidRPr="00861F79">
        <w:rPr>
          <w:rFonts w:asciiTheme="majorHAnsi" w:hAnsiTheme="majorHAnsi" w:cstheme="majorHAnsi"/>
          <w:color w:val="000000" w:themeColor="text1"/>
          <w:sz w:val="22"/>
        </w:rPr>
        <w:t xml:space="preserve"> test. </w:t>
      </w:r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="00F00A7E" w:rsidRPr="00861F79">
        <w:rPr>
          <w:rFonts w:asciiTheme="majorHAnsi" w:hAnsiTheme="majorHAnsi" w:cstheme="majorHAnsi"/>
          <w:b/>
          <w:color w:val="000000" w:themeColor="text1"/>
          <w:sz w:val="22"/>
        </w:rPr>
        <w:t>D</w:t>
      </w:r>
      <w:r w:rsidR="00F00A7E" w:rsidRPr="00861F79">
        <w:rPr>
          <w:rFonts w:asciiTheme="majorHAnsi" w:hAnsiTheme="majorHAnsi" w:cstheme="majorHAnsi"/>
          <w:color w:val="000000" w:themeColor="text1"/>
          <w:sz w:val="22"/>
        </w:rPr>
        <w:t xml:space="preserve">) </w:t>
      </w:r>
      <w:r w:rsidRPr="00861F79">
        <w:rPr>
          <w:rFonts w:ascii="Arial" w:hAnsi="Arial" w:cs="Arial"/>
          <w:color w:val="000000" w:themeColor="text1"/>
          <w:sz w:val="22"/>
        </w:rPr>
        <w:lastRenderedPageBreak/>
        <w:t>Western blotting analysis of cleaved PARP and cleaved caspase-3 in A549 cells treated with indicated compounds or vehicle for 72 h.</w:t>
      </w:r>
    </w:p>
    <w:p w14:paraId="5B6E8DDE" w14:textId="77777777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3B45650D" w14:textId="2F7A8587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621361" w:rsidRPr="00861F79">
        <w:rPr>
          <w:rFonts w:ascii="Arial" w:hAnsi="Arial" w:cs="Arial"/>
          <w:b/>
          <w:color w:val="000000" w:themeColor="text1"/>
          <w:sz w:val="22"/>
        </w:rPr>
        <w:t>4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704270AC" w14:textId="7D42415C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color w:val="000000" w:themeColor="text1"/>
          <w:sz w:val="22"/>
        </w:rPr>
        <w:t xml:space="preserve">Combined inhibition of BET and WEE1 induces DNA double-strand breaks. Western blotting analysis of γH2AX in cells treated with </w:t>
      </w:r>
      <w:r w:rsidR="00873BEE" w:rsidRPr="00861F79">
        <w:rPr>
          <w:rFonts w:ascii="Arial" w:hAnsi="Arial" w:cs="Arial"/>
          <w:color w:val="000000" w:themeColor="text1"/>
          <w:sz w:val="22"/>
        </w:rPr>
        <w:t xml:space="preserve">JQ1 and AZD1775 </w:t>
      </w:r>
      <w:r w:rsidR="00873BEE"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="00873BEE" w:rsidRPr="00861F79">
        <w:rPr>
          <w:rFonts w:asciiTheme="majorHAnsi" w:hAnsiTheme="majorHAnsi" w:cstheme="majorHAnsi"/>
          <w:b/>
          <w:color w:val="000000" w:themeColor="text1"/>
          <w:sz w:val="22"/>
        </w:rPr>
        <w:t>A</w:t>
      </w:r>
      <w:r w:rsidR="00873BEE" w:rsidRPr="00861F79">
        <w:rPr>
          <w:rFonts w:asciiTheme="majorHAnsi" w:hAnsiTheme="majorHAnsi" w:cstheme="majorHAnsi"/>
          <w:color w:val="000000" w:themeColor="text1"/>
          <w:sz w:val="22"/>
        </w:rPr>
        <w:t>) or</w:t>
      </w:r>
      <w:r w:rsidR="00873BEE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Pr="00861F79">
        <w:rPr>
          <w:rFonts w:ascii="Arial" w:hAnsi="Arial" w:cs="Arial"/>
          <w:color w:val="000000" w:themeColor="text1"/>
          <w:sz w:val="22"/>
        </w:rPr>
        <w:t>AZD5153 and AZD1775</w:t>
      </w:r>
      <w:r w:rsidR="00873BEE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="00873BEE"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="00873BEE" w:rsidRPr="00861F79">
        <w:rPr>
          <w:rFonts w:asciiTheme="majorHAnsi" w:hAnsiTheme="majorHAnsi" w:cstheme="majorHAnsi"/>
          <w:b/>
          <w:color w:val="000000" w:themeColor="text1"/>
          <w:sz w:val="22"/>
        </w:rPr>
        <w:t>B</w:t>
      </w:r>
      <w:r w:rsidR="00873BEE" w:rsidRPr="00861F79">
        <w:rPr>
          <w:rFonts w:asciiTheme="majorHAnsi" w:hAnsiTheme="majorHAnsi" w:cstheme="majorHAnsi"/>
          <w:color w:val="000000" w:themeColor="text1"/>
          <w:sz w:val="22"/>
        </w:rPr>
        <w:t>)</w:t>
      </w:r>
      <w:r w:rsidRPr="00861F79">
        <w:rPr>
          <w:rFonts w:ascii="Arial" w:hAnsi="Arial" w:cs="Arial"/>
          <w:color w:val="000000" w:themeColor="text1"/>
          <w:sz w:val="22"/>
        </w:rPr>
        <w:t xml:space="preserve"> for 24 h.</w:t>
      </w:r>
      <w:r w:rsidR="00873BEE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="00530F9B"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="00530F9B" w:rsidRPr="00861F79">
        <w:rPr>
          <w:rFonts w:asciiTheme="majorHAnsi" w:hAnsiTheme="majorHAnsi" w:cstheme="majorHAnsi"/>
          <w:b/>
          <w:color w:val="000000" w:themeColor="text1"/>
          <w:sz w:val="22"/>
        </w:rPr>
        <w:t>C</w:t>
      </w:r>
      <w:r w:rsidR="00530F9B" w:rsidRPr="00861F79">
        <w:rPr>
          <w:rFonts w:asciiTheme="majorHAnsi" w:hAnsiTheme="majorHAnsi" w:cstheme="majorHAnsi"/>
          <w:color w:val="000000" w:themeColor="text1"/>
          <w:sz w:val="22"/>
        </w:rPr>
        <w:t xml:space="preserve">) </w:t>
      </w:r>
      <w:r w:rsidR="00530F9B" w:rsidRPr="00861F79">
        <w:rPr>
          <w:rFonts w:ascii="Arial" w:hAnsi="Arial" w:cs="Arial"/>
          <w:color w:val="000000" w:themeColor="text1"/>
          <w:sz w:val="22"/>
        </w:rPr>
        <w:t>Western blotting analysis of γH2AX in cells t</w:t>
      </w:r>
      <w:r w:rsidR="00530F9B" w:rsidRPr="00861F79">
        <w:rPr>
          <w:rFonts w:asciiTheme="majorHAnsi" w:hAnsiTheme="majorHAnsi" w:cstheme="majorHAnsi"/>
          <w:color w:val="000000" w:themeColor="text1"/>
          <w:sz w:val="22"/>
        </w:rPr>
        <w:t xml:space="preserve">ransfected BRD4 siRNA or </w:t>
      </w:r>
      <w:r w:rsidR="00621361" w:rsidRPr="00861F79">
        <w:rPr>
          <w:rFonts w:asciiTheme="majorHAnsi" w:hAnsiTheme="majorHAnsi" w:cstheme="majorHAnsi"/>
          <w:color w:val="000000" w:themeColor="text1"/>
          <w:sz w:val="22"/>
        </w:rPr>
        <w:t>n</w:t>
      </w:r>
      <w:r w:rsidR="00530F9B" w:rsidRPr="00861F79">
        <w:rPr>
          <w:rFonts w:asciiTheme="majorHAnsi" w:hAnsiTheme="majorHAnsi" w:cstheme="majorHAnsi"/>
          <w:color w:val="000000" w:themeColor="text1"/>
          <w:sz w:val="22"/>
        </w:rPr>
        <w:t>on</w:t>
      </w:r>
      <w:r w:rsidR="00621361" w:rsidRPr="00861F79">
        <w:rPr>
          <w:rFonts w:asciiTheme="majorHAnsi" w:hAnsiTheme="majorHAnsi" w:cstheme="majorHAnsi"/>
          <w:color w:val="000000" w:themeColor="text1"/>
          <w:sz w:val="22"/>
        </w:rPr>
        <w:t>-</w:t>
      </w:r>
      <w:r w:rsidR="00530F9B" w:rsidRPr="00861F79">
        <w:rPr>
          <w:rFonts w:asciiTheme="majorHAnsi" w:hAnsiTheme="majorHAnsi" w:cstheme="majorHAnsi"/>
          <w:color w:val="000000" w:themeColor="text1"/>
          <w:sz w:val="22"/>
        </w:rPr>
        <w:t>target (NT) siRNA followed by AZD1775 administration.</w:t>
      </w:r>
      <w:r w:rsidR="002579C0" w:rsidRPr="00861F79">
        <w:rPr>
          <w:rFonts w:asciiTheme="majorHAnsi" w:hAnsiTheme="majorHAnsi" w:cstheme="majorHAnsi"/>
          <w:color w:val="000000" w:themeColor="text1"/>
          <w:sz w:val="22"/>
        </w:rPr>
        <w:t xml:space="preserve"> </w:t>
      </w:r>
    </w:p>
    <w:p w14:paraId="3FE9653B" w14:textId="77777777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77DD4DE4" w14:textId="7DCF6D1A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621361" w:rsidRPr="00861F79">
        <w:rPr>
          <w:rFonts w:ascii="Arial" w:hAnsi="Arial" w:cs="Arial"/>
          <w:b/>
          <w:color w:val="000000" w:themeColor="text1"/>
          <w:sz w:val="22"/>
        </w:rPr>
        <w:t>5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504C32C1" w14:textId="4AEA6F00" w:rsidR="00356F03" w:rsidRPr="00861F79" w:rsidRDefault="000F31E2" w:rsidP="000F31E2">
      <w:pPr>
        <w:widowControl/>
        <w:rPr>
          <w:rFonts w:asciiTheme="majorHAnsi" w:eastAsia="ＭＳ 明朝" w:hAnsiTheme="majorHAnsi" w:cstheme="majorHAnsi"/>
          <w:color w:val="000000" w:themeColor="text1"/>
          <w:kern w:val="0"/>
          <w:sz w:val="22"/>
        </w:rPr>
      </w:pPr>
      <w:r w:rsidRPr="00861F79">
        <w:rPr>
          <w:rFonts w:asciiTheme="majorHAnsi" w:eastAsia="ＭＳ 明朝" w:hAnsiTheme="majorHAnsi" w:cstheme="majorHAnsi"/>
          <w:color w:val="000000" w:themeColor="text1"/>
          <w:kern w:val="0"/>
          <w:sz w:val="22"/>
        </w:rPr>
        <w:t xml:space="preserve">Quantitative RT-PCR analysis of HR pathway-related genes in A549 cells treated for 24 h with 1.0 </w:t>
      </w:r>
      <w:proofErr w:type="spellStart"/>
      <w:r w:rsidRPr="00861F79">
        <w:rPr>
          <w:rFonts w:asciiTheme="majorHAnsi" w:eastAsia="ＭＳ 明朝" w:hAnsiTheme="majorHAnsi" w:cstheme="majorHAnsi"/>
          <w:color w:val="000000" w:themeColor="text1"/>
          <w:kern w:val="0"/>
          <w:sz w:val="22"/>
        </w:rPr>
        <w:t>μmol</w:t>
      </w:r>
      <w:proofErr w:type="spellEnd"/>
      <w:r w:rsidRPr="00861F79">
        <w:rPr>
          <w:rFonts w:asciiTheme="majorHAnsi" w:eastAsia="ＭＳ 明朝" w:hAnsiTheme="majorHAnsi" w:cstheme="majorHAnsi"/>
          <w:color w:val="000000" w:themeColor="text1"/>
          <w:kern w:val="0"/>
          <w:sz w:val="22"/>
        </w:rPr>
        <w:t>/L JQ1 (</w:t>
      </w:r>
      <w:r w:rsidRPr="00861F79">
        <w:rPr>
          <w:rFonts w:asciiTheme="majorHAnsi" w:eastAsia="ＭＳ 明朝" w:hAnsiTheme="majorHAnsi" w:cstheme="majorHAnsi"/>
          <w:b/>
          <w:color w:val="000000" w:themeColor="text1"/>
          <w:kern w:val="0"/>
          <w:sz w:val="22"/>
        </w:rPr>
        <w:t>A</w:t>
      </w:r>
      <w:r w:rsidRPr="00861F79">
        <w:rPr>
          <w:rFonts w:asciiTheme="majorHAnsi" w:eastAsia="ＭＳ 明朝" w:hAnsiTheme="majorHAnsi" w:cstheme="majorHAnsi"/>
          <w:color w:val="000000" w:themeColor="text1"/>
          <w:kern w:val="0"/>
          <w:sz w:val="22"/>
        </w:rPr>
        <w:t>) or AZD5153 (</w:t>
      </w:r>
      <w:r w:rsidRPr="00861F79">
        <w:rPr>
          <w:rFonts w:asciiTheme="majorHAnsi" w:eastAsia="ＭＳ 明朝" w:hAnsiTheme="majorHAnsi" w:cstheme="majorHAnsi"/>
          <w:b/>
          <w:color w:val="000000" w:themeColor="text1"/>
          <w:kern w:val="0"/>
          <w:sz w:val="22"/>
        </w:rPr>
        <w:t>B</w:t>
      </w:r>
      <w:r w:rsidRPr="00861F79">
        <w:rPr>
          <w:rFonts w:asciiTheme="majorHAnsi" w:eastAsia="ＭＳ 明朝" w:hAnsiTheme="majorHAnsi" w:cstheme="majorHAnsi"/>
          <w:color w:val="000000" w:themeColor="text1"/>
          <w:kern w:val="0"/>
          <w:sz w:val="22"/>
        </w:rPr>
        <w:t xml:space="preserve">). </w:t>
      </w:r>
      <w:r w:rsidRPr="00861F79">
        <w:rPr>
          <w:rFonts w:ascii="Arial" w:hAnsi="Arial" w:cs="Arial"/>
          <w:color w:val="000000" w:themeColor="text1"/>
          <w:sz w:val="22"/>
        </w:rPr>
        <w:t>Boxes: mean values (</w:t>
      </w:r>
      <w:r w:rsidRPr="00861F79">
        <w:rPr>
          <w:rFonts w:ascii="Arial" w:hAnsi="Arial" w:cs="Arial"/>
          <w:i/>
          <w:color w:val="000000" w:themeColor="text1"/>
          <w:sz w:val="22"/>
        </w:rPr>
        <w:t>n</w:t>
      </w:r>
      <w:r w:rsidRPr="00861F79">
        <w:rPr>
          <w:rFonts w:ascii="Arial" w:hAnsi="Arial" w:cs="Arial"/>
          <w:color w:val="000000" w:themeColor="text1"/>
          <w:sz w:val="22"/>
        </w:rPr>
        <w:t xml:space="preserve"> = 3/</w:t>
      </w:r>
      <w:r w:rsidR="00464E6B" w:rsidRPr="00861F79">
        <w:rPr>
          <w:rFonts w:ascii="Arial" w:hAnsi="Arial" w:cs="Arial"/>
          <w:color w:val="000000" w:themeColor="text1"/>
          <w:sz w:val="22"/>
        </w:rPr>
        <w:t>group</w:t>
      </w:r>
      <w:r w:rsidRPr="00861F79">
        <w:rPr>
          <w:rFonts w:ascii="Arial" w:hAnsi="Arial" w:cs="Arial"/>
          <w:color w:val="000000" w:themeColor="text1"/>
          <w:sz w:val="22"/>
        </w:rPr>
        <w:t>); error bars: SD.</w:t>
      </w:r>
      <w:r w:rsidR="00621361" w:rsidRPr="00861F79">
        <w:rPr>
          <w:rFonts w:asciiTheme="majorHAnsi" w:eastAsia="ＭＳ 明朝" w:hAnsiTheme="majorHAnsi" w:cstheme="majorHAnsi"/>
          <w:color w:val="000000" w:themeColor="text1"/>
          <w:kern w:val="0"/>
          <w:sz w:val="22"/>
        </w:rPr>
        <w:t xml:space="preserve"> </w:t>
      </w:r>
      <w:r w:rsidR="00A02ACB" w:rsidRPr="00861F79">
        <w:rPr>
          <w:rFonts w:asciiTheme="majorHAnsi" w:hAnsiTheme="majorHAnsi" w:cstheme="majorHAnsi"/>
          <w:color w:val="000000" w:themeColor="text1"/>
          <w:sz w:val="22"/>
        </w:rPr>
        <w:t>Quantitative RT-PCR (</w:t>
      </w:r>
      <w:r w:rsidR="00621361" w:rsidRPr="00861F79">
        <w:rPr>
          <w:rFonts w:asciiTheme="majorHAnsi" w:hAnsiTheme="majorHAnsi" w:cstheme="majorHAnsi"/>
          <w:b/>
          <w:color w:val="000000" w:themeColor="text1"/>
          <w:sz w:val="22"/>
        </w:rPr>
        <w:t>C</w:t>
      </w:r>
      <w:r w:rsidR="00A02ACB" w:rsidRPr="00861F79">
        <w:rPr>
          <w:rFonts w:asciiTheme="majorHAnsi" w:hAnsiTheme="majorHAnsi" w:cstheme="majorHAnsi"/>
          <w:color w:val="000000" w:themeColor="text1"/>
          <w:sz w:val="22"/>
        </w:rPr>
        <w:t>) and Western blotting (</w:t>
      </w:r>
      <w:r w:rsidR="00621361" w:rsidRPr="00861F79">
        <w:rPr>
          <w:rFonts w:asciiTheme="majorHAnsi" w:hAnsiTheme="majorHAnsi" w:cstheme="majorHAnsi"/>
          <w:b/>
          <w:color w:val="000000" w:themeColor="text1"/>
          <w:sz w:val="22"/>
        </w:rPr>
        <w:t>D</w:t>
      </w:r>
      <w:r w:rsidR="00A02ACB" w:rsidRPr="00861F79">
        <w:rPr>
          <w:rFonts w:asciiTheme="majorHAnsi" w:hAnsiTheme="majorHAnsi" w:cstheme="majorHAnsi"/>
          <w:color w:val="000000" w:themeColor="text1"/>
          <w:sz w:val="22"/>
        </w:rPr>
        <w:t xml:space="preserve">) analyses of NHEJ pathway-related genes and proteins in A549 cells treated for 24 h with 1.0 </w:t>
      </w:r>
      <w:proofErr w:type="spellStart"/>
      <w:r w:rsidR="00A02ACB" w:rsidRPr="00861F79">
        <w:rPr>
          <w:rFonts w:asciiTheme="majorHAnsi" w:hAnsiTheme="majorHAnsi" w:cstheme="majorHAnsi"/>
          <w:color w:val="000000" w:themeColor="text1"/>
          <w:sz w:val="22"/>
        </w:rPr>
        <w:t>μmol</w:t>
      </w:r>
      <w:proofErr w:type="spellEnd"/>
      <w:r w:rsidR="00A02ACB" w:rsidRPr="00861F79">
        <w:rPr>
          <w:rFonts w:asciiTheme="majorHAnsi" w:hAnsiTheme="majorHAnsi" w:cstheme="majorHAnsi"/>
          <w:color w:val="000000" w:themeColor="text1"/>
          <w:sz w:val="22"/>
        </w:rPr>
        <w:t>/L indicated compounds or vehicle. Boxes: mean values (</w:t>
      </w:r>
      <w:r w:rsidR="00A02ACB" w:rsidRPr="00861F79">
        <w:rPr>
          <w:rFonts w:asciiTheme="majorHAnsi" w:hAnsiTheme="majorHAnsi" w:cstheme="majorHAnsi"/>
          <w:i/>
          <w:color w:val="000000" w:themeColor="text1"/>
          <w:sz w:val="22"/>
        </w:rPr>
        <w:t>n</w:t>
      </w:r>
      <w:r w:rsidR="00A02ACB" w:rsidRPr="00861F79">
        <w:rPr>
          <w:rFonts w:asciiTheme="majorHAnsi" w:hAnsiTheme="majorHAnsi" w:cstheme="majorHAnsi"/>
          <w:color w:val="000000" w:themeColor="text1"/>
          <w:sz w:val="22"/>
        </w:rPr>
        <w:t xml:space="preserve"> = 3/group); error bars: SD.</w:t>
      </w:r>
    </w:p>
    <w:p w14:paraId="6A0FB082" w14:textId="77777777" w:rsidR="00356F03" w:rsidRPr="00861F79" w:rsidRDefault="00356F03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68E95F8E" w14:textId="5454125F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2A74B1" w:rsidRPr="00861F79">
        <w:rPr>
          <w:rFonts w:ascii="Arial" w:hAnsi="Arial" w:cs="Arial"/>
          <w:b/>
          <w:color w:val="000000" w:themeColor="text1"/>
          <w:sz w:val="22"/>
        </w:rPr>
        <w:t>6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5C03C11F" w14:textId="77777777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color w:val="000000" w:themeColor="text1"/>
          <w:sz w:val="22"/>
        </w:rPr>
        <w:t>BET inhibitors repress the expression of NHEJ pathway-related genes. Quantitative RT-PCR analysis of NHEJ pathway-related genes in H1299 (</w:t>
      </w:r>
      <w:r w:rsidRPr="00861F79">
        <w:rPr>
          <w:rFonts w:ascii="Arial" w:hAnsi="Arial" w:cs="Arial"/>
          <w:b/>
          <w:color w:val="000000" w:themeColor="text1"/>
          <w:sz w:val="22"/>
        </w:rPr>
        <w:t>A</w:t>
      </w:r>
      <w:r w:rsidRPr="00861F79">
        <w:rPr>
          <w:rFonts w:ascii="Arial" w:hAnsi="Arial" w:cs="Arial"/>
          <w:color w:val="000000" w:themeColor="text1"/>
          <w:sz w:val="22"/>
        </w:rPr>
        <w:t xml:space="preserve">, </w:t>
      </w:r>
      <w:r w:rsidRPr="00861F79">
        <w:rPr>
          <w:rFonts w:ascii="Arial" w:hAnsi="Arial" w:cs="Arial"/>
          <w:b/>
          <w:color w:val="000000" w:themeColor="text1"/>
          <w:sz w:val="22"/>
        </w:rPr>
        <w:t>C</w:t>
      </w:r>
      <w:r w:rsidRPr="00861F79">
        <w:rPr>
          <w:rFonts w:ascii="Arial" w:hAnsi="Arial" w:cs="Arial"/>
          <w:color w:val="000000" w:themeColor="text1"/>
          <w:sz w:val="22"/>
        </w:rPr>
        <w:t>) and H1975 cells (</w:t>
      </w:r>
      <w:r w:rsidRPr="00861F79">
        <w:rPr>
          <w:rFonts w:ascii="Arial" w:hAnsi="Arial" w:cs="Arial"/>
          <w:b/>
          <w:color w:val="000000" w:themeColor="text1"/>
          <w:sz w:val="22"/>
        </w:rPr>
        <w:t>B</w:t>
      </w:r>
      <w:r w:rsidRPr="00861F79">
        <w:rPr>
          <w:rFonts w:ascii="Arial" w:hAnsi="Arial" w:cs="Arial"/>
          <w:color w:val="000000" w:themeColor="text1"/>
          <w:sz w:val="22"/>
        </w:rPr>
        <w:t xml:space="preserve">, </w:t>
      </w:r>
      <w:r w:rsidRPr="00861F79">
        <w:rPr>
          <w:rFonts w:ascii="Arial" w:hAnsi="Arial" w:cs="Arial"/>
          <w:b/>
          <w:color w:val="000000" w:themeColor="text1"/>
          <w:sz w:val="22"/>
        </w:rPr>
        <w:t>D</w:t>
      </w:r>
      <w:r w:rsidRPr="00861F79">
        <w:rPr>
          <w:rFonts w:ascii="Arial" w:hAnsi="Arial" w:cs="Arial"/>
          <w:color w:val="000000" w:themeColor="text1"/>
          <w:sz w:val="22"/>
        </w:rPr>
        <w:t xml:space="preserve">) treated for 24 h with 1.0 </w:t>
      </w:r>
      <w:proofErr w:type="spellStart"/>
      <w:r w:rsidRPr="00861F79">
        <w:rPr>
          <w:rFonts w:ascii="Arial" w:hAnsi="Arial" w:cs="Arial"/>
          <w:color w:val="000000" w:themeColor="text1"/>
          <w:sz w:val="22"/>
        </w:rPr>
        <w:t>μmol</w:t>
      </w:r>
      <w:proofErr w:type="spellEnd"/>
      <w:r w:rsidRPr="00861F79">
        <w:rPr>
          <w:rFonts w:ascii="Arial" w:hAnsi="Arial" w:cs="Arial"/>
          <w:color w:val="000000" w:themeColor="text1"/>
          <w:sz w:val="22"/>
        </w:rPr>
        <w:t>/L JQ1 and AZD1775 (</w:t>
      </w:r>
      <w:r w:rsidRPr="00861F79">
        <w:rPr>
          <w:rFonts w:ascii="Arial" w:hAnsi="Arial" w:cs="Arial"/>
          <w:b/>
          <w:color w:val="000000" w:themeColor="text1"/>
          <w:sz w:val="22"/>
        </w:rPr>
        <w:t>A</w:t>
      </w:r>
      <w:r w:rsidRPr="00861F79">
        <w:rPr>
          <w:rFonts w:ascii="Arial" w:hAnsi="Arial" w:cs="Arial"/>
          <w:color w:val="000000" w:themeColor="text1"/>
          <w:sz w:val="22"/>
        </w:rPr>
        <w:t xml:space="preserve">, </w:t>
      </w:r>
      <w:r w:rsidRPr="00861F79">
        <w:rPr>
          <w:rFonts w:ascii="Arial" w:hAnsi="Arial" w:cs="Arial"/>
          <w:b/>
          <w:color w:val="000000" w:themeColor="text1"/>
          <w:sz w:val="22"/>
        </w:rPr>
        <w:t>B</w:t>
      </w:r>
      <w:r w:rsidRPr="00861F79">
        <w:rPr>
          <w:rFonts w:ascii="Arial" w:hAnsi="Arial" w:cs="Arial"/>
          <w:color w:val="000000" w:themeColor="text1"/>
          <w:sz w:val="22"/>
        </w:rPr>
        <w:t>) or AZD5153 and AZD1775 (</w:t>
      </w:r>
      <w:r w:rsidRPr="00861F79">
        <w:rPr>
          <w:rFonts w:ascii="Arial" w:hAnsi="Arial" w:cs="Arial"/>
          <w:b/>
          <w:color w:val="000000" w:themeColor="text1"/>
          <w:sz w:val="22"/>
        </w:rPr>
        <w:t>C</w:t>
      </w:r>
      <w:r w:rsidRPr="00861F79">
        <w:rPr>
          <w:rFonts w:ascii="Arial" w:hAnsi="Arial" w:cs="Arial"/>
          <w:color w:val="000000" w:themeColor="text1"/>
          <w:sz w:val="22"/>
        </w:rPr>
        <w:t xml:space="preserve">, </w:t>
      </w:r>
      <w:r w:rsidRPr="00861F79">
        <w:rPr>
          <w:rFonts w:ascii="Arial" w:hAnsi="Arial" w:cs="Arial"/>
          <w:b/>
          <w:color w:val="000000" w:themeColor="text1"/>
          <w:sz w:val="22"/>
        </w:rPr>
        <w:t>D</w:t>
      </w:r>
      <w:r w:rsidRPr="00861F79">
        <w:rPr>
          <w:rFonts w:ascii="Arial" w:hAnsi="Arial" w:cs="Arial"/>
          <w:color w:val="000000" w:themeColor="text1"/>
          <w:sz w:val="22"/>
        </w:rPr>
        <w:t>). Boxes: mean values (</w:t>
      </w:r>
      <w:r w:rsidRPr="00861F79">
        <w:rPr>
          <w:rFonts w:ascii="Arial" w:hAnsi="Arial" w:cs="Arial"/>
          <w:i/>
          <w:color w:val="000000" w:themeColor="text1"/>
          <w:sz w:val="22"/>
        </w:rPr>
        <w:t>n</w:t>
      </w:r>
      <w:r w:rsidRPr="00861F79">
        <w:rPr>
          <w:rFonts w:ascii="Arial" w:hAnsi="Arial" w:cs="Arial"/>
          <w:color w:val="000000" w:themeColor="text1"/>
          <w:sz w:val="22"/>
        </w:rPr>
        <w:t xml:space="preserve"> = 3/group); error bars: SD.</w:t>
      </w:r>
    </w:p>
    <w:p w14:paraId="1714A9BE" w14:textId="2F53A676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2ED752F3" w14:textId="3634FF55" w:rsidR="00147E7E" w:rsidRPr="00861F79" w:rsidRDefault="00147E7E" w:rsidP="00147E7E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2A74B1" w:rsidRPr="00861F79">
        <w:rPr>
          <w:rFonts w:ascii="Arial" w:hAnsi="Arial" w:cs="Arial"/>
          <w:b/>
          <w:color w:val="000000" w:themeColor="text1"/>
          <w:sz w:val="22"/>
        </w:rPr>
        <w:t>7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3725C4CD" w14:textId="37272867" w:rsidR="00147E7E" w:rsidRPr="00861F79" w:rsidRDefault="002E167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BET inhibition diminishes NHEJ activity. Representative </w:t>
      </w:r>
      <w:r w:rsidR="00347B38" w:rsidRPr="00861F79">
        <w:rPr>
          <w:rFonts w:asciiTheme="majorHAnsi" w:hAnsiTheme="majorHAnsi" w:cstheme="majorHAnsi"/>
          <w:color w:val="000000" w:themeColor="text1"/>
          <w:sz w:val="22"/>
        </w:rPr>
        <w:t xml:space="preserve">images 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of </w:t>
      </w:r>
      <w:r w:rsidR="006107C1" w:rsidRPr="00861F79">
        <w:rPr>
          <w:rFonts w:asciiTheme="majorHAnsi" w:hAnsiTheme="majorHAnsi" w:cstheme="majorHAnsi"/>
          <w:color w:val="000000" w:themeColor="text1"/>
          <w:sz w:val="22"/>
        </w:rPr>
        <w:t xml:space="preserve">flow cytometry for 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 xml:space="preserve">NHEJ reporter assay </w:t>
      </w:r>
      <w:r w:rsidR="00A70341" w:rsidRPr="00861F79">
        <w:rPr>
          <w:rFonts w:asciiTheme="majorHAnsi" w:hAnsiTheme="majorHAnsi" w:cstheme="majorHAnsi"/>
          <w:color w:val="000000" w:themeColor="text1"/>
          <w:sz w:val="22"/>
        </w:rPr>
        <w:t>using EJ5-GFP reporter</w:t>
      </w:r>
      <w:r w:rsidR="00347B38" w:rsidRPr="00861F79">
        <w:rPr>
          <w:rFonts w:asciiTheme="majorHAnsi" w:hAnsiTheme="majorHAnsi" w:cstheme="majorHAnsi"/>
          <w:color w:val="000000" w:themeColor="text1"/>
          <w:sz w:val="22"/>
        </w:rPr>
        <w:t xml:space="preserve">. </w:t>
      </w:r>
    </w:p>
    <w:p w14:paraId="46B9A878" w14:textId="4F1306A9" w:rsidR="00147E7E" w:rsidRPr="00861F79" w:rsidRDefault="00147E7E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6F135865" w14:textId="77777777" w:rsidR="00DD78A5" w:rsidRPr="00861F79" w:rsidRDefault="00A70341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lastRenderedPageBreak/>
        <w:t>Supplementary Figure S</w:t>
      </w:r>
      <w:r w:rsidR="00DD78A5" w:rsidRPr="00861F79">
        <w:rPr>
          <w:rFonts w:ascii="Arial" w:hAnsi="Arial" w:cs="Arial"/>
          <w:b/>
          <w:color w:val="000000" w:themeColor="text1"/>
          <w:sz w:val="22"/>
        </w:rPr>
        <w:t>8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1EB54C7D" w14:textId="407F7285" w:rsidR="00A70341" w:rsidRPr="00861F79" w:rsidRDefault="00A70341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color w:val="000000" w:themeColor="text1"/>
          <w:sz w:val="22"/>
        </w:rPr>
        <w:t xml:space="preserve">Combined inhibition of BET and WEE1 promotes mitotic entry. Western blotting analysis of pHH3 in cells treated with JQ1 and AZD1775 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Pr="00861F79">
        <w:rPr>
          <w:rFonts w:asciiTheme="majorHAnsi" w:hAnsiTheme="majorHAnsi" w:cstheme="majorHAnsi"/>
          <w:b/>
          <w:color w:val="000000" w:themeColor="text1"/>
          <w:sz w:val="22"/>
        </w:rPr>
        <w:t>A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) or</w:t>
      </w:r>
      <w:r w:rsidRPr="00861F79">
        <w:rPr>
          <w:rFonts w:ascii="Arial" w:hAnsi="Arial" w:cs="Arial"/>
          <w:color w:val="000000" w:themeColor="text1"/>
          <w:sz w:val="22"/>
        </w:rPr>
        <w:t xml:space="preserve"> AZD5153 and AZD1775 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Pr="00861F79">
        <w:rPr>
          <w:rFonts w:asciiTheme="majorHAnsi" w:hAnsiTheme="majorHAnsi" w:cstheme="majorHAnsi"/>
          <w:b/>
          <w:color w:val="000000" w:themeColor="text1"/>
          <w:sz w:val="22"/>
        </w:rPr>
        <w:t>B</w:t>
      </w:r>
      <w:r w:rsidRPr="00861F79">
        <w:rPr>
          <w:rFonts w:asciiTheme="majorHAnsi" w:hAnsiTheme="majorHAnsi" w:cstheme="majorHAnsi"/>
          <w:color w:val="000000" w:themeColor="text1"/>
          <w:sz w:val="22"/>
        </w:rPr>
        <w:t>)</w:t>
      </w:r>
      <w:r w:rsidRPr="00861F79">
        <w:rPr>
          <w:rFonts w:ascii="Arial" w:hAnsi="Arial" w:cs="Arial"/>
          <w:color w:val="000000" w:themeColor="text1"/>
          <w:sz w:val="22"/>
        </w:rPr>
        <w:t xml:space="preserve"> for 24 h.</w:t>
      </w:r>
      <w:r w:rsidR="00E834CC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="00E834CC" w:rsidRPr="00861F79">
        <w:rPr>
          <w:rFonts w:asciiTheme="majorHAnsi" w:hAnsiTheme="majorHAnsi" w:cstheme="majorHAnsi"/>
          <w:color w:val="000000" w:themeColor="text1"/>
          <w:sz w:val="22"/>
        </w:rPr>
        <w:t>(</w:t>
      </w:r>
      <w:r w:rsidR="00E834CC" w:rsidRPr="00861F79">
        <w:rPr>
          <w:rFonts w:asciiTheme="majorHAnsi" w:hAnsiTheme="majorHAnsi" w:cstheme="majorHAnsi"/>
          <w:b/>
          <w:color w:val="000000" w:themeColor="text1"/>
          <w:sz w:val="22"/>
        </w:rPr>
        <w:t>A</w:t>
      </w:r>
      <w:r w:rsidR="00E834CC" w:rsidRPr="00861F79">
        <w:rPr>
          <w:rFonts w:asciiTheme="majorHAnsi" w:hAnsiTheme="majorHAnsi" w:cstheme="majorHAnsi"/>
          <w:color w:val="000000" w:themeColor="text1"/>
          <w:sz w:val="22"/>
        </w:rPr>
        <w:t xml:space="preserve">) </w:t>
      </w:r>
      <w:r w:rsidR="00E834CC" w:rsidRPr="00861F79">
        <w:rPr>
          <w:rFonts w:ascii="Arial" w:hAnsi="Arial" w:cs="Arial"/>
          <w:color w:val="000000" w:themeColor="text1"/>
          <w:sz w:val="22"/>
        </w:rPr>
        <w:t xml:space="preserve">The actin bands of H1299 </w:t>
      </w:r>
      <w:r w:rsidR="00CE4F7B" w:rsidRPr="00861F79">
        <w:rPr>
          <w:rFonts w:ascii="Arial" w:hAnsi="Arial" w:cs="Arial"/>
          <w:color w:val="000000" w:themeColor="text1"/>
          <w:sz w:val="22"/>
        </w:rPr>
        <w:t xml:space="preserve">and H460/H520 </w:t>
      </w:r>
      <w:r w:rsidR="00E834CC" w:rsidRPr="00861F79">
        <w:rPr>
          <w:rFonts w:ascii="Arial" w:hAnsi="Arial" w:cs="Arial"/>
          <w:color w:val="000000" w:themeColor="text1"/>
          <w:sz w:val="22"/>
        </w:rPr>
        <w:t>are shared with Figure 2A</w:t>
      </w:r>
      <w:r w:rsidR="00CE4F7B" w:rsidRPr="00861F79">
        <w:rPr>
          <w:rFonts w:ascii="Arial" w:hAnsi="Arial" w:cs="Arial"/>
          <w:color w:val="000000" w:themeColor="text1"/>
          <w:sz w:val="22"/>
        </w:rPr>
        <w:t xml:space="preserve"> and Supplementary Figure S4A, respectively. T</w:t>
      </w:r>
      <w:r w:rsidR="00E834CC" w:rsidRPr="00861F79">
        <w:rPr>
          <w:rFonts w:ascii="Arial" w:hAnsi="Arial" w:cs="Arial"/>
          <w:color w:val="000000" w:themeColor="text1"/>
          <w:sz w:val="22"/>
        </w:rPr>
        <w:t>hese results originate from the same experiment</w:t>
      </w:r>
      <w:r w:rsidR="00CE4F7B" w:rsidRPr="00861F79">
        <w:rPr>
          <w:rFonts w:ascii="Arial" w:hAnsi="Arial" w:cs="Arial"/>
          <w:color w:val="000000" w:themeColor="text1"/>
          <w:sz w:val="22"/>
        </w:rPr>
        <w:t>s</w:t>
      </w:r>
      <w:r w:rsidR="00E834CC" w:rsidRPr="00861F79">
        <w:rPr>
          <w:rFonts w:ascii="Arial" w:hAnsi="Arial" w:cs="Arial"/>
          <w:color w:val="000000" w:themeColor="text1"/>
          <w:sz w:val="22"/>
        </w:rPr>
        <w:t>.</w:t>
      </w:r>
      <w:r w:rsidR="00CE4F7B" w:rsidRPr="00861F79">
        <w:rPr>
          <w:rFonts w:ascii="Arial" w:hAnsi="Arial" w:cs="Arial"/>
          <w:color w:val="000000" w:themeColor="text1"/>
          <w:sz w:val="22"/>
        </w:rPr>
        <w:t xml:space="preserve"> (</w:t>
      </w:r>
      <w:r w:rsidR="00CE4F7B" w:rsidRPr="00861F79">
        <w:rPr>
          <w:rFonts w:ascii="Arial" w:hAnsi="Arial" w:cs="Arial"/>
          <w:b/>
          <w:bCs/>
          <w:color w:val="000000" w:themeColor="text1"/>
          <w:sz w:val="22"/>
        </w:rPr>
        <w:t>B</w:t>
      </w:r>
      <w:r w:rsidR="00CE4F7B" w:rsidRPr="00861F79">
        <w:rPr>
          <w:rFonts w:ascii="Arial" w:hAnsi="Arial" w:cs="Arial"/>
          <w:color w:val="000000" w:themeColor="text1"/>
          <w:sz w:val="22"/>
        </w:rPr>
        <w:t xml:space="preserve">) The actin bands of H1975 are shared with Supplement Figure S4B. These results originated from the same experiments. </w:t>
      </w:r>
    </w:p>
    <w:p w14:paraId="499AF9C5" w14:textId="77777777" w:rsidR="002579C0" w:rsidRPr="00861F79" w:rsidRDefault="002579C0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0EC08B95" w14:textId="3A572962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DD78A5" w:rsidRPr="00861F79">
        <w:rPr>
          <w:rFonts w:ascii="Arial" w:hAnsi="Arial" w:cs="Arial"/>
          <w:b/>
          <w:color w:val="000000" w:themeColor="text1"/>
          <w:sz w:val="22"/>
        </w:rPr>
        <w:t>9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0BB79764" w14:textId="568415ED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color w:val="000000" w:themeColor="text1"/>
          <w:sz w:val="22"/>
        </w:rPr>
        <w:t>BET inhibition represses MYT1 expression. (</w:t>
      </w:r>
      <w:r w:rsidR="00DD78A5" w:rsidRPr="00861F79">
        <w:rPr>
          <w:rFonts w:ascii="Arial" w:hAnsi="Arial" w:cs="Arial"/>
          <w:b/>
          <w:color w:val="000000" w:themeColor="text1"/>
          <w:sz w:val="22"/>
        </w:rPr>
        <w:t>A</w:t>
      </w:r>
      <w:r w:rsidRPr="00861F79">
        <w:rPr>
          <w:rFonts w:ascii="Arial" w:hAnsi="Arial" w:cs="Arial"/>
          <w:color w:val="000000" w:themeColor="text1"/>
          <w:sz w:val="22"/>
        </w:rPr>
        <w:t xml:space="preserve">) Quantitative RT-PCR analysis of G2-M checkpoint-related genes in A549 cells treated with 1.0 </w:t>
      </w:r>
      <w:proofErr w:type="spellStart"/>
      <w:r w:rsidRPr="00861F79">
        <w:rPr>
          <w:rFonts w:ascii="Arial" w:hAnsi="Arial" w:cs="Arial"/>
          <w:color w:val="000000" w:themeColor="text1"/>
          <w:sz w:val="22"/>
        </w:rPr>
        <w:t>μmol</w:t>
      </w:r>
      <w:proofErr w:type="spellEnd"/>
      <w:r w:rsidRPr="00861F79">
        <w:rPr>
          <w:rFonts w:ascii="Arial" w:hAnsi="Arial" w:cs="Arial"/>
          <w:color w:val="000000" w:themeColor="text1"/>
          <w:sz w:val="22"/>
        </w:rPr>
        <w:t>/L AZD5153 or vehicle for 24 h. Boxes: mean values (</w:t>
      </w:r>
      <w:r w:rsidRPr="00861F79">
        <w:rPr>
          <w:rFonts w:ascii="Arial" w:hAnsi="Arial" w:cs="Arial"/>
          <w:i/>
          <w:color w:val="000000" w:themeColor="text1"/>
          <w:sz w:val="22"/>
        </w:rPr>
        <w:t>n</w:t>
      </w:r>
      <w:r w:rsidRPr="00861F79">
        <w:rPr>
          <w:rFonts w:ascii="Arial" w:hAnsi="Arial" w:cs="Arial"/>
          <w:color w:val="000000" w:themeColor="text1"/>
          <w:sz w:val="22"/>
        </w:rPr>
        <w:t xml:space="preserve"> = 3/group); error bars: SD. (</w:t>
      </w:r>
      <w:r w:rsidR="004E126C" w:rsidRPr="00861F79">
        <w:rPr>
          <w:rFonts w:ascii="Arial" w:hAnsi="Arial" w:cs="Arial"/>
          <w:b/>
          <w:color w:val="000000" w:themeColor="text1"/>
          <w:sz w:val="22"/>
        </w:rPr>
        <w:t>B</w:t>
      </w:r>
      <w:r w:rsidRPr="00861F79">
        <w:rPr>
          <w:rFonts w:ascii="Arial" w:hAnsi="Arial" w:cs="Arial"/>
          <w:color w:val="000000" w:themeColor="text1"/>
          <w:sz w:val="22"/>
        </w:rPr>
        <w:t xml:space="preserve">) Quantitative RT-PCR analysis of </w:t>
      </w:r>
      <w:r w:rsidRPr="00861F79">
        <w:rPr>
          <w:rFonts w:ascii="Arial" w:hAnsi="Arial" w:cs="Arial"/>
          <w:i/>
          <w:color w:val="000000" w:themeColor="text1"/>
          <w:sz w:val="22"/>
        </w:rPr>
        <w:t>MYT1</w:t>
      </w:r>
      <w:r w:rsidRPr="00861F79">
        <w:rPr>
          <w:rFonts w:ascii="Arial" w:hAnsi="Arial" w:cs="Arial"/>
          <w:color w:val="000000" w:themeColor="text1"/>
          <w:sz w:val="22"/>
        </w:rPr>
        <w:t xml:space="preserve"> in H1975 cells treated for 24 h with the indicated compounds (at 1.0 </w:t>
      </w:r>
      <w:proofErr w:type="spellStart"/>
      <w:r w:rsidRPr="00861F79">
        <w:rPr>
          <w:rFonts w:ascii="Arial" w:hAnsi="Arial" w:cs="Arial"/>
          <w:color w:val="000000" w:themeColor="text1"/>
          <w:sz w:val="22"/>
        </w:rPr>
        <w:t>μmol</w:t>
      </w:r>
      <w:proofErr w:type="spellEnd"/>
      <w:r w:rsidRPr="00861F79">
        <w:rPr>
          <w:rFonts w:ascii="Arial" w:hAnsi="Arial" w:cs="Arial"/>
          <w:color w:val="000000" w:themeColor="text1"/>
          <w:sz w:val="22"/>
        </w:rPr>
        <w:t>/L) or vehicle. Boxes: mean values (</w:t>
      </w:r>
      <w:r w:rsidRPr="00861F79">
        <w:rPr>
          <w:rFonts w:ascii="Arial" w:hAnsi="Arial" w:cs="Arial"/>
          <w:i/>
          <w:color w:val="000000" w:themeColor="text1"/>
          <w:sz w:val="22"/>
        </w:rPr>
        <w:t>n</w:t>
      </w:r>
      <w:r w:rsidRPr="00861F79">
        <w:rPr>
          <w:rFonts w:ascii="Arial" w:hAnsi="Arial" w:cs="Arial"/>
          <w:color w:val="000000" w:themeColor="text1"/>
          <w:sz w:val="22"/>
        </w:rPr>
        <w:t xml:space="preserve"> = 3/group); error bars: SD. (</w:t>
      </w:r>
      <w:r w:rsidR="004E126C" w:rsidRPr="00861F79">
        <w:rPr>
          <w:rFonts w:ascii="Arial" w:hAnsi="Arial" w:cs="Arial"/>
          <w:b/>
          <w:color w:val="000000" w:themeColor="text1"/>
          <w:sz w:val="22"/>
        </w:rPr>
        <w:t>C</w:t>
      </w:r>
      <w:r w:rsidRPr="00861F79">
        <w:rPr>
          <w:rFonts w:ascii="Arial" w:hAnsi="Arial" w:cs="Arial"/>
          <w:color w:val="000000" w:themeColor="text1"/>
          <w:sz w:val="22"/>
        </w:rPr>
        <w:t>) Western blotting analysis of MYT1 in cells treated with AZD5153 for 24 h.</w:t>
      </w:r>
      <w:r w:rsidR="00030C10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="00235DAA" w:rsidRPr="00861F79">
        <w:rPr>
          <w:rFonts w:ascii="Arial" w:hAnsi="Arial" w:cs="Arial"/>
          <w:color w:val="000000" w:themeColor="text1"/>
          <w:sz w:val="22"/>
        </w:rPr>
        <w:t>The actin bands of A549 are shared with Supplementary Figure S5D, because these data originate from the same experiment.</w:t>
      </w:r>
    </w:p>
    <w:p w14:paraId="1D379D04" w14:textId="77777777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</w:p>
    <w:p w14:paraId="798F5314" w14:textId="697C8ECA" w:rsidR="000F31E2" w:rsidRPr="00861F79" w:rsidRDefault="000F31E2" w:rsidP="000F31E2">
      <w:pPr>
        <w:widowControl/>
        <w:rPr>
          <w:rFonts w:ascii="Arial" w:hAnsi="Arial" w:cs="Arial"/>
          <w:color w:val="000000" w:themeColor="text1"/>
          <w:sz w:val="22"/>
        </w:rPr>
      </w:pPr>
      <w:r w:rsidRPr="00861F79">
        <w:rPr>
          <w:rFonts w:ascii="Arial" w:hAnsi="Arial" w:cs="Arial"/>
          <w:b/>
          <w:color w:val="000000" w:themeColor="text1"/>
          <w:sz w:val="22"/>
        </w:rPr>
        <w:t>Supplementary Figure S</w:t>
      </w:r>
      <w:r w:rsidR="00A70341" w:rsidRPr="00861F79">
        <w:rPr>
          <w:rFonts w:ascii="Arial" w:hAnsi="Arial" w:cs="Arial"/>
          <w:b/>
          <w:color w:val="000000" w:themeColor="text1"/>
          <w:sz w:val="22"/>
        </w:rPr>
        <w:t>1</w:t>
      </w:r>
      <w:r w:rsidR="00DD78A5" w:rsidRPr="00861F79">
        <w:rPr>
          <w:rFonts w:ascii="Arial" w:hAnsi="Arial" w:cs="Arial"/>
          <w:b/>
          <w:color w:val="000000" w:themeColor="text1"/>
          <w:sz w:val="22"/>
        </w:rPr>
        <w:t>0</w:t>
      </w:r>
      <w:r w:rsidRPr="00861F79">
        <w:rPr>
          <w:rFonts w:ascii="Arial" w:hAnsi="Arial" w:cs="Arial"/>
          <w:b/>
          <w:color w:val="000000" w:themeColor="text1"/>
          <w:sz w:val="22"/>
        </w:rPr>
        <w:t>.</w:t>
      </w:r>
    </w:p>
    <w:p w14:paraId="0A73220D" w14:textId="533D0040" w:rsidR="000F31E2" w:rsidRPr="005137FE" w:rsidRDefault="000F31E2" w:rsidP="000F31E2">
      <w:pPr>
        <w:widowControl/>
        <w:rPr>
          <w:rFonts w:ascii="Arial" w:hAnsi="Arial" w:cs="Arial"/>
          <w:sz w:val="24"/>
          <w:szCs w:val="24"/>
        </w:rPr>
      </w:pPr>
      <w:r w:rsidRPr="00861F79">
        <w:rPr>
          <w:rFonts w:ascii="Arial" w:hAnsi="Arial" w:cs="Arial"/>
          <w:color w:val="000000" w:themeColor="text1"/>
          <w:sz w:val="22"/>
        </w:rPr>
        <w:t>Combined inhibition of BET and WEE1</w:t>
      </w:r>
      <w:r w:rsidR="00AB3418" w:rsidRPr="00861F79">
        <w:rPr>
          <w:rFonts w:ascii="Arial" w:hAnsi="Arial" w:cs="Arial"/>
          <w:color w:val="000000" w:themeColor="text1"/>
          <w:sz w:val="22"/>
        </w:rPr>
        <w:t xml:space="preserve"> does not induce </w:t>
      </w:r>
      <w:r w:rsidR="00642E63" w:rsidRPr="00861F79">
        <w:rPr>
          <w:rFonts w:asciiTheme="majorHAnsi" w:hAnsiTheme="majorHAnsi" w:cstheme="majorHAnsi"/>
          <w:color w:val="000000" w:themeColor="text1"/>
          <w:sz w:val="22"/>
        </w:rPr>
        <w:t xml:space="preserve">significant </w:t>
      </w:r>
      <w:r w:rsidR="00AB3418" w:rsidRPr="00861F79">
        <w:rPr>
          <w:rFonts w:asciiTheme="majorHAnsi" w:hAnsiTheme="majorHAnsi" w:cstheme="majorHAnsi"/>
          <w:color w:val="000000" w:themeColor="text1"/>
          <w:sz w:val="22"/>
        </w:rPr>
        <w:t>body weight loss</w:t>
      </w:r>
      <w:r w:rsidRPr="00861F79">
        <w:rPr>
          <w:rFonts w:ascii="Arial" w:hAnsi="Arial" w:cs="Arial"/>
          <w:color w:val="000000" w:themeColor="text1"/>
          <w:sz w:val="22"/>
        </w:rPr>
        <w:t xml:space="preserve"> in a mouse xenograft model of non-small cell lung cancer. Body weight of mice treated with vehicle, JQ1 (50 mg/kg), AZD1775 (20 mg/kg), or the drug combination. Circles: mean values of %</w:t>
      </w:r>
      <w:r w:rsidR="004E5894" w:rsidRPr="00861F79">
        <w:rPr>
          <w:rFonts w:ascii="Arial" w:hAnsi="Arial" w:cs="Arial"/>
          <w:color w:val="000000" w:themeColor="text1"/>
          <w:sz w:val="22"/>
        </w:rPr>
        <w:t xml:space="preserve"> </w:t>
      </w:r>
      <w:r w:rsidRPr="00861F79">
        <w:rPr>
          <w:rFonts w:ascii="Arial" w:hAnsi="Arial" w:cs="Arial"/>
          <w:color w:val="000000" w:themeColor="text1"/>
          <w:sz w:val="22"/>
        </w:rPr>
        <w:t>body weight change (</w:t>
      </w:r>
      <w:r w:rsidRPr="00861F79">
        <w:rPr>
          <w:rFonts w:ascii="Arial" w:hAnsi="Arial" w:cs="Arial"/>
          <w:i/>
          <w:color w:val="000000" w:themeColor="text1"/>
          <w:sz w:val="22"/>
        </w:rPr>
        <w:t>n</w:t>
      </w:r>
      <w:r w:rsidRPr="00861F79">
        <w:rPr>
          <w:rFonts w:ascii="Arial" w:hAnsi="Arial" w:cs="Arial"/>
          <w:color w:val="000000" w:themeColor="text1"/>
          <w:sz w:val="22"/>
        </w:rPr>
        <w:t xml:space="preserve"> = 4/group); bars: SD. </w:t>
      </w:r>
    </w:p>
    <w:p w14:paraId="7DEE02E4" w14:textId="77777777" w:rsidR="0064405A" w:rsidRDefault="0064405A"/>
    <w:sectPr w:rsidR="0064405A" w:rsidSect="005E1F09">
      <w:footerReference w:type="even" r:id="rId6"/>
      <w:footerReference w:type="default" r:id="rId7"/>
      <w:pgSz w:w="11900" w:h="16840"/>
      <w:pgMar w:top="1985" w:right="1418" w:bottom="1701" w:left="1701" w:header="851" w:footer="992" w:gutter="0"/>
      <w:lnNumType w:countBy="1" w:restart="continuous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09806" w14:textId="77777777" w:rsidR="00B37707" w:rsidRDefault="00B37707">
      <w:r>
        <w:separator/>
      </w:r>
    </w:p>
  </w:endnote>
  <w:endnote w:type="continuationSeparator" w:id="0">
    <w:p w14:paraId="7EA0E899" w14:textId="77777777" w:rsidR="00B37707" w:rsidRDefault="00B3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19048" w14:textId="77777777" w:rsidR="00DE462E" w:rsidRDefault="000F31E2" w:rsidP="002577A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138EC5B" w14:textId="77777777" w:rsidR="00DE462E" w:rsidRDefault="00B377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2323D" w14:textId="77777777" w:rsidR="00DE462E" w:rsidRDefault="000F31E2" w:rsidP="002577A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2E63">
      <w:rPr>
        <w:rStyle w:val="a6"/>
        <w:noProof/>
      </w:rPr>
      <w:t>1</w:t>
    </w:r>
    <w:r>
      <w:rPr>
        <w:rStyle w:val="a6"/>
      </w:rPr>
      <w:fldChar w:fldCharType="end"/>
    </w:r>
  </w:p>
  <w:p w14:paraId="69AE42E5" w14:textId="77777777" w:rsidR="00DE462E" w:rsidRDefault="00B3770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CD557" w14:textId="77777777" w:rsidR="00B37707" w:rsidRDefault="00B37707">
      <w:r>
        <w:separator/>
      </w:r>
    </w:p>
  </w:footnote>
  <w:footnote w:type="continuationSeparator" w:id="0">
    <w:p w14:paraId="67554A29" w14:textId="77777777" w:rsidR="00B37707" w:rsidRDefault="00B37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E2"/>
    <w:rsid w:val="00030C10"/>
    <w:rsid w:val="000B615D"/>
    <w:rsid w:val="000F31E2"/>
    <w:rsid w:val="00147E7E"/>
    <w:rsid w:val="00152D9C"/>
    <w:rsid w:val="00235DAA"/>
    <w:rsid w:val="002579C0"/>
    <w:rsid w:val="002A5766"/>
    <w:rsid w:val="002A74B1"/>
    <w:rsid w:val="002E1672"/>
    <w:rsid w:val="003278A4"/>
    <w:rsid w:val="00347B38"/>
    <w:rsid w:val="00356F03"/>
    <w:rsid w:val="0038786E"/>
    <w:rsid w:val="00390F1D"/>
    <w:rsid w:val="003F4F71"/>
    <w:rsid w:val="00464E6B"/>
    <w:rsid w:val="00492FAA"/>
    <w:rsid w:val="004A6CF0"/>
    <w:rsid w:val="004E126C"/>
    <w:rsid w:val="004E5894"/>
    <w:rsid w:val="00504C78"/>
    <w:rsid w:val="00530F9B"/>
    <w:rsid w:val="00562ACA"/>
    <w:rsid w:val="00580350"/>
    <w:rsid w:val="00580BFB"/>
    <w:rsid w:val="0059042A"/>
    <w:rsid w:val="005A0A0C"/>
    <w:rsid w:val="006107C1"/>
    <w:rsid w:val="00621361"/>
    <w:rsid w:val="0062681F"/>
    <w:rsid w:val="00642E63"/>
    <w:rsid w:val="0064405A"/>
    <w:rsid w:val="007B0227"/>
    <w:rsid w:val="007D6029"/>
    <w:rsid w:val="007F6660"/>
    <w:rsid w:val="008213DA"/>
    <w:rsid w:val="00861F79"/>
    <w:rsid w:val="00873BEE"/>
    <w:rsid w:val="00A02ACB"/>
    <w:rsid w:val="00A15EE7"/>
    <w:rsid w:val="00A70341"/>
    <w:rsid w:val="00AB3418"/>
    <w:rsid w:val="00B14BCB"/>
    <w:rsid w:val="00B37707"/>
    <w:rsid w:val="00B7074A"/>
    <w:rsid w:val="00B87FA0"/>
    <w:rsid w:val="00C042D8"/>
    <w:rsid w:val="00C054A2"/>
    <w:rsid w:val="00CA5E4A"/>
    <w:rsid w:val="00CC2C5E"/>
    <w:rsid w:val="00CE4F7B"/>
    <w:rsid w:val="00CF40B6"/>
    <w:rsid w:val="00DB30E5"/>
    <w:rsid w:val="00DB404B"/>
    <w:rsid w:val="00DD78A5"/>
    <w:rsid w:val="00DE66BF"/>
    <w:rsid w:val="00E31347"/>
    <w:rsid w:val="00E73C2E"/>
    <w:rsid w:val="00E834CC"/>
    <w:rsid w:val="00EA3349"/>
    <w:rsid w:val="00EA5E8B"/>
    <w:rsid w:val="00EE312D"/>
    <w:rsid w:val="00F00A7E"/>
    <w:rsid w:val="00F8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19C93"/>
  <w14:defaultImageDpi w14:val="300"/>
  <w15:docId w15:val="{1566F8C4-5974-8049-B6A8-D683A2B5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1E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F3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F31E2"/>
    <w:rPr>
      <w:sz w:val="21"/>
      <w:szCs w:val="22"/>
    </w:rPr>
  </w:style>
  <w:style w:type="table" w:styleId="a5">
    <w:name w:val="Table Grid"/>
    <w:basedOn w:val="a1"/>
    <w:uiPriority w:val="59"/>
    <w:rsid w:val="000F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uiPriority w:val="99"/>
    <w:semiHidden/>
    <w:unhideWhenUsed/>
    <w:rsid w:val="000F31E2"/>
  </w:style>
  <w:style w:type="character" w:styleId="a7">
    <w:name w:val="line number"/>
    <w:basedOn w:val="a0"/>
    <w:uiPriority w:val="99"/>
    <w:semiHidden/>
    <w:unhideWhenUsed/>
    <w:rsid w:val="000F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 雄太</dc:creator>
  <cp:keywords/>
  <dc:description/>
  <cp:lastModifiedBy>石森久美</cp:lastModifiedBy>
  <cp:revision>2</cp:revision>
  <cp:lastPrinted>2019-04-18T11:41:00Z</cp:lastPrinted>
  <dcterms:created xsi:type="dcterms:W3CDTF">2019-10-06T23:18:00Z</dcterms:created>
  <dcterms:modified xsi:type="dcterms:W3CDTF">2019-10-06T23:18:00Z</dcterms:modified>
</cp:coreProperties>
</file>