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B2567" w14:textId="77777777" w:rsidR="00B7395D" w:rsidRDefault="00A6700C" w:rsidP="00B7395D">
      <w:pPr>
        <w:pStyle w:val="Normal1"/>
        <w:rPr>
          <w:rFonts w:ascii="Garamond" w:eastAsia="Cambria" w:hAnsi="Garamond" w:cs="Cambria"/>
          <w:b/>
          <w:sz w:val="32"/>
          <w:szCs w:val="32"/>
        </w:rPr>
      </w:pPr>
      <w:bookmarkStart w:id="0" w:name="_GoBack"/>
      <w:r w:rsidRPr="00A6700C">
        <w:rPr>
          <w:rFonts w:ascii="Garamond" w:eastAsia="Cambria" w:hAnsi="Garamond" w:cs="Cambria"/>
          <w:b/>
          <w:sz w:val="32"/>
          <w:szCs w:val="32"/>
        </w:rPr>
        <w:t>Supplemental Material:</w:t>
      </w:r>
      <w:r w:rsidR="00B7395D" w:rsidRPr="00B7395D">
        <w:rPr>
          <w:rFonts w:ascii="Garamond" w:eastAsia="Cambria" w:hAnsi="Garamond" w:cs="Cambria"/>
          <w:b/>
          <w:sz w:val="32"/>
          <w:szCs w:val="32"/>
        </w:rPr>
        <w:t xml:space="preserve"> </w:t>
      </w:r>
    </w:p>
    <w:p w14:paraId="070926E2" w14:textId="7C96BBE7" w:rsidR="00B7395D" w:rsidRDefault="00B7395D" w:rsidP="00B7395D">
      <w:pPr>
        <w:pStyle w:val="Normal1"/>
        <w:rPr>
          <w:rFonts w:ascii="Garamond" w:eastAsia="Cambria" w:hAnsi="Garamond" w:cs="Cambria"/>
          <w:b/>
          <w:color w:val="auto"/>
          <w:sz w:val="32"/>
          <w:szCs w:val="32"/>
        </w:rPr>
      </w:pPr>
      <w:r w:rsidRPr="003B2EEB">
        <w:rPr>
          <w:rFonts w:ascii="Garamond" w:eastAsia="Cambria" w:hAnsi="Garamond" w:cs="Cambria"/>
          <w:b/>
          <w:color w:val="auto"/>
          <w:sz w:val="32"/>
          <w:szCs w:val="32"/>
        </w:rPr>
        <w:t xml:space="preserve">Degrees and Dollars – Health Costs Associated with </w:t>
      </w:r>
      <w:r>
        <w:rPr>
          <w:rFonts w:ascii="Garamond" w:eastAsia="Cambria" w:hAnsi="Garamond" w:cs="Cambria"/>
          <w:b/>
          <w:color w:val="auto"/>
          <w:sz w:val="32"/>
          <w:szCs w:val="32"/>
        </w:rPr>
        <w:t>Suboptimal</w:t>
      </w:r>
      <w:r w:rsidRPr="003B2EEB">
        <w:rPr>
          <w:rFonts w:ascii="Garamond" w:eastAsia="Cambria" w:hAnsi="Garamond" w:cs="Cambria"/>
          <w:b/>
          <w:color w:val="auto"/>
          <w:sz w:val="32"/>
          <w:szCs w:val="32"/>
        </w:rPr>
        <w:t xml:space="preserve"> Ambient Temperature Exposure</w:t>
      </w:r>
    </w:p>
    <w:p w14:paraId="1A6ECBA6" w14:textId="3A49A531" w:rsidR="00CE78D9" w:rsidRPr="00A6700C" w:rsidRDefault="00730D34" w:rsidP="00E948A4">
      <w:pPr>
        <w:pStyle w:val="TOC1"/>
        <w:tabs>
          <w:tab w:val="left" w:pos="391"/>
          <w:tab w:val="right" w:leader="dot" w:pos="9350"/>
        </w:tabs>
        <w:rPr>
          <w:rFonts w:ascii="Garamond" w:eastAsia="Cambria" w:hAnsi="Garamond" w:cs="Cambria"/>
          <w:sz w:val="24"/>
          <w:szCs w:val="24"/>
        </w:rPr>
      </w:pPr>
      <w:r w:rsidRPr="006704E2">
        <w:rPr>
          <w:rFonts w:ascii="Garamond" w:hAnsi="Garamond"/>
          <w:sz w:val="24"/>
          <w:szCs w:val="24"/>
        </w:rPr>
        <w:fldChar w:fldCharType="begin"/>
      </w:r>
      <w:r w:rsidRPr="006704E2">
        <w:rPr>
          <w:rFonts w:ascii="Garamond" w:hAnsi="Garamond"/>
          <w:sz w:val="24"/>
          <w:szCs w:val="24"/>
        </w:rPr>
        <w:instrText xml:space="preserve"> TOC \o "1-3" \h \z \u </w:instrText>
      </w:r>
      <w:r w:rsidRPr="006704E2">
        <w:rPr>
          <w:rFonts w:ascii="Garamond" w:hAnsi="Garamond"/>
          <w:sz w:val="24"/>
          <w:szCs w:val="24"/>
        </w:rPr>
        <w:fldChar w:fldCharType="separate"/>
      </w:r>
      <w:r w:rsidR="00CE78D9" w:rsidRPr="00432439">
        <w:rPr>
          <w:rFonts w:ascii="Garamond" w:hAnsi="Garamond"/>
          <w:noProof/>
        </w:rPr>
        <w:t>1.</w:t>
      </w:r>
      <w:r w:rsidR="00CE78D9">
        <w:rPr>
          <w:rFonts w:eastAsiaTheme="minorEastAsia"/>
          <w:noProof/>
          <w:sz w:val="24"/>
          <w:szCs w:val="24"/>
          <w:lang w:eastAsia="ja-JP"/>
        </w:rPr>
        <w:tab/>
      </w:r>
      <w:r w:rsidR="00CE78D9" w:rsidRPr="00432439">
        <w:rPr>
          <w:rFonts w:ascii="Garamond" w:hAnsi="Garamond"/>
          <w:noProof/>
        </w:rPr>
        <w:t>Air Pollution as Potential Confounder</w:t>
      </w:r>
      <w:r w:rsidR="00CE78D9">
        <w:rPr>
          <w:noProof/>
        </w:rPr>
        <w:tab/>
      </w:r>
      <w:r w:rsidR="00CE78D9">
        <w:rPr>
          <w:noProof/>
        </w:rPr>
        <w:fldChar w:fldCharType="begin"/>
      </w:r>
      <w:r w:rsidR="00CE78D9">
        <w:rPr>
          <w:noProof/>
        </w:rPr>
        <w:instrText xml:space="preserve"> PAGEREF _Toc392863177 \h </w:instrText>
      </w:r>
      <w:r w:rsidR="00CE78D9">
        <w:rPr>
          <w:noProof/>
        </w:rPr>
      </w:r>
      <w:r w:rsidR="00CE78D9">
        <w:rPr>
          <w:noProof/>
        </w:rPr>
        <w:fldChar w:fldCharType="separate"/>
      </w:r>
      <w:r w:rsidR="00CE78D9">
        <w:rPr>
          <w:noProof/>
        </w:rPr>
        <w:t>2</w:t>
      </w:r>
      <w:r w:rsidR="00CE78D9">
        <w:rPr>
          <w:noProof/>
        </w:rPr>
        <w:fldChar w:fldCharType="end"/>
      </w:r>
    </w:p>
    <w:p w14:paraId="2787685D" w14:textId="77777777" w:rsidR="00CE78D9" w:rsidRDefault="00CE78D9">
      <w:pPr>
        <w:pStyle w:val="TOC2"/>
        <w:tabs>
          <w:tab w:val="left" w:pos="714"/>
          <w:tab w:val="right" w:leader="dot" w:pos="9350"/>
        </w:tabs>
        <w:rPr>
          <w:rFonts w:eastAsiaTheme="minorEastAsia"/>
          <w:noProof/>
          <w:sz w:val="24"/>
          <w:szCs w:val="24"/>
          <w:lang w:eastAsia="ja-JP"/>
        </w:rPr>
      </w:pPr>
      <w:r w:rsidRPr="00432439">
        <w:rPr>
          <w:rFonts w:ascii="Garamond" w:hAnsi="Garamond"/>
          <w:noProof/>
        </w:rPr>
        <w:t>1.1</w:t>
      </w:r>
      <w:r>
        <w:rPr>
          <w:rFonts w:eastAsiaTheme="minorEastAsia"/>
          <w:noProof/>
          <w:sz w:val="24"/>
          <w:szCs w:val="24"/>
          <w:lang w:eastAsia="ja-JP"/>
        </w:rPr>
        <w:tab/>
      </w:r>
      <w:r w:rsidRPr="00432439">
        <w:rPr>
          <w:rFonts w:ascii="Garamond" w:hAnsi="Garamond"/>
          <w:noProof/>
        </w:rPr>
        <w:t>Data and Method</w:t>
      </w:r>
      <w:r>
        <w:rPr>
          <w:noProof/>
        </w:rPr>
        <w:tab/>
      </w:r>
      <w:r>
        <w:rPr>
          <w:noProof/>
        </w:rPr>
        <w:fldChar w:fldCharType="begin"/>
      </w:r>
      <w:r>
        <w:rPr>
          <w:noProof/>
        </w:rPr>
        <w:instrText xml:space="preserve"> PAGEREF _Toc392863178 \h </w:instrText>
      </w:r>
      <w:r>
        <w:rPr>
          <w:noProof/>
        </w:rPr>
      </w:r>
      <w:r>
        <w:rPr>
          <w:noProof/>
        </w:rPr>
        <w:fldChar w:fldCharType="separate"/>
      </w:r>
      <w:r>
        <w:rPr>
          <w:noProof/>
        </w:rPr>
        <w:t>2</w:t>
      </w:r>
      <w:r>
        <w:rPr>
          <w:noProof/>
        </w:rPr>
        <w:fldChar w:fldCharType="end"/>
      </w:r>
    </w:p>
    <w:p w14:paraId="10BB6F16" w14:textId="77777777" w:rsidR="00CE78D9" w:rsidRDefault="00CE78D9">
      <w:pPr>
        <w:pStyle w:val="TOC2"/>
        <w:tabs>
          <w:tab w:val="left" w:pos="714"/>
          <w:tab w:val="right" w:leader="dot" w:pos="9350"/>
        </w:tabs>
        <w:rPr>
          <w:rFonts w:eastAsiaTheme="minorEastAsia"/>
          <w:noProof/>
          <w:sz w:val="24"/>
          <w:szCs w:val="24"/>
          <w:lang w:eastAsia="ja-JP"/>
        </w:rPr>
      </w:pPr>
      <w:r w:rsidRPr="00432439">
        <w:rPr>
          <w:rFonts w:ascii="Garamond" w:hAnsi="Garamond"/>
          <w:noProof/>
        </w:rPr>
        <w:t>1.2</w:t>
      </w:r>
      <w:r>
        <w:rPr>
          <w:rFonts w:eastAsiaTheme="minorEastAsia"/>
          <w:noProof/>
          <w:sz w:val="24"/>
          <w:szCs w:val="24"/>
          <w:lang w:eastAsia="ja-JP"/>
        </w:rPr>
        <w:tab/>
      </w:r>
      <w:r w:rsidRPr="00432439">
        <w:rPr>
          <w:rFonts w:ascii="Garamond" w:hAnsi="Garamond"/>
          <w:noProof/>
        </w:rPr>
        <w:t>Results</w:t>
      </w:r>
      <w:r>
        <w:rPr>
          <w:noProof/>
        </w:rPr>
        <w:tab/>
      </w:r>
      <w:r>
        <w:rPr>
          <w:noProof/>
        </w:rPr>
        <w:fldChar w:fldCharType="begin"/>
      </w:r>
      <w:r>
        <w:rPr>
          <w:noProof/>
        </w:rPr>
        <w:instrText xml:space="preserve"> PAGEREF _Toc392863179 \h </w:instrText>
      </w:r>
      <w:r>
        <w:rPr>
          <w:noProof/>
        </w:rPr>
      </w:r>
      <w:r>
        <w:rPr>
          <w:noProof/>
        </w:rPr>
        <w:fldChar w:fldCharType="separate"/>
      </w:r>
      <w:r>
        <w:rPr>
          <w:noProof/>
        </w:rPr>
        <w:t>4</w:t>
      </w:r>
      <w:r>
        <w:rPr>
          <w:noProof/>
        </w:rPr>
        <w:fldChar w:fldCharType="end"/>
      </w:r>
    </w:p>
    <w:p w14:paraId="01A1546C"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1.2.1</w:t>
      </w:r>
      <w:r>
        <w:rPr>
          <w:rFonts w:eastAsiaTheme="minorEastAsia"/>
          <w:noProof/>
          <w:sz w:val="24"/>
          <w:szCs w:val="24"/>
          <w:lang w:eastAsia="ja-JP"/>
        </w:rPr>
        <w:tab/>
      </w:r>
      <w:r w:rsidRPr="00432439">
        <w:rPr>
          <w:rFonts w:ascii="Garamond" w:hAnsi="Garamond"/>
          <w:noProof/>
        </w:rPr>
        <w:t>The Exposure Response Functions</w:t>
      </w:r>
      <w:r>
        <w:rPr>
          <w:noProof/>
        </w:rPr>
        <w:tab/>
      </w:r>
      <w:r>
        <w:rPr>
          <w:noProof/>
        </w:rPr>
        <w:fldChar w:fldCharType="begin"/>
      </w:r>
      <w:r>
        <w:rPr>
          <w:noProof/>
        </w:rPr>
        <w:instrText xml:space="preserve"> PAGEREF _Toc392863180 \h </w:instrText>
      </w:r>
      <w:r>
        <w:rPr>
          <w:noProof/>
        </w:rPr>
      </w:r>
      <w:r>
        <w:rPr>
          <w:noProof/>
        </w:rPr>
        <w:fldChar w:fldCharType="separate"/>
      </w:r>
      <w:r>
        <w:rPr>
          <w:noProof/>
        </w:rPr>
        <w:t>4</w:t>
      </w:r>
      <w:r>
        <w:rPr>
          <w:noProof/>
        </w:rPr>
        <w:fldChar w:fldCharType="end"/>
      </w:r>
    </w:p>
    <w:p w14:paraId="253053E8"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1.2.2</w:t>
      </w:r>
      <w:r>
        <w:rPr>
          <w:rFonts w:eastAsiaTheme="minorEastAsia"/>
          <w:noProof/>
          <w:sz w:val="24"/>
          <w:szCs w:val="24"/>
          <w:lang w:eastAsia="ja-JP"/>
        </w:rPr>
        <w:tab/>
      </w:r>
      <w:r w:rsidRPr="00432439">
        <w:rPr>
          <w:rFonts w:ascii="Garamond" w:hAnsi="Garamond"/>
          <w:noProof/>
        </w:rPr>
        <w:t>Model Diagnostics</w:t>
      </w:r>
      <w:r>
        <w:rPr>
          <w:noProof/>
        </w:rPr>
        <w:tab/>
      </w:r>
      <w:r>
        <w:rPr>
          <w:noProof/>
        </w:rPr>
        <w:fldChar w:fldCharType="begin"/>
      </w:r>
      <w:r>
        <w:rPr>
          <w:noProof/>
        </w:rPr>
        <w:instrText xml:space="preserve"> PAGEREF _Toc392863181 \h </w:instrText>
      </w:r>
      <w:r>
        <w:rPr>
          <w:noProof/>
        </w:rPr>
      </w:r>
      <w:r>
        <w:rPr>
          <w:noProof/>
        </w:rPr>
        <w:fldChar w:fldCharType="separate"/>
      </w:r>
      <w:r>
        <w:rPr>
          <w:noProof/>
        </w:rPr>
        <w:t>6</w:t>
      </w:r>
      <w:r>
        <w:rPr>
          <w:noProof/>
        </w:rPr>
        <w:fldChar w:fldCharType="end"/>
      </w:r>
    </w:p>
    <w:p w14:paraId="4A0FA640"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1.2.3</w:t>
      </w:r>
      <w:r>
        <w:rPr>
          <w:rFonts w:eastAsiaTheme="minorEastAsia"/>
          <w:noProof/>
          <w:sz w:val="24"/>
          <w:szCs w:val="24"/>
          <w:lang w:eastAsia="ja-JP"/>
        </w:rPr>
        <w:tab/>
      </w:r>
      <w:r w:rsidRPr="00432439">
        <w:rPr>
          <w:rFonts w:ascii="Garamond" w:hAnsi="Garamond"/>
          <w:noProof/>
        </w:rPr>
        <w:t>Attributable Risk Comparison</w:t>
      </w:r>
      <w:r>
        <w:rPr>
          <w:noProof/>
        </w:rPr>
        <w:tab/>
      </w:r>
      <w:r>
        <w:rPr>
          <w:noProof/>
        </w:rPr>
        <w:fldChar w:fldCharType="begin"/>
      </w:r>
      <w:r>
        <w:rPr>
          <w:noProof/>
        </w:rPr>
        <w:instrText xml:space="preserve"> PAGEREF _Toc392863182 \h </w:instrText>
      </w:r>
      <w:r>
        <w:rPr>
          <w:noProof/>
        </w:rPr>
      </w:r>
      <w:r>
        <w:rPr>
          <w:noProof/>
        </w:rPr>
        <w:fldChar w:fldCharType="separate"/>
      </w:r>
      <w:r>
        <w:rPr>
          <w:noProof/>
        </w:rPr>
        <w:t>7</w:t>
      </w:r>
      <w:r>
        <w:rPr>
          <w:noProof/>
        </w:rPr>
        <w:fldChar w:fldCharType="end"/>
      </w:r>
    </w:p>
    <w:p w14:paraId="5569C8B7" w14:textId="77777777" w:rsidR="00CE78D9" w:rsidRDefault="00CE78D9">
      <w:pPr>
        <w:pStyle w:val="TOC1"/>
        <w:tabs>
          <w:tab w:val="left" w:pos="391"/>
          <w:tab w:val="right" w:leader="dot" w:pos="9350"/>
        </w:tabs>
        <w:rPr>
          <w:rFonts w:eastAsiaTheme="minorEastAsia"/>
          <w:noProof/>
          <w:sz w:val="24"/>
          <w:szCs w:val="24"/>
          <w:lang w:eastAsia="ja-JP"/>
        </w:rPr>
      </w:pPr>
      <w:r w:rsidRPr="00432439">
        <w:rPr>
          <w:rFonts w:ascii="Garamond" w:hAnsi="Garamond"/>
          <w:noProof/>
        </w:rPr>
        <w:t>2.</w:t>
      </w:r>
      <w:r>
        <w:rPr>
          <w:rFonts w:eastAsiaTheme="minorEastAsia"/>
          <w:noProof/>
          <w:sz w:val="24"/>
          <w:szCs w:val="24"/>
          <w:lang w:eastAsia="ja-JP"/>
        </w:rPr>
        <w:tab/>
      </w:r>
      <w:r w:rsidRPr="00432439">
        <w:rPr>
          <w:rFonts w:ascii="Garamond" w:hAnsi="Garamond"/>
          <w:noProof/>
        </w:rPr>
        <w:t>Deriving the Exposure Response Function – Model Specifications</w:t>
      </w:r>
      <w:r>
        <w:rPr>
          <w:noProof/>
        </w:rPr>
        <w:tab/>
      </w:r>
      <w:r>
        <w:rPr>
          <w:noProof/>
        </w:rPr>
        <w:fldChar w:fldCharType="begin"/>
      </w:r>
      <w:r>
        <w:rPr>
          <w:noProof/>
        </w:rPr>
        <w:instrText xml:space="preserve"> PAGEREF _Toc392863183 \h </w:instrText>
      </w:r>
      <w:r>
        <w:rPr>
          <w:noProof/>
        </w:rPr>
      </w:r>
      <w:r>
        <w:rPr>
          <w:noProof/>
        </w:rPr>
        <w:fldChar w:fldCharType="separate"/>
      </w:r>
      <w:r>
        <w:rPr>
          <w:noProof/>
        </w:rPr>
        <w:t>8</w:t>
      </w:r>
      <w:r>
        <w:rPr>
          <w:noProof/>
        </w:rPr>
        <w:fldChar w:fldCharType="end"/>
      </w:r>
    </w:p>
    <w:p w14:paraId="5646065F" w14:textId="77777777" w:rsidR="00CE78D9" w:rsidRDefault="00CE78D9">
      <w:pPr>
        <w:pStyle w:val="TOC1"/>
        <w:tabs>
          <w:tab w:val="left" w:pos="391"/>
          <w:tab w:val="right" w:leader="dot" w:pos="9350"/>
        </w:tabs>
        <w:rPr>
          <w:rFonts w:eastAsiaTheme="minorEastAsia"/>
          <w:noProof/>
          <w:sz w:val="24"/>
          <w:szCs w:val="24"/>
          <w:lang w:eastAsia="ja-JP"/>
        </w:rPr>
      </w:pPr>
      <w:r w:rsidRPr="00432439">
        <w:rPr>
          <w:rFonts w:ascii="Garamond" w:hAnsi="Garamond"/>
          <w:noProof/>
        </w:rPr>
        <w:t>3.</w:t>
      </w:r>
      <w:r>
        <w:rPr>
          <w:rFonts w:eastAsiaTheme="minorEastAsia"/>
          <w:noProof/>
          <w:sz w:val="24"/>
          <w:szCs w:val="24"/>
          <w:lang w:eastAsia="ja-JP"/>
        </w:rPr>
        <w:tab/>
      </w:r>
      <w:r w:rsidRPr="00432439">
        <w:rPr>
          <w:rFonts w:ascii="Garamond" w:hAnsi="Garamond"/>
          <w:noProof/>
        </w:rPr>
        <w:t>Annual Attributable Risk Estimation</w:t>
      </w:r>
      <w:r>
        <w:rPr>
          <w:noProof/>
        </w:rPr>
        <w:tab/>
      </w:r>
      <w:r>
        <w:rPr>
          <w:noProof/>
        </w:rPr>
        <w:fldChar w:fldCharType="begin"/>
      </w:r>
      <w:r>
        <w:rPr>
          <w:noProof/>
        </w:rPr>
        <w:instrText xml:space="preserve"> PAGEREF _Toc392863184 \h </w:instrText>
      </w:r>
      <w:r>
        <w:rPr>
          <w:noProof/>
        </w:rPr>
      </w:r>
      <w:r>
        <w:rPr>
          <w:noProof/>
        </w:rPr>
        <w:fldChar w:fldCharType="separate"/>
      </w:r>
      <w:r>
        <w:rPr>
          <w:noProof/>
        </w:rPr>
        <w:t>10</w:t>
      </w:r>
      <w:r>
        <w:rPr>
          <w:noProof/>
        </w:rPr>
        <w:fldChar w:fldCharType="end"/>
      </w:r>
    </w:p>
    <w:p w14:paraId="576F47F2" w14:textId="77777777" w:rsidR="00CE78D9" w:rsidRDefault="00CE78D9">
      <w:pPr>
        <w:pStyle w:val="TOC1"/>
        <w:tabs>
          <w:tab w:val="left" w:pos="391"/>
          <w:tab w:val="right" w:leader="dot" w:pos="9350"/>
        </w:tabs>
        <w:rPr>
          <w:rFonts w:eastAsiaTheme="minorEastAsia"/>
          <w:noProof/>
          <w:sz w:val="24"/>
          <w:szCs w:val="24"/>
          <w:lang w:eastAsia="ja-JP"/>
        </w:rPr>
      </w:pPr>
      <w:r w:rsidRPr="00432439">
        <w:rPr>
          <w:rFonts w:ascii="Garamond" w:hAnsi="Garamond"/>
          <w:noProof/>
        </w:rPr>
        <w:t>4.</w:t>
      </w:r>
      <w:r>
        <w:rPr>
          <w:rFonts w:eastAsiaTheme="minorEastAsia"/>
          <w:noProof/>
          <w:sz w:val="24"/>
          <w:szCs w:val="24"/>
          <w:lang w:eastAsia="ja-JP"/>
        </w:rPr>
        <w:tab/>
      </w:r>
      <w:r w:rsidRPr="00432439">
        <w:rPr>
          <w:rFonts w:ascii="Garamond" w:hAnsi="Garamond"/>
          <w:noProof/>
        </w:rPr>
        <w:t>Cost Estimation Parameters</w:t>
      </w:r>
      <w:r>
        <w:rPr>
          <w:noProof/>
        </w:rPr>
        <w:tab/>
      </w:r>
      <w:r>
        <w:rPr>
          <w:noProof/>
        </w:rPr>
        <w:fldChar w:fldCharType="begin"/>
      </w:r>
      <w:r>
        <w:rPr>
          <w:noProof/>
        </w:rPr>
        <w:instrText xml:space="preserve"> PAGEREF _Toc392863185 \h </w:instrText>
      </w:r>
      <w:r>
        <w:rPr>
          <w:noProof/>
        </w:rPr>
      </w:r>
      <w:r>
        <w:rPr>
          <w:noProof/>
        </w:rPr>
        <w:fldChar w:fldCharType="separate"/>
      </w:r>
      <w:r>
        <w:rPr>
          <w:noProof/>
        </w:rPr>
        <w:t>11</w:t>
      </w:r>
      <w:r>
        <w:rPr>
          <w:noProof/>
        </w:rPr>
        <w:fldChar w:fldCharType="end"/>
      </w:r>
    </w:p>
    <w:p w14:paraId="6327FC28" w14:textId="77777777" w:rsidR="00CE78D9" w:rsidRDefault="00CE78D9">
      <w:pPr>
        <w:pStyle w:val="TOC2"/>
        <w:tabs>
          <w:tab w:val="left" w:pos="714"/>
          <w:tab w:val="right" w:leader="dot" w:pos="9350"/>
        </w:tabs>
        <w:rPr>
          <w:rFonts w:eastAsiaTheme="minorEastAsia"/>
          <w:noProof/>
          <w:sz w:val="24"/>
          <w:szCs w:val="24"/>
          <w:lang w:eastAsia="ja-JP"/>
        </w:rPr>
      </w:pPr>
      <w:r w:rsidRPr="00432439">
        <w:rPr>
          <w:rFonts w:ascii="Garamond" w:hAnsi="Garamond"/>
          <w:noProof/>
        </w:rPr>
        <w:t>4.1</w:t>
      </w:r>
      <w:r>
        <w:rPr>
          <w:rFonts w:eastAsiaTheme="minorEastAsia"/>
          <w:noProof/>
          <w:sz w:val="24"/>
          <w:szCs w:val="24"/>
          <w:lang w:eastAsia="ja-JP"/>
        </w:rPr>
        <w:tab/>
      </w:r>
      <w:r w:rsidRPr="00432439">
        <w:rPr>
          <w:rFonts w:ascii="Garamond" w:hAnsi="Garamond"/>
          <w:noProof/>
        </w:rPr>
        <w:t>Adjusting Value of Statistical Life</w:t>
      </w:r>
      <w:r>
        <w:rPr>
          <w:noProof/>
        </w:rPr>
        <w:tab/>
      </w:r>
      <w:r>
        <w:rPr>
          <w:noProof/>
        </w:rPr>
        <w:fldChar w:fldCharType="begin"/>
      </w:r>
      <w:r>
        <w:rPr>
          <w:noProof/>
        </w:rPr>
        <w:instrText xml:space="preserve"> PAGEREF _Toc392863186 \h </w:instrText>
      </w:r>
      <w:r>
        <w:rPr>
          <w:noProof/>
        </w:rPr>
      </w:r>
      <w:r>
        <w:rPr>
          <w:noProof/>
        </w:rPr>
        <w:fldChar w:fldCharType="separate"/>
      </w:r>
      <w:r>
        <w:rPr>
          <w:noProof/>
        </w:rPr>
        <w:t>11</w:t>
      </w:r>
      <w:r>
        <w:rPr>
          <w:noProof/>
        </w:rPr>
        <w:fldChar w:fldCharType="end"/>
      </w:r>
    </w:p>
    <w:p w14:paraId="1001844B"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4.1.1</w:t>
      </w:r>
      <w:r>
        <w:rPr>
          <w:rFonts w:eastAsiaTheme="minorEastAsia"/>
          <w:noProof/>
          <w:sz w:val="24"/>
          <w:szCs w:val="24"/>
          <w:lang w:eastAsia="ja-JP"/>
        </w:rPr>
        <w:tab/>
      </w:r>
      <w:r w:rsidRPr="00432439">
        <w:rPr>
          <w:rFonts w:ascii="Garamond" w:hAnsi="Garamond"/>
          <w:noProof/>
        </w:rPr>
        <w:t>Methods</w:t>
      </w:r>
      <w:r>
        <w:rPr>
          <w:noProof/>
        </w:rPr>
        <w:tab/>
      </w:r>
      <w:r>
        <w:rPr>
          <w:noProof/>
        </w:rPr>
        <w:fldChar w:fldCharType="begin"/>
      </w:r>
      <w:r>
        <w:rPr>
          <w:noProof/>
        </w:rPr>
        <w:instrText xml:space="preserve"> PAGEREF _Toc392863187 \h </w:instrText>
      </w:r>
      <w:r>
        <w:rPr>
          <w:noProof/>
        </w:rPr>
      </w:r>
      <w:r>
        <w:rPr>
          <w:noProof/>
        </w:rPr>
        <w:fldChar w:fldCharType="separate"/>
      </w:r>
      <w:r>
        <w:rPr>
          <w:noProof/>
        </w:rPr>
        <w:t>11</w:t>
      </w:r>
      <w:r>
        <w:rPr>
          <w:noProof/>
        </w:rPr>
        <w:fldChar w:fldCharType="end"/>
      </w:r>
    </w:p>
    <w:p w14:paraId="253CEB18"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4.1.2</w:t>
      </w:r>
      <w:r>
        <w:rPr>
          <w:rFonts w:eastAsiaTheme="minorEastAsia"/>
          <w:noProof/>
          <w:sz w:val="24"/>
          <w:szCs w:val="24"/>
          <w:lang w:eastAsia="ja-JP"/>
        </w:rPr>
        <w:tab/>
      </w:r>
      <w:r w:rsidRPr="00432439">
        <w:rPr>
          <w:rFonts w:ascii="Garamond" w:hAnsi="Garamond"/>
          <w:noProof/>
        </w:rPr>
        <w:t>Consumer Price Index</w:t>
      </w:r>
      <w:r>
        <w:rPr>
          <w:noProof/>
        </w:rPr>
        <w:tab/>
      </w:r>
      <w:r>
        <w:rPr>
          <w:noProof/>
        </w:rPr>
        <w:fldChar w:fldCharType="begin"/>
      </w:r>
      <w:r>
        <w:rPr>
          <w:noProof/>
        </w:rPr>
        <w:instrText xml:space="preserve"> PAGEREF _Toc392863188 \h </w:instrText>
      </w:r>
      <w:r>
        <w:rPr>
          <w:noProof/>
        </w:rPr>
      </w:r>
      <w:r>
        <w:rPr>
          <w:noProof/>
        </w:rPr>
        <w:fldChar w:fldCharType="separate"/>
      </w:r>
      <w:r>
        <w:rPr>
          <w:noProof/>
        </w:rPr>
        <w:t>13</w:t>
      </w:r>
      <w:r>
        <w:rPr>
          <w:noProof/>
        </w:rPr>
        <w:fldChar w:fldCharType="end"/>
      </w:r>
    </w:p>
    <w:p w14:paraId="2D13B3E3"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4.1.3</w:t>
      </w:r>
      <w:r>
        <w:rPr>
          <w:rFonts w:eastAsiaTheme="minorEastAsia"/>
          <w:noProof/>
          <w:sz w:val="24"/>
          <w:szCs w:val="24"/>
          <w:lang w:eastAsia="ja-JP"/>
        </w:rPr>
        <w:tab/>
      </w:r>
      <w:r w:rsidRPr="00432439">
        <w:rPr>
          <w:rFonts w:ascii="Garamond" w:hAnsi="Garamond"/>
          <w:noProof/>
        </w:rPr>
        <w:t>Income-Based Willing to Pay Adjustments</w:t>
      </w:r>
      <w:r>
        <w:rPr>
          <w:noProof/>
        </w:rPr>
        <w:tab/>
      </w:r>
      <w:r>
        <w:rPr>
          <w:noProof/>
        </w:rPr>
        <w:fldChar w:fldCharType="begin"/>
      </w:r>
      <w:r>
        <w:rPr>
          <w:noProof/>
        </w:rPr>
        <w:instrText xml:space="preserve"> PAGEREF _Toc392863189 \h </w:instrText>
      </w:r>
      <w:r>
        <w:rPr>
          <w:noProof/>
        </w:rPr>
      </w:r>
      <w:r>
        <w:rPr>
          <w:noProof/>
        </w:rPr>
        <w:fldChar w:fldCharType="separate"/>
      </w:r>
      <w:r>
        <w:rPr>
          <w:noProof/>
        </w:rPr>
        <w:t>14</w:t>
      </w:r>
      <w:r>
        <w:rPr>
          <w:noProof/>
        </w:rPr>
        <w:fldChar w:fldCharType="end"/>
      </w:r>
    </w:p>
    <w:p w14:paraId="67E8DFD5"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4.1.4</w:t>
      </w:r>
      <w:r>
        <w:rPr>
          <w:rFonts w:eastAsiaTheme="minorEastAsia"/>
          <w:noProof/>
          <w:sz w:val="24"/>
          <w:szCs w:val="24"/>
          <w:lang w:eastAsia="ja-JP"/>
        </w:rPr>
        <w:tab/>
      </w:r>
      <w:r w:rsidRPr="00432439">
        <w:rPr>
          <w:rFonts w:ascii="Garamond" w:hAnsi="Garamond"/>
          <w:noProof/>
        </w:rPr>
        <w:t>VSL Results</w:t>
      </w:r>
      <w:r>
        <w:rPr>
          <w:noProof/>
        </w:rPr>
        <w:tab/>
      </w:r>
      <w:r>
        <w:rPr>
          <w:noProof/>
        </w:rPr>
        <w:fldChar w:fldCharType="begin"/>
      </w:r>
      <w:r>
        <w:rPr>
          <w:noProof/>
        </w:rPr>
        <w:instrText xml:space="preserve"> PAGEREF _Toc392863190 \h </w:instrText>
      </w:r>
      <w:r>
        <w:rPr>
          <w:noProof/>
        </w:rPr>
      </w:r>
      <w:r>
        <w:rPr>
          <w:noProof/>
        </w:rPr>
        <w:fldChar w:fldCharType="separate"/>
      </w:r>
      <w:r>
        <w:rPr>
          <w:noProof/>
        </w:rPr>
        <w:t>15</w:t>
      </w:r>
      <w:r>
        <w:rPr>
          <w:noProof/>
        </w:rPr>
        <w:fldChar w:fldCharType="end"/>
      </w:r>
    </w:p>
    <w:p w14:paraId="6BDFDC72"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4.1.5</w:t>
      </w:r>
      <w:r>
        <w:rPr>
          <w:rFonts w:eastAsiaTheme="minorEastAsia"/>
          <w:noProof/>
          <w:sz w:val="24"/>
          <w:szCs w:val="24"/>
          <w:lang w:eastAsia="ja-JP"/>
        </w:rPr>
        <w:tab/>
      </w:r>
      <w:r w:rsidRPr="00432439">
        <w:rPr>
          <w:rFonts w:ascii="Garamond" w:hAnsi="Garamond"/>
          <w:noProof/>
        </w:rPr>
        <w:t>Total Mortality Cost Estimates (Sensitivity Analysis)</w:t>
      </w:r>
      <w:r>
        <w:rPr>
          <w:noProof/>
        </w:rPr>
        <w:tab/>
      </w:r>
      <w:r>
        <w:rPr>
          <w:noProof/>
        </w:rPr>
        <w:fldChar w:fldCharType="begin"/>
      </w:r>
      <w:r>
        <w:rPr>
          <w:noProof/>
        </w:rPr>
        <w:instrText xml:space="preserve"> PAGEREF _Toc392863191 \h </w:instrText>
      </w:r>
      <w:r>
        <w:rPr>
          <w:noProof/>
        </w:rPr>
      </w:r>
      <w:r>
        <w:rPr>
          <w:noProof/>
        </w:rPr>
        <w:fldChar w:fldCharType="separate"/>
      </w:r>
      <w:r>
        <w:rPr>
          <w:noProof/>
        </w:rPr>
        <w:t>16</w:t>
      </w:r>
      <w:r>
        <w:rPr>
          <w:noProof/>
        </w:rPr>
        <w:fldChar w:fldCharType="end"/>
      </w:r>
    </w:p>
    <w:p w14:paraId="0618FB1A" w14:textId="77777777" w:rsidR="00CE78D9" w:rsidRDefault="00CE78D9">
      <w:pPr>
        <w:pStyle w:val="TOC2"/>
        <w:tabs>
          <w:tab w:val="left" w:pos="714"/>
          <w:tab w:val="right" w:leader="dot" w:pos="9350"/>
        </w:tabs>
        <w:rPr>
          <w:rFonts w:eastAsiaTheme="minorEastAsia"/>
          <w:noProof/>
          <w:sz w:val="24"/>
          <w:szCs w:val="24"/>
          <w:lang w:eastAsia="ja-JP"/>
        </w:rPr>
      </w:pPr>
      <w:r w:rsidRPr="00432439">
        <w:rPr>
          <w:rFonts w:ascii="Garamond" w:hAnsi="Garamond"/>
          <w:noProof/>
        </w:rPr>
        <w:t>4.2</w:t>
      </w:r>
      <w:r>
        <w:rPr>
          <w:rFonts w:eastAsiaTheme="minorEastAsia"/>
          <w:noProof/>
          <w:sz w:val="24"/>
          <w:szCs w:val="24"/>
          <w:lang w:eastAsia="ja-JP"/>
        </w:rPr>
        <w:tab/>
      </w:r>
      <w:r w:rsidRPr="00432439">
        <w:rPr>
          <w:rFonts w:ascii="Garamond" w:hAnsi="Garamond"/>
          <w:noProof/>
        </w:rPr>
        <w:t>Age-based &amp; Year-Specific Daily Production Value</w:t>
      </w:r>
      <w:r>
        <w:rPr>
          <w:noProof/>
        </w:rPr>
        <w:tab/>
      </w:r>
      <w:r>
        <w:rPr>
          <w:noProof/>
        </w:rPr>
        <w:fldChar w:fldCharType="begin"/>
      </w:r>
      <w:r>
        <w:rPr>
          <w:noProof/>
        </w:rPr>
        <w:instrText xml:space="preserve"> PAGEREF _Toc392863192 \h </w:instrText>
      </w:r>
      <w:r>
        <w:rPr>
          <w:noProof/>
        </w:rPr>
      </w:r>
      <w:r>
        <w:rPr>
          <w:noProof/>
        </w:rPr>
        <w:fldChar w:fldCharType="separate"/>
      </w:r>
      <w:r>
        <w:rPr>
          <w:noProof/>
        </w:rPr>
        <w:t>17</w:t>
      </w:r>
      <w:r>
        <w:rPr>
          <w:noProof/>
        </w:rPr>
        <w:fldChar w:fldCharType="end"/>
      </w:r>
    </w:p>
    <w:p w14:paraId="0765C753"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4.2.1</w:t>
      </w:r>
      <w:r>
        <w:rPr>
          <w:rFonts w:eastAsiaTheme="minorEastAsia"/>
          <w:noProof/>
          <w:sz w:val="24"/>
          <w:szCs w:val="24"/>
          <w:lang w:eastAsia="ja-JP"/>
        </w:rPr>
        <w:tab/>
      </w:r>
      <w:r w:rsidRPr="00432439">
        <w:rPr>
          <w:rFonts w:ascii="Garamond" w:hAnsi="Garamond"/>
          <w:noProof/>
        </w:rPr>
        <w:t>Method</w:t>
      </w:r>
      <w:r>
        <w:rPr>
          <w:noProof/>
        </w:rPr>
        <w:tab/>
      </w:r>
      <w:r>
        <w:rPr>
          <w:noProof/>
        </w:rPr>
        <w:fldChar w:fldCharType="begin"/>
      </w:r>
      <w:r>
        <w:rPr>
          <w:noProof/>
        </w:rPr>
        <w:instrText xml:space="preserve"> PAGEREF _Toc392863193 \h </w:instrText>
      </w:r>
      <w:r>
        <w:rPr>
          <w:noProof/>
        </w:rPr>
      </w:r>
      <w:r>
        <w:rPr>
          <w:noProof/>
        </w:rPr>
        <w:fldChar w:fldCharType="separate"/>
      </w:r>
      <w:r>
        <w:rPr>
          <w:noProof/>
        </w:rPr>
        <w:t>17</w:t>
      </w:r>
      <w:r>
        <w:rPr>
          <w:noProof/>
        </w:rPr>
        <w:fldChar w:fldCharType="end"/>
      </w:r>
    </w:p>
    <w:p w14:paraId="669C7B70" w14:textId="77777777" w:rsidR="00CE78D9" w:rsidRDefault="00CE78D9">
      <w:pPr>
        <w:pStyle w:val="TOC3"/>
        <w:tabs>
          <w:tab w:val="left" w:pos="1086"/>
          <w:tab w:val="right" w:leader="dot" w:pos="9350"/>
        </w:tabs>
        <w:rPr>
          <w:rFonts w:eastAsiaTheme="minorEastAsia"/>
          <w:noProof/>
          <w:sz w:val="24"/>
          <w:szCs w:val="24"/>
          <w:lang w:eastAsia="ja-JP"/>
        </w:rPr>
      </w:pPr>
      <w:r w:rsidRPr="00432439">
        <w:rPr>
          <w:rFonts w:ascii="Garamond" w:hAnsi="Garamond"/>
          <w:noProof/>
        </w:rPr>
        <w:t>4.2.2</w:t>
      </w:r>
      <w:r>
        <w:rPr>
          <w:rFonts w:eastAsiaTheme="minorEastAsia"/>
          <w:noProof/>
          <w:sz w:val="24"/>
          <w:szCs w:val="24"/>
          <w:lang w:eastAsia="ja-JP"/>
        </w:rPr>
        <w:tab/>
      </w:r>
      <w:r w:rsidRPr="00432439">
        <w:rPr>
          <w:rFonts w:ascii="Garamond" w:hAnsi="Garamond"/>
          <w:noProof/>
        </w:rPr>
        <w:t>DPV by Age Groups</w:t>
      </w:r>
      <w:r>
        <w:rPr>
          <w:noProof/>
        </w:rPr>
        <w:tab/>
      </w:r>
      <w:r>
        <w:rPr>
          <w:noProof/>
        </w:rPr>
        <w:fldChar w:fldCharType="begin"/>
      </w:r>
      <w:r>
        <w:rPr>
          <w:noProof/>
        </w:rPr>
        <w:instrText xml:space="preserve"> PAGEREF _Toc392863194 \h </w:instrText>
      </w:r>
      <w:r>
        <w:rPr>
          <w:noProof/>
        </w:rPr>
      </w:r>
      <w:r>
        <w:rPr>
          <w:noProof/>
        </w:rPr>
        <w:fldChar w:fldCharType="separate"/>
      </w:r>
      <w:r>
        <w:rPr>
          <w:noProof/>
        </w:rPr>
        <w:t>18</w:t>
      </w:r>
      <w:r>
        <w:rPr>
          <w:noProof/>
        </w:rPr>
        <w:fldChar w:fldCharType="end"/>
      </w:r>
    </w:p>
    <w:p w14:paraId="1C38720C" w14:textId="77777777" w:rsidR="00CE78D9" w:rsidRDefault="00CE78D9">
      <w:pPr>
        <w:pStyle w:val="TOC1"/>
        <w:tabs>
          <w:tab w:val="left" w:pos="391"/>
          <w:tab w:val="right" w:leader="dot" w:pos="9350"/>
        </w:tabs>
        <w:rPr>
          <w:rFonts w:eastAsiaTheme="minorEastAsia"/>
          <w:noProof/>
          <w:sz w:val="24"/>
          <w:szCs w:val="24"/>
          <w:lang w:eastAsia="ja-JP"/>
        </w:rPr>
      </w:pPr>
      <w:r w:rsidRPr="00432439">
        <w:rPr>
          <w:rFonts w:ascii="Garamond" w:hAnsi="Garamond"/>
          <w:noProof/>
        </w:rPr>
        <w:t>5.</w:t>
      </w:r>
      <w:r>
        <w:rPr>
          <w:rFonts w:eastAsiaTheme="minorEastAsia"/>
          <w:noProof/>
          <w:sz w:val="24"/>
          <w:szCs w:val="24"/>
          <w:lang w:eastAsia="ja-JP"/>
        </w:rPr>
        <w:tab/>
      </w:r>
      <w:r w:rsidRPr="00432439">
        <w:rPr>
          <w:rFonts w:ascii="Garamond" w:hAnsi="Garamond"/>
          <w:noProof/>
        </w:rPr>
        <w:t>Minimum Effect Temperature</w:t>
      </w:r>
      <w:r>
        <w:rPr>
          <w:noProof/>
        </w:rPr>
        <w:tab/>
      </w:r>
      <w:r>
        <w:rPr>
          <w:noProof/>
        </w:rPr>
        <w:fldChar w:fldCharType="begin"/>
      </w:r>
      <w:r>
        <w:rPr>
          <w:noProof/>
        </w:rPr>
        <w:instrText xml:space="preserve"> PAGEREF _Toc392863195 \h </w:instrText>
      </w:r>
      <w:r>
        <w:rPr>
          <w:noProof/>
        </w:rPr>
      </w:r>
      <w:r>
        <w:rPr>
          <w:noProof/>
        </w:rPr>
        <w:fldChar w:fldCharType="separate"/>
      </w:r>
      <w:r>
        <w:rPr>
          <w:noProof/>
        </w:rPr>
        <w:t>19</w:t>
      </w:r>
      <w:r>
        <w:rPr>
          <w:noProof/>
        </w:rPr>
        <w:fldChar w:fldCharType="end"/>
      </w:r>
    </w:p>
    <w:p w14:paraId="3C7C0197" w14:textId="77777777" w:rsidR="00CE78D9" w:rsidRDefault="00CE78D9">
      <w:pPr>
        <w:pStyle w:val="TOC1"/>
        <w:tabs>
          <w:tab w:val="left" w:pos="391"/>
          <w:tab w:val="right" w:leader="dot" w:pos="9350"/>
        </w:tabs>
        <w:rPr>
          <w:rFonts w:eastAsiaTheme="minorEastAsia"/>
          <w:noProof/>
          <w:sz w:val="24"/>
          <w:szCs w:val="24"/>
          <w:lang w:eastAsia="ja-JP"/>
        </w:rPr>
      </w:pPr>
      <w:r w:rsidRPr="00432439">
        <w:rPr>
          <w:rFonts w:ascii="Garamond" w:hAnsi="Garamond"/>
          <w:noProof/>
        </w:rPr>
        <w:t>6.</w:t>
      </w:r>
      <w:r>
        <w:rPr>
          <w:rFonts w:eastAsiaTheme="minorEastAsia"/>
          <w:noProof/>
          <w:sz w:val="24"/>
          <w:szCs w:val="24"/>
          <w:lang w:eastAsia="ja-JP"/>
        </w:rPr>
        <w:tab/>
      </w:r>
      <w:r w:rsidRPr="00432439">
        <w:rPr>
          <w:rFonts w:ascii="Garamond" w:hAnsi="Garamond"/>
          <w:noProof/>
        </w:rPr>
        <w:t>Data used to generate Figure 2 and Figure 3 in Main Text</w:t>
      </w:r>
      <w:r>
        <w:rPr>
          <w:noProof/>
        </w:rPr>
        <w:tab/>
      </w:r>
      <w:r>
        <w:rPr>
          <w:noProof/>
        </w:rPr>
        <w:fldChar w:fldCharType="begin"/>
      </w:r>
      <w:r>
        <w:rPr>
          <w:noProof/>
        </w:rPr>
        <w:instrText xml:space="preserve"> PAGEREF _Toc392863196 \h </w:instrText>
      </w:r>
      <w:r>
        <w:rPr>
          <w:noProof/>
        </w:rPr>
      </w:r>
      <w:r>
        <w:rPr>
          <w:noProof/>
        </w:rPr>
        <w:fldChar w:fldCharType="separate"/>
      </w:r>
      <w:r>
        <w:rPr>
          <w:noProof/>
        </w:rPr>
        <w:t>20</w:t>
      </w:r>
      <w:r>
        <w:rPr>
          <w:noProof/>
        </w:rPr>
        <w:fldChar w:fldCharType="end"/>
      </w:r>
    </w:p>
    <w:p w14:paraId="7C55BF6A" w14:textId="77777777" w:rsidR="00CE78D9" w:rsidRDefault="00CE78D9">
      <w:pPr>
        <w:pStyle w:val="TOC2"/>
        <w:tabs>
          <w:tab w:val="right" w:leader="dot" w:pos="9350"/>
        </w:tabs>
        <w:rPr>
          <w:rFonts w:eastAsiaTheme="minorEastAsia"/>
          <w:noProof/>
          <w:sz w:val="24"/>
          <w:szCs w:val="24"/>
          <w:lang w:eastAsia="ja-JP"/>
        </w:rPr>
      </w:pPr>
      <w:r w:rsidRPr="00432439">
        <w:rPr>
          <w:rFonts w:ascii="Garamond" w:hAnsi="Garamond"/>
          <w:noProof/>
        </w:rPr>
        <w:t>6.1 Attributable Fraction and Attributable Cases Estimates given Moderate to Extreme Exposures</w:t>
      </w:r>
      <w:r>
        <w:rPr>
          <w:noProof/>
        </w:rPr>
        <w:tab/>
      </w:r>
      <w:r>
        <w:rPr>
          <w:noProof/>
        </w:rPr>
        <w:fldChar w:fldCharType="begin"/>
      </w:r>
      <w:r>
        <w:rPr>
          <w:noProof/>
        </w:rPr>
        <w:instrText xml:space="preserve"> PAGEREF _Toc392863197 \h </w:instrText>
      </w:r>
      <w:r>
        <w:rPr>
          <w:noProof/>
        </w:rPr>
      </w:r>
      <w:r>
        <w:rPr>
          <w:noProof/>
        </w:rPr>
        <w:fldChar w:fldCharType="separate"/>
      </w:r>
      <w:r>
        <w:rPr>
          <w:noProof/>
        </w:rPr>
        <w:t>20</w:t>
      </w:r>
      <w:r>
        <w:rPr>
          <w:noProof/>
        </w:rPr>
        <w:fldChar w:fldCharType="end"/>
      </w:r>
    </w:p>
    <w:p w14:paraId="009D433E" w14:textId="77777777" w:rsidR="00CE78D9" w:rsidRDefault="00CE78D9">
      <w:pPr>
        <w:pStyle w:val="TOC2"/>
        <w:tabs>
          <w:tab w:val="left" w:pos="714"/>
          <w:tab w:val="right" w:leader="dot" w:pos="9350"/>
        </w:tabs>
        <w:rPr>
          <w:rFonts w:eastAsiaTheme="minorEastAsia"/>
          <w:noProof/>
          <w:sz w:val="24"/>
          <w:szCs w:val="24"/>
          <w:lang w:eastAsia="ja-JP"/>
        </w:rPr>
      </w:pPr>
      <w:r w:rsidRPr="00432439">
        <w:rPr>
          <w:rFonts w:ascii="Garamond" w:hAnsi="Garamond"/>
          <w:noProof/>
        </w:rPr>
        <w:t>6.2</w:t>
      </w:r>
      <w:r>
        <w:rPr>
          <w:rFonts w:eastAsiaTheme="minorEastAsia"/>
          <w:noProof/>
          <w:sz w:val="24"/>
          <w:szCs w:val="24"/>
          <w:lang w:eastAsia="ja-JP"/>
        </w:rPr>
        <w:tab/>
      </w:r>
      <w:r w:rsidRPr="00432439">
        <w:rPr>
          <w:rFonts w:ascii="Garamond" w:hAnsi="Garamond"/>
          <w:noProof/>
        </w:rPr>
        <w:t>Attributable Fraction and Attributable Cases Estimates given Extreme Exposures</w:t>
      </w:r>
      <w:r>
        <w:rPr>
          <w:noProof/>
        </w:rPr>
        <w:tab/>
      </w:r>
      <w:r>
        <w:rPr>
          <w:noProof/>
        </w:rPr>
        <w:fldChar w:fldCharType="begin"/>
      </w:r>
      <w:r>
        <w:rPr>
          <w:noProof/>
        </w:rPr>
        <w:instrText xml:space="preserve"> PAGEREF _Toc392863198 \h </w:instrText>
      </w:r>
      <w:r>
        <w:rPr>
          <w:noProof/>
        </w:rPr>
      </w:r>
      <w:r>
        <w:rPr>
          <w:noProof/>
        </w:rPr>
        <w:fldChar w:fldCharType="separate"/>
      </w:r>
      <w:r>
        <w:rPr>
          <w:noProof/>
        </w:rPr>
        <w:t>21</w:t>
      </w:r>
      <w:r>
        <w:rPr>
          <w:noProof/>
        </w:rPr>
        <w:fldChar w:fldCharType="end"/>
      </w:r>
    </w:p>
    <w:p w14:paraId="2C294D35" w14:textId="77777777" w:rsidR="00CE78D9" w:rsidRDefault="00CE78D9">
      <w:pPr>
        <w:pStyle w:val="TOC1"/>
        <w:tabs>
          <w:tab w:val="left" w:pos="343"/>
          <w:tab w:val="right" w:leader="dot" w:pos="9350"/>
        </w:tabs>
        <w:rPr>
          <w:rFonts w:eastAsiaTheme="minorEastAsia"/>
          <w:noProof/>
          <w:sz w:val="24"/>
          <w:szCs w:val="24"/>
          <w:lang w:eastAsia="ja-JP"/>
        </w:rPr>
      </w:pPr>
      <w:r w:rsidRPr="00432439">
        <w:rPr>
          <w:rFonts w:ascii="Garamond" w:hAnsi="Garamond"/>
          <w:noProof/>
        </w:rPr>
        <w:t>7</w:t>
      </w:r>
      <w:r>
        <w:rPr>
          <w:rFonts w:eastAsiaTheme="minorEastAsia"/>
          <w:noProof/>
          <w:sz w:val="24"/>
          <w:szCs w:val="24"/>
          <w:lang w:eastAsia="ja-JP"/>
        </w:rPr>
        <w:tab/>
      </w:r>
      <w:r w:rsidRPr="00432439">
        <w:rPr>
          <w:rFonts w:ascii="Garamond" w:hAnsi="Garamond"/>
          <w:noProof/>
        </w:rPr>
        <w:t>Cost Estimation Supplemental Results</w:t>
      </w:r>
      <w:r>
        <w:rPr>
          <w:noProof/>
        </w:rPr>
        <w:tab/>
      </w:r>
      <w:r>
        <w:rPr>
          <w:noProof/>
        </w:rPr>
        <w:fldChar w:fldCharType="begin"/>
      </w:r>
      <w:r>
        <w:rPr>
          <w:noProof/>
        </w:rPr>
        <w:instrText xml:space="preserve"> PAGEREF _Toc392863199 \h </w:instrText>
      </w:r>
      <w:r>
        <w:rPr>
          <w:noProof/>
        </w:rPr>
      </w:r>
      <w:r>
        <w:rPr>
          <w:noProof/>
        </w:rPr>
        <w:fldChar w:fldCharType="separate"/>
      </w:r>
      <w:r>
        <w:rPr>
          <w:noProof/>
        </w:rPr>
        <w:t>22</w:t>
      </w:r>
      <w:r>
        <w:rPr>
          <w:noProof/>
        </w:rPr>
        <w:fldChar w:fldCharType="end"/>
      </w:r>
    </w:p>
    <w:p w14:paraId="6CB4636D" w14:textId="492006FF" w:rsidR="00DD4256" w:rsidRPr="006704E2" w:rsidRDefault="00730D34" w:rsidP="00BD7DAD">
      <w:pPr>
        <w:rPr>
          <w:rFonts w:ascii="Garamond" w:hAnsi="Garamond"/>
          <w:sz w:val="24"/>
          <w:szCs w:val="24"/>
        </w:rPr>
      </w:pPr>
      <w:r w:rsidRPr="006704E2">
        <w:rPr>
          <w:rFonts w:ascii="Garamond" w:hAnsi="Garamond"/>
          <w:sz w:val="24"/>
          <w:szCs w:val="24"/>
        </w:rPr>
        <w:fldChar w:fldCharType="end"/>
      </w:r>
      <w:r w:rsidR="00DD4256" w:rsidRPr="006704E2">
        <w:rPr>
          <w:rFonts w:ascii="Garamond" w:hAnsi="Garamond"/>
          <w:sz w:val="24"/>
          <w:szCs w:val="24"/>
        </w:rPr>
        <w:br w:type="page"/>
      </w:r>
    </w:p>
    <w:p w14:paraId="5768288E" w14:textId="77777777" w:rsidR="009B0EDB" w:rsidRPr="006704E2" w:rsidRDefault="00393602" w:rsidP="005414A7">
      <w:pPr>
        <w:pStyle w:val="Heading1"/>
        <w:numPr>
          <w:ilvl w:val="0"/>
          <w:numId w:val="17"/>
        </w:numPr>
        <w:spacing w:line="480" w:lineRule="auto"/>
        <w:rPr>
          <w:rFonts w:ascii="Garamond" w:hAnsi="Garamond"/>
          <w:color w:val="auto"/>
          <w:sz w:val="28"/>
          <w:szCs w:val="28"/>
        </w:rPr>
      </w:pPr>
      <w:bookmarkStart w:id="1" w:name="_Toc392863177"/>
      <w:r w:rsidRPr="006704E2">
        <w:rPr>
          <w:rFonts w:ascii="Garamond" w:hAnsi="Garamond"/>
          <w:color w:val="auto"/>
          <w:sz w:val="28"/>
          <w:szCs w:val="28"/>
        </w:rPr>
        <w:lastRenderedPageBreak/>
        <w:t>Air Pollution as Potential Confounder</w:t>
      </w:r>
      <w:bookmarkEnd w:id="1"/>
    </w:p>
    <w:p w14:paraId="3FF3D7C4" w14:textId="529CDC51" w:rsidR="00ED090B" w:rsidRPr="006704E2" w:rsidRDefault="006F6E3E" w:rsidP="005414A7">
      <w:pPr>
        <w:pStyle w:val="Heading2"/>
        <w:numPr>
          <w:ilvl w:val="1"/>
          <w:numId w:val="17"/>
        </w:numPr>
        <w:spacing w:line="480" w:lineRule="auto"/>
        <w:rPr>
          <w:rFonts w:ascii="Garamond" w:hAnsi="Garamond"/>
          <w:color w:val="auto"/>
          <w:sz w:val="24"/>
          <w:szCs w:val="24"/>
        </w:rPr>
      </w:pPr>
      <w:bookmarkStart w:id="2" w:name="_Toc392863178"/>
      <w:r w:rsidRPr="006704E2">
        <w:rPr>
          <w:rFonts w:ascii="Garamond" w:hAnsi="Garamond"/>
          <w:color w:val="auto"/>
        </w:rPr>
        <w:t>Data and Method</w:t>
      </w:r>
      <w:bookmarkEnd w:id="2"/>
    </w:p>
    <w:p w14:paraId="085D64CA" w14:textId="73B324E4" w:rsidR="00054D90" w:rsidRPr="006704E2" w:rsidRDefault="00393602" w:rsidP="005414A7">
      <w:pPr>
        <w:spacing w:line="480" w:lineRule="auto"/>
        <w:rPr>
          <w:rFonts w:ascii="Garamond" w:hAnsi="Garamond"/>
          <w:sz w:val="24"/>
          <w:szCs w:val="24"/>
        </w:rPr>
      </w:pPr>
      <w:r w:rsidRPr="006704E2">
        <w:rPr>
          <w:rFonts w:ascii="Garamond" w:hAnsi="Garamond"/>
          <w:sz w:val="24"/>
          <w:szCs w:val="24"/>
        </w:rPr>
        <w:t>This study investigates Ozone</w:t>
      </w:r>
      <w:r w:rsidR="008729D3" w:rsidRPr="006704E2">
        <w:rPr>
          <w:rFonts w:ascii="Garamond" w:hAnsi="Garamond"/>
          <w:sz w:val="24"/>
          <w:szCs w:val="24"/>
        </w:rPr>
        <w:t xml:space="preserve"> (O</w:t>
      </w:r>
      <w:r w:rsidR="008729D3" w:rsidRPr="006704E2">
        <w:rPr>
          <w:rFonts w:ascii="Garamond" w:hAnsi="Garamond"/>
          <w:sz w:val="24"/>
          <w:szCs w:val="24"/>
          <w:vertAlign w:val="subscript"/>
        </w:rPr>
        <w:t>3</w:t>
      </w:r>
      <w:r w:rsidR="008729D3" w:rsidRPr="006704E2">
        <w:rPr>
          <w:rFonts w:ascii="Garamond" w:hAnsi="Garamond"/>
          <w:sz w:val="24"/>
          <w:szCs w:val="24"/>
        </w:rPr>
        <w:t>)</w:t>
      </w:r>
      <w:r w:rsidRPr="006704E2">
        <w:rPr>
          <w:rFonts w:ascii="Garamond" w:hAnsi="Garamond"/>
          <w:sz w:val="24"/>
          <w:szCs w:val="24"/>
        </w:rPr>
        <w:t xml:space="preserve"> and Particulate Matter with radius smaller</w:t>
      </w:r>
      <w:r w:rsidR="005D6D4F" w:rsidRPr="006704E2">
        <w:rPr>
          <w:rFonts w:ascii="Garamond" w:hAnsi="Garamond"/>
          <w:sz w:val="24"/>
          <w:szCs w:val="24"/>
        </w:rPr>
        <w:t xml:space="preserve"> or equal</w:t>
      </w:r>
      <w:r w:rsidRPr="006704E2">
        <w:rPr>
          <w:rFonts w:ascii="Garamond" w:hAnsi="Garamond"/>
          <w:sz w:val="24"/>
          <w:szCs w:val="24"/>
        </w:rPr>
        <w:t xml:space="preserve"> than 2.5 </w:t>
      </w:r>
      <w:proofErr w:type="spellStart"/>
      <w:r w:rsidRPr="006704E2">
        <w:rPr>
          <w:rFonts w:ascii="Times New Roman" w:hAnsi="Times New Roman" w:cs="Times New Roman"/>
          <w:sz w:val="24"/>
          <w:szCs w:val="24"/>
        </w:rPr>
        <w:t>μ</w:t>
      </w:r>
      <w:r w:rsidRPr="006704E2">
        <w:rPr>
          <w:rFonts w:ascii="Garamond" w:hAnsi="Garamond"/>
          <w:sz w:val="24"/>
          <w:szCs w:val="24"/>
        </w:rPr>
        <w:t>m</w:t>
      </w:r>
      <w:proofErr w:type="spellEnd"/>
      <w:r w:rsidRPr="006704E2">
        <w:rPr>
          <w:rFonts w:ascii="Garamond" w:hAnsi="Garamond"/>
          <w:sz w:val="24"/>
          <w:szCs w:val="24"/>
        </w:rPr>
        <w:t xml:space="preserve"> </w:t>
      </w:r>
      <w:r w:rsidR="008729D3" w:rsidRPr="006704E2">
        <w:rPr>
          <w:rFonts w:ascii="Garamond" w:hAnsi="Garamond"/>
          <w:sz w:val="24"/>
          <w:szCs w:val="24"/>
        </w:rPr>
        <w:t>(PM</w:t>
      </w:r>
      <w:r w:rsidR="008729D3" w:rsidRPr="006704E2">
        <w:rPr>
          <w:rFonts w:ascii="Garamond" w:hAnsi="Garamond"/>
          <w:sz w:val="24"/>
          <w:szCs w:val="24"/>
          <w:vertAlign w:val="subscript"/>
        </w:rPr>
        <w:t>2.5</w:t>
      </w:r>
      <w:r w:rsidR="008729D3" w:rsidRPr="006704E2">
        <w:rPr>
          <w:rFonts w:ascii="Garamond" w:hAnsi="Garamond"/>
          <w:sz w:val="24"/>
          <w:szCs w:val="24"/>
        </w:rPr>
        <w:t xml:space="preserve">) </w:t>
      </w:r>
      <w:r w:rsidRPr="006704E2">
        <w:rPr>
          <w:rFonts w:ascii="Garamond" w:hAnsi="Garamond"/>
          <w:sz w:val="24"/>
          <w:szCs w:val="24"/>
        </w:rPr>
        <w:t>for potential confounding effects</w:t>
      </w:r>
      <w:r w:rsidR="004F1AEA" w:rsidRPr="006704E2">
        <w:rPr>
          <w:rFonts w:ascii="Garamond" w:hAnsi="Garamond"/>
          <w:sz w:val="24"/>
          <w:szCs w:val="24"/>
        </w:rPr>
        <w:t xml:space="preserve"> by air pollutants (AP)</w:t>
      </w:r>
      <w:r w:rsidR="005D6D4F" w:rsidRPr="006704E2">
        <w:rPr>
          <w:rFonts w:ascii="Garamond" w:hAnsi="Garamond"/>
          <w:sz w:val="24"/>
          <w:szCs w:val="24"/>
        </w:rPr>
        <w:t xml:space="preserve"> in the risk assessment model of temperature and population health</w:t>
      </w:r>
      <w:r w:rsidRPr="006704E2">
        <w:rPr>
          <w:rFonts w:ascii="Garamond" w:hAnsi="Garamond"/>
          <w:sz w:val="24"/>
          <w:szCs w:val="24"/>
        </w:rPr>
        <w:t xml:space="preserve">. Current literature has not fully agreed on the statistical significance of such effects. </w:t>
      </w:r>
      <w:r w:rsidR="002716F6" w:rsidRPr="006704E2">
        <w:rPr>
          <w:rFonts w:ascii="Garamond" w:hAnsi="Garamond"/>
          <w:sz w:val="24"/>
          <w:szCs w:val="24"/>
        </w:rPr>
        <w:t xml:space="preserve">Therefore, this study conducts sensitivity analysis </w:t>
      </w:r>
      <w:r w:rsidR="005D6D4F" w:rsidRPr="006704E2">
        <w:rPr>
          <w:rFonts w:ascii="Garamond" w:hAnsi="Garamond"/>
          <w:sz w:val="24"/>
          <w:szCs w:val="24"/>
        </w:rPr>
        <w:t>to</w:t>
      </w:r>
      <w:r w:rsidR="002716F6" w:rsidRPr="006704E2">
        <w:rPr>
          <w:rFonts w:ascii="Garamond" w:hAnsi="Garamond"/>
          <w:sz w:val="24"/>
          <w:szCs w:val="24"/>
        </w:rPr>
        <w:t xml:space="preserve"> see how the inclusion of </w:t>
      </w:r>
      <w:r w:rsidR="005D6D4F" w:rsidRPr="006704E2">
        <w:rPr>
          <w:rFonts w:ascii="Garamond" w:hAnsi="Garamond"/>
          <w:sz w:val="24"/>
          <w:szCs w:val="24"/>
        </w:rPr>
        <w:t>AP</w:t>
      </w:r>
      <w:r w:rsidR="002716F6" w:rsidRPr="006704E2">
        <w:rPr>
          <w:rFonts w:ascii="Garamond" w:hAnsi="Garamond"/>
          <w:sz w:val="24"/>
          <w:szCs w:val="24"/>
        </w:rPr>
        <w:t xml:space="preserve"> data </w:t>
      </w:r>
      <w:r w:rsidR="005D6D4F" w:rsidRPr="006704E2">
        <w:rPr>
          <w:rFonts w:ascii="Garamond" w:hAnsi="Garamond"/>
          <w:sz w:val="24"/>
          <w:szCs w:val="24"/>
        </w:rPr>
        <w:t>may affect the results</w:t>
      </w:r>
      <w:r w:rsidR="002716F6" w:rsidRPr="006704E2">
        <w:rPr>
          <w:rFonts w:ascii="Garamond" w:hAnsi="Garamond"/>
          <w:sz w:val="24"/>
          <w:szCs w:val="24"/>
        </w:rPr>
        <w:t>.</w:t>
      </w:r>
      <w:r w:rsidR="002A701A" w:rsidRPr="006704E2">
        <w:rPr>
          <w:rFonts w:ascii="Garamond" w:hAnsi="Garamond"/>
          <w:sz w:val="24"/>
          <w:szCs w:val="24"/>
        </w:rPr>
        <w:t xml:space="preserve"> </w:t>
      </w:r>
      <w:r w:rsidR="002A701A" w:rsidRPr="006704E2">
        <w:rPr>
          <w:rFonts w:ascii="Garamond" w:hAnsi="Garamond"/>
          <w:sz w:val="24"/>
          <w:szCs w:val="24"/>
        </w:rPr>
        <w:fldChar w:fldCharType="begin" w:fldLock="1"/>
      </w:r>
      <w:r w:rsidR="002A701A" w:rsidRPr="006704E2">
        <w:rPr>
          <w:rFonts w:ascii="Garamond" w:hAnsi="Garamond"/>
          <w:sz w:val="24"/>
          <w:szCs w:val="24"/>
        </w:rPr>
        <w:instrText>ADDIN CSL_CITATION { "citationItems" : [ { "id" : "ITEM-1", "itemData" : { "DOI" : "10.1097/EDE.0b013e3181ad5522", "ISBN" : "1531-5487 (Electronic)\\r1044-3983 (Linking)", "ISSN" : "1531-5487", "PMID" : "19593155", "abstract" : "BACKGROUND: Although the association of high temperatures with mortality is well-documented, the association with morbidity has seldom been examined. We assessed the potential impact of hot weather on hospital admissions due to cardiovascular and respiratory diseases in New York City. We also explored whether the weather-disease relationship varies with socio-demographic variables. METHOD: We investigated effects of temperature and humidity on health by linking the daily cardiovascular and respiratory hospitalization counts with meteorologic conditions during summer, 1991-2004. We used daily mean temperature, mean apparent temperature, and 3-day moving average of apparent temperature as the exposure indicators. Threshold effects for health risks of meteorologic conditions were assessed by log-linear threshold models, after controlling for ozone, day of week, holidays, and long-term trend. Stratified analyses were used to evaluate temperature-demographic interactions. RESULTS: For all 3 exposure indicators, each degree C above the threshold of the temperature-health effect curve (29 degrees C-36 degrees C) was associated with a 2.7%-3.1% increase in same-day hospitalizations due to respiratory diseases, and an increase of 1.4%-3.6% in lagged hospitalizations due to cardiovascular diseases. These increases for respiratory admissions were greater for Hispanic persons (6.1%/ degrees C) and the elderly (4.7%/ degrees C). At high temperatures, admission rates increased for chronic airway obstruction, asthma, ischemic heart disease, and cardiac dysrhythmias, but decreased for hypertension and heart failure. CONCLUSIONS: Extreme high temperature appears to increase hospital admissions for cardiovascular and respiratory disorders in New York City. Elderly and Hispanic residents may be particularly vulnerable to the temperature effects on respiratory illnesses.", "author" : [ { "dropping-particle" : "", "family" : "Lin", "given" : "Shao", "non-dropping-particle" : "", "parse-names" : false, "suffix" : "" }, { "dropping-particle" : "", "family" : "Luo", "given" : "Ming", "non-dropping-particle" : "", "parse-names" : false, "suffix" : "" }, { "dropping-particle" : "", "family" : "Walker", "given" : "Randi J", "non-dropping-particle" : "", "parse-names" : false, "suffix" : "" }, { "dropping-particle" : "", "family" : "Liu", "given" : "Xiu", "non-dropping-particle" : "", "parse-names" : false, "suffix" : "" }, { "dropping-particle" : "", "family" : "Hwang", "given" : "Syni-An", "non-dropping-particle" : "", "parse-names" : false, "suffix" : "" }, { "dropping-particle" : "", "family" : "Chinery", "given" : "Robert", "non-dropping-particle" : "", "parse-names" : false, "suffix" : "" } ], "container-title" : "Epidemiology (Cambridge, Mass.)", "id" : "ITEM-1", "issue" : "5", "issued" : { "date-parts" : [ [ "2009" ] ] }, "page" : "738-746", "title" : "Extreme high temperatures and hospital admissions for respiratory and cardiovascular diseases.", "type" : "article-journal", "volume" : "20" }, "uris" : [ "http://www.mendeley.com/documents/?uuid=37307694-6194-414f-a655-c55518481e75" ] } ], "mendeley" : { "formattedCitation" : "(Lin et al. 2009)", "manualFormatting" : "Lin et al. (2009)", "plainTextFormattedCitation" : "(Lin et al. 2009)", "previouslyFormattedCitation" : "(Lin et al. 2009)" }, "properties" : { "noteIndex" : 0 }, "schema" : "https://github.com/citation-style-language/schema/raw/master/csl-citation.json" }</w:instrText>
      </w:r>
      <w:r w:rsidR="002A701A" w:rsidRPr="006704E2">
        <w:rPr>
          <w:rFonts w:ascii="Garamond" w:hAnsi="Garamond"/>
          <w:sz w:val="24"/>
          <w:szCs w:val="24"/>
        </w:rPr>
        <w:fldChar w:fldCharType="separate"/>
      </w:r>
      <w:r w:rsidR="002A701A" w:rsidRPr="006704E2">
        <w:rPr>
          <w:rFonts w:ascii="Garamond" w:hAnsi="Garamond"/>
          <w:noProof/>
          <w:sz w:val="24"/>
          <w:szCs w:val="24"/>
        </w:rPr>
        <w:t>Lin et al. (2009)</w:t>
      </w:r>
      <w:r w:rsidR="002A701A" w:rsidRPr="006704E2">
        <w:rPr>
          <w:rFonts w:ascii="Garamond" w:hAnsi="Garamond"/>
          <w:sz w:val="24"/>
          <w:szCs w:val="24"/>
        </w:rPr>
        <w:fldChar w:fldCharType="end"/>
      </w:r>
      <w:r w:rsidR="002A701A" w:rsidRPr="006704E2">
        <w:rPr>
          <w:rFonts w:ascii="Garamond" w:hAnsi="Garamond"/>
          <w:sz w:val="24"/>
          <w:szCs w:val="24"/>
        </w:rPr>
        <w:t xml:space="preserve"> and </w:t>
      </w:r>
      <w:r w:rsidR="002A701A" w:rsidRPr="006704E2">
        <w:rPr>
          <w:rFonts w:ascii="Garamond" w:hAnsi="Garamond"/>
          <w:sz w:val="24"/>
          <w:szCs w:val="24"/>
        </w:rPr>
        <w:fldChar w:fldCharType="begin" w:fldLock="1"/>
      </w:r>
      <w:r w:rsidR="00054D90" w:rsidRPr="006704E2">
        <w:rPr>
          <w:rFonts w:ascii="Garamond" w:hAnsi="Garamond"/>
          <w:sz w:val="24"/>
          <w:szCs w:val="24"/>
        </w:rPr>
        <w:instrText>ADDIN CSL_CITATION { "citationItems" : [ { "id" : "ITEM-1", "itemData" : { "DOI" : "10.1097/PHH.0000000000000352", "ISBN" : "0000000000000", "ISSN" : "1078-4659", "author" : [ { "dropping-particle" : "", "family" : "Christenson", "given" : "Megan", "non-dropping-particle" : "", "parse-names" : false, "suffix" : "" }, { "dropping-particle" : "", "family" : "Geiger", "given" : "Sarah Dee", "non-dropping-particle" : "", "parse-names" : false, "suffix" : "" }, { "dropping-particle" : "", "family" : "Phillips", "given" : "Jeffrey", "non-dropping-particle" : "", "parse-names" : false, "suffix" : "" }, { "dropping-particle" : "", "family" : "Anderson", "given" : "Ben", "non-dropping-particle" : "", "parse-names" : false, "suffix" : "" }, { "dropping-particle" : "", "family" : "Losurdo", "given" : "Giovanna", "non-dropping-particle" : "", "parse-names" : false, "suffix" : "" }, { "dropping-particle" : "", "family" : "Anderson", "given" : "Henry A.", "non-dropping-particle" : "", "parse-names" : false, "suffix" : "" } ], "container-title" : "Journal of Public Health Management and Practice", "id" : "ITEM-1", "issue" : "00", "issued" : { "date-parts" : [ [ "2016" ] ] }, "page" : "1", "title" : "Heat Vulnerability Index Mapping for Milwaukee and Wisconsin", "type" : "article-journal", "volume" : "00" }, "uris" : [ "http://www.mendeley.com/documents/?uuid=ba1ae03c-cbc9-4ec7-a41f-e165cbbb4536" ] } ], "mendeley" : { "formattedCitation" : "(Christenson et al. 2016)", "manualFormatting" : "Christenson et al. (2016)", "plainTextFormattedCitation" : "(Christenson et al. 2016)", "previouslyFormattedCitation" : "(Christenson et al. 2016)" }, "properties" : { "noteIndex" : 0 }, "schema" : "https://github.com/citation-style-language/schema/raw/master/csl-citation.json" }</w:instrText>
      </w:r>
      <w:r w:rsidR="002A701A" w:rsidRPr="006704E2">
        <w:rPr>
          <w:rFonts w:ascii="Garamond" w:hAnsi="Garamond"/>
          <w:sz w:val="24"/>
          <w:szCs w:val="24"/>
        </w:rPr>
        <w:fldChar w:fldCharType="separate"/>
      </w:r>
      <w:r w:rsidR="002A701A" w:rsidRPr="006704E2">
        <w:rPr>
          <w:rFonts w:ascii="Garamond" w:hAnsi="Garamond"/>
          <w:noProof/>
          <w:sz w:val="24"/>
          <w:szCs w:val="24"/>
        </w:rPr>
        <w:t>Christenson et al. (2016)</w:t>
      </w:r>
      <w:r w:rsidR="002A701A" w:rsidRPr="006704E2">
        <w:rPr>
          <w:rFonts w:ascii="Garamond" w:hAnsi="Garamond"/>
          <w:sz w:val="24"/>
          <w:szCs w:val="24"/>
        </w:rPr>
        <w:fldChar w:fldCharType="end"/>
      </w:r>
      <w:r w:rsidR="002A701A" w:rsidRPr="006704E2">
        <w:rPr>
          <w:rFonts w:ascii="Garamond" w:hAnsi="Garamond"/>
          <w:sz w:val="24"/>
          <w:szCs w:val="24"/>
        </w:rPr>
        <w:t xml:space="preserve"> included air pollutants in their analyses </w:t>
      </w:r>
      <w:r w:rsidR="00054D90" w:rsidRPr="006704E2">
        <w:rPr>
          <w:rFonts w:ascii="Garamond" w:hAnsi="Garamond"/>
          <w:sz w:val="24"/>
          <w:szCs w:val="24"/>
        </w:rPr>
        <w:t>as air pollutants theoretically qualify as confounders. O</w:t>
      </w:r>
      <w:r w:rsidR="00054D90" w:rsidRPr="006704E2">
        <w:rPr>
          <w:rFonts w:ascii="Garamond" w:hAnsi="Garamond"/>
          <w:sz w:val="24"/>
          <w:szCs w:val="24"/>
          <w:vertAlign w:val="subscript"/>
        </w:rPr>
        <w:t>3</w:t>
      </w:r>
      <w:r w:rsidR="00054D90" w:rsidRPr="006704E2">
        <w:rPr>
          <w:rFonts w:ascii="Garamond" w:hAnsi="Garamond"/>
          <w:sz w:val="24"/>
          <w:szCs w:val="24"/>
        </w:rPr>
        <w:t xml:space="preserve"> and PM</w:t>
      </w:r>
      <w:r w:rsidR="00054D90" w:rsidRPr="006704E2">
        <w:rPr>
          <w:rFonts w:ascii="Garamond" w:hAnsi="Garamond"/>
          <w:sz w:val="24"/>
          <w:szCs w:val="24"/>
          <w:vertAlign w:val="subscript"/>
        </w:rPr>
        <w:t>2.5</w:t>
      </w:r>
      <w:r w:rsidR="00054D90" w:rsidRPr="006704E2">
        <w:rPr>
          <w:rFonts w:ascii="Garamond" w:hAnsi="Garamond"/>
          <w:sz w:val="24"/>
          <w:szCs w:val="24"/>
        </w:rPr>
        <w:t xml:space="preserve"> are risk factors for mortality and morbidity, are associated with temperature</w:t>
      </w:r>
      <w:r w:rsidR="005D6D4F" w:rsidRPr="006704E2">
        <w:rPr>
          <w:rFonts w:ascii="Garamond" w:hAnsi="Garamond"/>
          <w:sz w:val="24"/>
          <w:szCs w:val="24"/>
        </w:rPr>
        <w:t>,</w:t>
      </w:r>
      <w:r w:rsidR="00054D90" w:rsidRPr="006704E2">
        <w:rPr>
          <w:rFonts w:ascii="Garamond" w:hAnsi="Garamond"/>
          <w:sz w:val="24"/>
          <w:szCs w:val="24"/>
        </w:rPr>
        <w:t xml:space="preserve"> and are not in the causal pathway between temperature and population health. The risk assessment model in </w:t>
      </w:r>
      <w:r w:rsidR="00054D90" w:rsidRPr="006704E2">
        <w:rPr>
          <w:rFonts w:ascii="Garamond" w:hAnsi="Garamond"/>
          <w:sz w:val="24"/>
          <w:szCs w:val="24"/>
        </w:rPr>
        <w:fldChar w:fldCharType="begin" w:fldLock="1"/>
      </w:r>
      <w:r w:rsidR="00054D90" w:rsidRPr="006704E2">
        <w:rPr>
          <w:rFonts w:ascii="Garamond" w:hAnsi="Garamond"/>
          <w:sz w:val="24"/>
          <w:szCs w:val="24"/>
        </w:rPr>
        <w:instrText>ADDIN CSL_CITATION { "citationItems" : [ { "id" : "ITEM-1", "itemData" : { "DOI" : "10.1186/1476-069X-13-5", "ISBN" : "1476-069X", "ISSN" : "1476-069X", "PMID" : "24484632", "abstract" : "Background: Extreme ambient temperatures are an increasing public health concern. The aim of this study was to assess if persons with comorbid health conditions were at increased risk of adverse cardiorespiratory morbidity during temperature extremes.", "author" : [ { "dropping-particle" : "", "family" : "Lavigne", "given" : "Eric", "non-dropping-particle" : "", "parse-names" : false, "suffix" : "" }, { "dropping-particle" : "", "family" : "Gasparrini", "given" : "Antonio", "non-dropping-particle" : "", "parse-names" : false, "suffix" : "" }, { "dropping-particle" : "", "family" : "Wang", "given" : "Xiang", "non-dropping-particle" : "", "parse-names" : false, "suffix" : "" }, { "dropping-particle" : "", "family" : "Chen", "given" : "Hong", "non-dropping-particle" : "", "parse-names" : false, "suffix" : "" }, { "dropping-particle" : "", "family" : "Yagouti", "given" : "Abderrahmane", "non-dropping-particle" : "", "parse-names" : false, "suffix" : "" }, { "dropping-particle" : "", "family" : "Fleury", "given" : "Manon D", "non-dropping-particle" : "", "parse-names" : false, "suffix" : "" }, { "dropping-particle" : "", "family" : "Cakmak", "given" : "Sabit", "non-dropping-particle" : "", "parse-names" : false, "suffix" : "" } ], "container-title" : "Environmental Health", "id" : "ITEM-1", "issue" : "1", "issued" : { "date-parts" : [ [ "2014" ] ] }, "page" : "5", "title" : "Extreme ambient temperatures and cardiorespiratory emergency room visits: assessing risk by comorbid health conditions in a time series study", "type" : "article-journal", "volume" : "13" }, "uris" : [ "http://www.mendeley.com/documents/?uuid=30d2540e-64c2-436f-9f4e-6619cb059e06" ] } ], "mendeley" : { "formattedCitation" : "(Lavigne et al. 2014)", "manualFormatting" : "Lavigne et al. (2014)", "plainTextFormattedCitation" : "(Lavigne et al. 2014)", "previouslyFormattedCitation" : "(Lavigne et al. 2014)" }, "properties" : { "noteIndex" : 0 }, "schema" : "https://github.com/citation-style-language/schema/raw/master/csl-citation.json" }</w:instrText>
      </w:r>
      <w:r w:rsidR="00054D90" w:rsidRPr="006704E2">
        <w:rPr>
          <w:rFonts w:ascii="Garamond" w:hAnsi="Garamond"/>
          <w:sz w:val="24"/>
          <w:szCs w:val="24"/>
        </w:rPr>
        <w:fldChar w:fldCharType="separate"/>
      </w:r>
      <w:r w:rsidR="00054D90" w:rsidRPr="006704E2">
        <w:rPr>
          <w:rFonts w:ascii="Garamond" w:hAnsi="Garamond"/>
          <w:noProof/>
          <w:sz w:val="24"/>
          <w:szCs w:val="24"/>
        </w:rPr>
        <w:t>Lavigne et al. (2014)</w:t>
      </w:r>
      <w:r w:rsidR="00054D90" w:rsidRPr="006704E2">
        <w:rPr>
          <w:rFonts w:ascii="Garamond" w:hAnsi="Garamond"/>
          <w:sz w:val="24"/>
          <w:szCs w:val="24"/>
        </w:rPr>
        <w:fldChar w:fldCharType="end"/>
      </w:r>
      <w:r w:rsidR="00054D90" w:rsidRPr="006704E2">
        <w:rPr>
          <w:rFonts w:ascii="Garamond" w:hAnsi="Garamond"/>
          <w:sz w:val="24"/>
          <w:szCs w:val="24"/>
        </w:rPr>
        <w:t xml:space="preserve"> considers O</w:t>
      </w:r>
      <w:r w:rsidR="00054D90" w:rsidRPr="006704E2">
        <w:rPr>
          <w:rFonts w:ascii="Garamond" w:hAnsi="Garamond"/>
          <w:sz w:val="24"/>
          <w:szCs w:val="24"/>
          <w:vertAlign w:val="subscript"/>
        </w:rPr>
        <w:t>3</w:t>
      </w:r>
      <w:r w:rsidR="00054D90" w:rsidRPr="006704E2">
        <w:rPr>
          <w:rFonts w:ascii="Garamond" w:hAnsi="Garamond"/>
          <w:sz w:val="24"/>
          <w:szCs w:val="24"/>
        </w:rPr>
        <w:t xml:space="preserve"> but not PM</w:t>
      </w:r>
      <w:r w:rsidR="00054D90" w:rsidRPr="006704E2">
        <w:rPr>
          <w:rFonts w:ascii="Garamond" w:hAnsi="Garamond"/>
          <w:sz w:val="24"/>
          <w:szCs w:val="24"/>
          <w:vertAlign w:val="subscript"/>
        </w:rPr>
        <w:t>2.5</w:t>
      </w:r>
      <w:r w:rsidR="00054D90" w:rsidRPr="006704E2">
        <w:rPr>
          <w:rFonts w:ascii="Garamond" w:hAnsi="Garamond"/>
          <w:sz w:val="24"/>
          <w:szCs w:val="24"/>
        </w:rPr>
        <w:t xml:space="preserve"> </w:t>
      </w:r>
      <w:r w:rsidR="005D6D4F" w:rsidRPr="006704E2">
        <w:rPr>
          <w:rFonts w:ascii="Garamond" w:hAnsi="Garamond"/>
          <w:sz w:val="24"/>
          <w:szCs w:val="24"/>
        </w:rPr>
        <w:t xml:space="preserve">as a confounder </w:t>
      </w:r>
      <w:r w:rsidR="00054D90" w:rsidRPr="006704E2">
        <w:rPr>
          <w:rFonts w:ascii="Garamond" w:hAnsi="Garamond"/>
          <w:sz w:val="24"/>
          <w:szCs w:val="24"/>
        </w:rPr>
        <w:t xml:space="preserve">based on model diagnostics. </w:t>
      </w:r>
      <w:r w:rsidR="00040F76" w:rsidRPr="006704E2">
        <w:rPr>
          <w:rFonts w:ascii="Garamond" w:hAnsi="Garamond"/>
          <w:sz w:val="24"/>
          <w:szCs w:val="24"/>
        </w:rPr>
        <w:fldChar w:fldCharType="begin" w:fldLock="1"/>
      </w:r>
      <w:r w:rsidR="00040F76" w:rsidRPr="006704E2">
        <w:rPr>
          <w:rFonts w:ascii="Garamond" w:hAnsi="Garamond"/>
          <w:sz w:val="24"/>
          <w:szCs w:val="24"/>
        </w:rPr>
        <w:instrText>ADDIN CSL_CITATION { "citationItems" : [ { "id" : "ITEM-1", "itemData" : { "DOI" : "10.1136/oem.2007.033175", "ISBN" : "1470-7926", "ISSN" : "1470-7926", "PMID" : "17600037", "abstract" : "Objectives: The authors examined the increase in mortality associated with hot and cold temperature in different locations, the determinants of the variability in effect estimates, and its implications for adaptation. Methods: The authors conducted a case-crossover study in 50 US cities. They used daily mortality and weather data for 6 513 330 deaths occurring during 1989\u20132000. Exposure was assessed using two approaches. First, the authors determined exposure to extreme temperatures using city-specific indicator variables based on the local temperature distribution. Secondly, they used piecewise linear variables to assess exposure to temperature on a continuous scale above/below a threshold. Effects of hot and cold temperature were examined in season-specific models. In a meta-analysis of the city-specific results, the authors examined several city characteristics as effect modifiers. Results: Mortality increases associated with both extreme cold (2-day cumulative increase 1.59% (95% CI 0.56 to 2.63)) and extreme heat (5.74% (95% CI 3.38 to 8.15)) were found, the former being especially marked for myocardial infarction and cardiac arrest deaths. The increase in mortality was less marked at less extreme temperatures. The effect of extreme cold (defined as a percentile) was homogeneous across cities with different climates, suggesting that only the unusualness of the cold temperature (and not its absolute value) had a substantial impact on mortality (that is, acclimatisation to cold). Conversely, heat effects were quite heterogeneous, with the largest effects observed in cities with milder summers, less air conditioning and higher population density. Adjustment for ozone led to similar results, but some residual confounding could be present due to other uncontrolled pollutants. Conclusions: The authors confirmed in a large sample of cities that both cold and hot temperatures increase mortality risk. These findings suggest that increases in heat-related mortality due to global warming are unlikely to be compensated for by decreases in cold-related mortality and that population acclimatisation to heat is still incomplete.", "author" : [ { "dropping-particle" : "", "family" : "Medina-Ram\u00f3n", "given" : "M", "non-dropping-particle" : "", "parse-names" : false, "suffix" : "" }, { "dropping-particle" : "", "family" : "Schwartz", "given" : "J", "non-dropping-particle" : "", "parse-names" : false, "suffix" : "" } ], "container-title" : "Occup Environ Med", "id" : "ITEM-1", "issued" : { "date-parts" : [ [ "2007" ] ] }, "page" : "827-833", "title" : "Temperature, temperature extremes, and mortality: a study of acclimatisation and effect modification in 50 US cities", "type" : "article-journal", "volume" : "64" }, "uris" : [ "http://www.mendeley.com/documents/?uuid=320172ea-2fae-4559-9693-860d08d71bc0" ] } ], "mendeley" : { "formattedCitation" : "(Medina-Ram\u00f3n and Schwartz 2007)", "manualFormatting" : "Medina-Ram\u00f3n and Schwartz (2007)", "plainTextFormattedCitation" : "(Medina-Ram\u00f3n and Schwartz 2007)", "previouslyFormattedCitation" : "(Medina-Ram\u00f3n and Schwartz 2007)" }, "properties" : { "noteIndex" : 0 }, "schema" : "https://github.com/citation-style-language/schema/raw/master/csl-citation.json" }</w:instrText>
      </w:r>
      <w:r w:rsidR="00040F76" w:rsidRPr="006704E2">
        <w:rPr>
          <w:rFonts w:ascii="Garamond" w:hAnsi="Garamond"/>
          <w:sz w:val="24"/>
          <w:szCs w:val="24"/>
        </w:rPr>
        <w:fldChar w:fldCharType="separate"/>
      </w:r>
      <w:r w:rsidR="00040F76" w:rsidRPr="006704E2">
        <w:rPr>
          <w:rFonts w:ascii="Garamond" w:hAnsi="Garamond"/>
          <w:noProof/>
          <w:sz w:val="24"/>
          <w:szCs w:val="24"/>
        </w:rPr>
        <w:t>Medina-Ramón and Schwartz (2007)</w:t>
      </w:r>
      <w:r w:rsidR="00040F76" w:rsidRPr="006704E2">
        <w:rPr>
          <w:rFonts w:ascii="Garamond" w:hAnsi="Garamond"/>
          <w:sz w:val="24"/>
          <w:szCs w:val="24"/>
        </w:rPr>
        <w:fldChar w:fldCharType="end"/>
      </w:r>
      <w:r w:rsidR="00040F76" w:rsidRPr="006704E2">
        <w:rPr>
          <w:rFonts w:ascii="Garamond" w:hAnsi="Garamond"/>
          <w:sz w:val="24"/>
          <w:szCs w:val="24"/>
        </w:rPr>
        <w:t xml:space="preserve"> and </w:t>
      </w:r>
      <w:r w:rsidR="00040F76" w:rsidRPr="006704E2">
        <w:rPr>
          <w:rFonts w:ascii="Garamond" w:hAnsi="Garamond"/>
          <w:sz w:val="24"/>
          <w:szCs w:val="24"/>
        </w:rPr>
        <w:fldChar w:fldCharType="begin" w:fldLock="1"/>
      </w:r>
      <w:r w:rsidR="00040F76" w:rsidRPr="006704E2">
        <w:rPr>
          <w:rFonts w:ascii="Garamond" w:hAnsi="Garamond"/>
          <w:sz w:val="24"/>
          <w:szCs w:val="24"/>
        </w:rPr>
        <w:instrText>ADDIN CSL_CITATION { "citationItems" : [ { "id" : "ITEM-1", "itemData" : { "DOI" : "10.1164/rccm.200802-217OC", "ISBN" : "1535-4970 (Electronic)\\n1073-449X (Linking)", "ISSN" : "1073449X", "PMID" : "19060232", "abstract" : "RATIONALE: Episode analyses of heat waves have documented a comparatively higher impact on mortality than on morbidity (hospital admissions) in European cities. The evidence from daily time series studies is scarce and inconsistent. OBJECTIVES: To evaluate the impact of high environmental temperatures on hospital admissions during April to September in 12 European cities participating in the Assessment and Prevention of Acute Health Effects of Weather Conditions in Europe (PHEWE) project. METHODS: For each city, time series analysis was used to model the relationship between maximum apparent temperature (lag 0-3 days) and daily hospital admissions for cardiovascular, cerebrovascular, and respiratory causes by age (all ages, 65-74 age group, and 75+ age group), and the city-specific estimates were pooled for two geographical groupings of cities. MEASUREMENTS AND MAIN RESULTS: For respiratory admissions, there was a positive association that was heterogeneous between cities. For a 1 degrees C increase in maximum apparent temperature above a threshold, respiratory admissions increased by +4.5% (95% confidence interval, 1.9-7.3) and +3.1% (95% confidence interval, 0.8-5.5) in the 75+ age group in Mediterranean and North-Continental cities, respectively. In contrast, the association between temperature and cardiovascular and cerebrovascular admissions tended to be negative and did not reach statistical significance. CONCLUSIONS: High temperatures have a specific impact on respiratory admissions, particularly in the elderly population, but the underlying mechanisms are poorly understood. Why high temperature increases cardiovascular mortality but not cardiovascular admissions is also unclear. The impact of extreme heat events on respiratory admissions is expected to increase in European cities as a result of global warming and progressive population aging.", "author" : [ { "dropping-particle" : "", "family" : "Michelozzi", "given" : "Paola", "non-dropping-particle" : "", "parse-names" : false, "suffix" : "" }, { "dropping-particle" : "", "family" : "Accetta", "given" : "Gabriele", "non-dropping-particle" : "", "parse-names" : false, "suffix" : "" }, { "dropping-particle" : "", "family" : "Sario", "given" : "Manuela", "non-dropping-particle" : "De", "parse-names" : false, "suffix" : "" }, { "dropping-particle" : "", "family" : "D'Ippoliti", "given" : "Daniela", "non-dropping-particle" : "", "parse-names" : false, "suffix" : "" }, { "dropping-particle" : "", "family" : "Marino", "given" : "Claudia", "non-dropping-particle" : "", "parse-names" : false, "suffix" : "" }, { "dropping-particle" : "", "family" : "Baccini", "given" : "Michela", "non-dropping-particle" : "", "parse-names" : false, "suffix" : "" }, { "dropping-particle" : "", "family" : "Biggeri", "given" : "Annibale", "non-dropping-particle" : "", "parse-names" : false, "suffix" : "" }, { "dropping-particle" : "", "family" : "Anderson", "given" : "H. Ross", "non-dropping-particle" : "", "parse-names" : false, "suffix" : "" }, { "dropping-particle" : "", "family" : "Katsouyanni", "given" : "Klea", "non-dropping-particle" : "", "parse-names" : false, "suffix" : "" }, { "dropping-particle" : "", "family" : "Ballester", "given" : "Ferran", "non-dropping-particle" : "", "parse-names" : false, "suffix" : "" }, { "dropping-particle" : "", "family" : "Bisanti", "given" : "Luigi", "non-dropping-particle" : "", "parse-names" : false, "suffix" : "" }, { "dropping-particle" : "", "family" : "Cadum", "given" : "Ennio", "non-dropping-particle" : "", "parse-names" : false, "suffix" : "" }, { "dropping-particle" : "", "family" : "Forsberg", "given" : "Bertil", "non-dropping-particle" : "", "parse-names" : false, "suffix" : "" }, { "dropping-particle" : "", "family" : "Forastiere", "given" : "Francesco", "non-dropping-particle" : "", "parse-names" : false, "suffix" : "" }, { "dropping-particle" : "", "family" : "Goodman", "given" : "Patrick G.", "non-dropping-particle" : "", "parse-names" : false, "suffix" : "" }, { "dropping-particle" : "", "family" : "Hojs", "given" : "Ana", "non-dropping-particle" : "", "parse-names" : false, "suffix" : "" }, { "dropping-particle" : "", "family" : "Kirchmayer", "given" : "Ursula", "non-dropping-particle" : "", "parse-names" : false, "suffix" : "" }, { "dropping-particle" : "", "family" : "Medina", "given" : "Sylvia", "non-dropping-particle" : "", "parse-names" : false, "suffix" : "" }, { "dropping-particle" : "", "family" : "Paldy", "given" : "Anna", "non-dropping-particle" : "", "parse-names" : false, "suffix" : "" }, { "dropping-particle" : "", "family" : "Schindler", "given" : "Christian", "non-dropping-particle" : "", "parse-names" : false, "suffix" : "" }, { "dropping-particle" : "", "family" : "Sunyer", "given" : "Jordi", "non-dropping-particle" : "", "parse-names" : false, "suffix" : "" }, { "dropping-particle" : "", "family" : "Perucci", "given" : "Carlo A.", "non-dropping-particle" : "", "parse-names" : false, "suffix" : "" } ], "container-title" : "American Journal of Respiratory and Critical Care Medicine", "id" : "ITEM-1", "issue" : "5", "issued" : { "date-parts" : [ [ "2009" ] ] }, "page" : "383-389", "title" : "High temperature and hospitalizations for cardiovascular and respiratory causes in 12 european cities", "type" : "article-journal", "volume" : "179" }, "uris" : [ "http://www.mendeley.com/documents/?uuid=b382a96d-476a-4abf-b3fb-0de35595c654" ] } ], "mendeley" : { "formattedCitation" : "(Michelozzi et al. 2009)", "manualFormatting" : "Michelozzi et al. (2009)", "plainTextFormattedCitation" : "(Michelozzi et al. 2009)", "previouslyFormattedCitation" : "(Michelozzi et al. 2009)" }, "properties" : { "noteIndex" : 0 }, "schema" : "https://github.com/citation-style-language/schema/raw/master/csl-citation.json" }</w:instrText>
      </w:r>
      <w:r w:rsidR="00040F76" w:rsidRPr="006704E2">
        <w:rPr>
          <w:rFonts w:ascii="Garamond" w:hAnsi="Garamond"/>
          <w:sz w:val="24"/>
          <w:szCs w:val="24"/>
        </w:rPr>
        <w:fldChar w:fldCharType="separate"/>
      </w:r>
      <w:r w:rsidR="00040F76" w:rsidRPr="006704E2">
        <w:rPr>
          <w:rFonts w:ascii="Garamond" w:hAnsi="Garamond"/>
          <w:noProof/>
          <w:sz w:val="24"/>
          <w:szCs w:val="24"/>
        </w:rPr>
        <w:t>Michelozzi et al. (2009)</w:t>
      </w:r>
      <w:r w:rsidR="00040F76" w:rsidRPr="006704E2">
        <w:rPr>
          <w:rFonts w:ascii="Garamond" w:hAnsi="Garamond"/>
          <w:sz w:val="24"/>
          <w:szCs w:val="24"/>
        </w:rPr>
        <w:fldChar w:fldCharType="end"/>
      </w:r>
      <w:r w:rsidR="00040F76" w:rsidRPr="006704E2">
        <w:rPr>
          <w:rFonts w:ascii="Garamond" w:hAnsi="Garamond"/>
          <w:sz w:val="24"/>
          <w:szCs w:val="24"/>
        </w:rPr>
        <w:t xml:space="preserve"> did not include O</w:t>
      </w:r>
      <w:r w:rsidR="00040F76" w:rsidRPr="006704E2">
        <w:rPr>
          <w:rFonts w:ascii="Garamond" w:hAnsi="Garamond"/>
          <w:sz w:val="24"/>
          <w:szCs w:val="24"/>
          <w:vertAlign w:val="subscript"/>
        </w:rPr>
        <w:t>3</w:t>
      </w:r>
      <w:r w:rsidR="00040F76" w:rsidRPr="006704E2">
        <w:rPr>
          <w:rFonts w:ascii="Garamond" w:hAnsi="Garamond"/>
          <w:sz w:val="24"/>
          <w:szCs w:val="24"/>
        </w:rPr>
        <w:t xml:space="preserve"> since it did not lead to substantial changes in risk assessment results.</w:t>
      </w:r>
    </w:p>
    <w:p w14:paraId="2F16B517" w14:textId="14A39C6A" w:rsidR="006F6E3E" w:rsidRPr="006704E2" w:rsidRDefault="00040F76" w:rsidP="00DB51A9">
      <w:pPr>
        <w:spacing w:line="480" w:lineRule="auto"/>
        <w:ind w:firstLine="720"/>
        <w:rPr>
          <w:rFonts w:ascii="Garamond" w:hAnsi="Garamond"/>
          <w:sz w:val="24"/>
          <w:szCs w:val="24"/>
        </w:rPr>
      </w:pPr>
      <w:r w:rsidRPr="006704E2">
        <w:rPr>
          <w:rFonts w:ascii="Garamond" w:hAnsi="Garamond"/>
          <w:sz w:val="24"/>
          <w:szCs w:val="24"/>
        </w:rPr>
        <w:t xml:space="preserve">In this study, the </w:t>
      </w:r>
      <w:r w:rsidR="005D6D4F" w:rsidRPr="006704E2">
        <w:rPr>
          <w:rFonts w:ascii="Garamond" w:hAnsi="Garamond"/>
          <w:sz w:val="24"/>
          <w:szCs w:val="24"/>
        </w:rPr>
        <w:t>AP</w:t>
      </w:r>
      <w:r w:rsidRPr="006704E2">
        <w:rPr>
          <w:rFonts w:ascii="Garamond" w:hAnsi="Garamond"/>
          <w:sz w:val="24"/>
          <w:szCs w:val="24"/>
        </w:rPr>
        <w:t xml:space="preserve"> related sensitivity analysis is restricted to </w:t>
      </w:r>
      <w:r w:rsidR="005D6D4F" w:rsidRPr="006704E2">
        <w:rPr>
          <w:rFonts w:ascii="Garamond" w:hAnsi="Garamond"/>
          <w:sz w:val="24"/>
          <w:szCs w:val="24"/>
        </w:rPr>
        <w:t xml:space="preserve">a nine-year period between 2005 and </w:t>
      </w:r>
      <w:r w:rsidRPr="006704E2">
        <w:rPr>
          <w:rFonts w:ascii="Garamond" w:hAnsi="Garamond"/>
          <w:sz w:val="24"/>
          <w:szCs w:val="24"/>
        </w:rPr>
        <w:t xml:space="preserve">2013 due to data availability. The </w:t>
      </w:r>
      <w:r w:rsidR="005D6D4F" w:rsidRPr="006704E2">
        <w:rPr>
          <w:rFonts w:ascii="Garamond" w:hAnsi="Garamond"/>
          <w:sz w:val="24"/>
          <w:szCs w:val="24"/>
        </w:rPr>
        <w:t xml:space="preserve">historical records of AP </w:t>
      </w:r>
      <w:r w:rsidR="00593998" w:rsidRPr="006704E2">
        <w:rPr>
          <w:rFonts w:ascii="Garamond" w:hAnsi="Garamond"/>
          <w:sz w:val="24"/>
          <w:szCs w:val="24"/>
        </w:rPr>
        <w:t>were</w:t>
      </w:r>
      <w:r w:rsidR="005D6D4F" w:rsidRPr="006704E2">
        <w:rPr>
          <w:rFonts w:ascii="Garamond" w:hAnsi="Garamond"/>
          <w:sz w:val="24"/>
          <w:szCs w:val="24"/>
        </w:rPr>
        <w:t xml:space="preserve"> originally</w:t>
      </w:r>
      <w:r w:rsidRPr="006704E2">
        <w:rPr>
          <w:rFonts w:ascii="Garamond" w:hAnsi="Garamond"/>
          <w:sz w:val="24"/>
          <w:szCs w:val="24"/>
        </w:rPr>
        <w:t xml:space="preserve"> available for 2000-2013. However, </w:t>
      </w:r>
      <w:r w:rsidR="002716F6" w:rsidRPr="006704E2">
        <w:rPr>
          <w:rFonts w:ascii="Garamond" w:hAnsi="Garamond"/>
          <w:sz w:val="24"/>
          <w:szCs w:val="24"/>
        </w:rPr>
        <w:t>O</w:t>
      </w:r>
      <w:r w:rsidR="002716F6" w:rsidRPr="006704E2">
        <w:rPr>
          <w:rFonts w:ascii="Garamond" w:hAnsi="Garamond"/>
          <w:sz w:val="24"/>
          <w:szCs w:val="24"/>
          <w:vertAlign w:val="subscript"/>
        </w:rPr>
        <w:t>3</w:t>
      </w:r>
      <w:r w:rsidR="002716F6" w:rsidRPr="006704E2">
        <w:rPr>
          <w:rFonts w:ascii="Garamond" w:hAnsi="Garamond"/>
          <w:sz w:val="24"/>
          <w:szCs w:val="24"/>
        </w:rPr>
        <w:t xml:space="preserve"> was measured only </w:t>
      </w:r>
      <w:r w:rsidR="005D6D4F" w:rsidRPr="006704E2">
        <w:rPr>
          <w:rFonts w:ascii="Garamond" w:hAnsi="Garamond"/>
          <w:sz w:val="24"/>
          <w:szCs w:val="24"/>
        </w:rPr>
        <w:t>during</w:t>
      </w:r>
      <w:r w:rsidR="002716F6" w:rsidRPr="006704E2">
        <w:rPr>
          <w:rFonts w:ascii="Garamond" w:hAnsi="Garamond"/>
          <w:sz w:val="24"/>
          <w:szCs w:val="24"/>
        </w:rPr>
        <w:t xml:space="preserve"> summer months prior to 2005, </w:t>
      </w:r>
      <w:r w:rsidRPr="006704E2">
        <w:rPr>
          <w:rFonts w:ascii="Garamond" w:hAnsi="Garamond"/>
          <w:sz w:val="24"/>
          <w:szCs w:val="24"/>
        </w:rPr>
        <w:t xml:space="preserve">leading to severe </w:t>
      </w:r>
      <w:r w:rsidR="005D6D4F" w:rsidRPr="006704E2">
        <w:rPr>
          <w:rFonts w:ascii="Garamond" w:hAnsi="Garamond"/>
          <w:sz w:val="24"/>
          <w:szCs w:val="24"/>
        </w:rPr>
        <w:t xml:space="preserve">issue of </w:t>
      </w:r>
      <w:r w:rsidRPr="006704E2">
        <w:rPr>
          <w:rFonts w:ascii="Garamond" w:hAnsi="Garamond"/>
          <w:sz w:val="24"/>
          <w:szCs w:val="24"/>
        </w:rPr>
        <w:t xml:space="preserve">missing data </w:t>
      </w:r>
      <w:r w:rsidR="005D6D4F" w:rsidRPr="006704E2">
        <w:rPr>
          <w:rFonts w:ascii="Garamond" w:hAnsi="Garamond"/>
          <w:sz w:val="24"/>
          <w:szCs w:val="24"/>
        </w:rPr>
        <w:t xml:space="preserve">between 2000 and </w:t>
      </w:r>
      <w:r w:rsidRPr="006704E2">
        <w:rPr>
          <w:rFonts w:ascii="Garamond" w:hAnsi="Garamond"/>
          <w:sz w:val="24"/>
          <w:szCs w:val="24"/>
        </w:rPr>
        <w:t xml:space="preserve">2004. </w:t>
      </w:r>
      <w:r w:rsidR="002716F6" w:rsidRPr="006704E2">
        <w:rPr>
          <w:rFonts w:ascii="Garamond" w:hAnsi="Garamond"/>
          <w:sz w:val="24"/>
          <w:szCs w:val="24"/>
        </w:rPr>
        <w:t>In the remaining O</w:t>
      </w:r>
      <w:r w:rsidR="002716F6" w:rsidRPr="006704E2">
        <w:rPr>
          <w:rFonts w:ascii="Garamond" w:hAnsi="Garamond"/>
          <w:sz w:val="24"/>
          <w:szCs w:val="24"/>
          <w:vertAlign w:val="subscript"/>
        </w:rPr>
        <w:t xml:space="preserve">3 </w:t>
      </w:r>
      <w:r w:rsidR="002716F6" w:rsidRPr="006704E2">
        <w:rPr>
          <w:rFonts w:ascii="Garamond" w:hAnsi="Garamond"/>
          <w:sz w:val="24"/>
          <w:szCs w:val="24"/>
        </w:rPr>
        <w:t xml:space="preserve">time series, 2006 and 2009 did not have records for October. </w:t>
      </w:r>
      <w:r w:rsidRPr="006704E2">
        <w:rPr>
          <w:rFonts w:ascii="Garamond" w:hAnsi="Garamond"/>
          <w:sz w:val="24"/>
          <w:szCs w:val="24"/>
        </w:rPr>
        <w:t>As</w:t>
      </w:r>
      <w:r w:rsidR="00D374D5" w:rsidRPr="006704E2">
        <w:rPr>
          <w:rFonts w:ascii="Garamond" w:hAnsi="Garamond"/>
          <w:sz w:val="24"/>
          <w:szCs w:val="24"/>
        </w:rPr>
        <w:t xml:space="preserve"> O</w:t>
      </w:r>
      <w:r w:rsidR="00D374D5" w:rsidRPr="006704E2">
        <w:rPr>
          <w:rFonts w:ascii="Garamond" w:hAnsi="Garamond"/>
          <w:sz w:val="24"/>
          <w:szCs w:val="24"/>
          <w:vertAlign w:val="subscript"/>
        </w:rPr>
        <w:t>3</w:t>
      </w:r>
      <w:r w:rsidR="00D374D5" w:rsidRPr="006704E2">
        <w:rPr>
          <w:rFonts w:ascii="Garamond" w:hAnsi="Garamond"/>
          <w:sz w:val="24"/>
          <w:szCs w:val="24"/>
        </w:rPr>
        <w:t xml:space="preserve"> is highly seasonal, we randomly sampled October O</w:t>
      </w:r>
      <w:r w:rsidR="00D374D5" w:rsidRPr="006704E2">
        <w:rPr>
          <w:rFonts w:ascii="Garamond" w:hAnsi="Garamond"/>
          <w:sz w:val="24"/>
          <w:szCs w:val="24"/>
          <w:vertAlign w:val="subscript"/>
        </w:rPr>
        <w:t>3</w:t>
      </w:r>
      <w:r w:rsidR="00D374D5" w:rsidRPr="006704E2">
        <w:rPr>
          <w:rFonts w:ascii="Garamond" w:hAnsi="Garamond"/>
          <w:sz w:val="24"/>
          <w:szCs w:val="24"/>
        </w:rPr>
        <w:t xml:space="preserve"> from </w:t>
      </w:r>
      <w:r w:rsidR="005D6D4F" w:rsidRPr="006704E2">
        <w:rPr>
          <w:rFonts w:ascii="Garamond" w:hAnsi="Garamond"/>
          <w:sz w:val="24"/>
          <w:szCs w:val="24"/>
        </w:rPr>
        <w:t xml:space="preserve">October of </w:t>
      </w:r>
      <w:r w:rsidR="00D374D5" w:rsidRPr="006704E2">
        <w:rPr>
          <w:rFonts w:ascii="Garamond" w:hAnsi="Garamond"/>
          <w:sz w:val="24"/>
          <w:szCs w:val="24"/>
        </w:rPr>
        <w:t xml:space="preserve">other years during which data is available. </w:t>
      </w:r>
      <w:r w:rsidR="00564AC0" w:rsidRPr="006704E2">
        <w:rPr>
          <w:rFonts w:ascii="Garamond" w:hAnsi="Garamond"/>
          <w:sz w:val="24"/>
          <w:szCs w:val="24"/>
        </w:rPr>
        <w:t>The time series of PM</w:t>
      </w:r>
      <w:r w:rsidR="00564AC0" w:rsidRPr="006704E2">
        <w:rPr>
          <w:rFonts w:ascii="Garamond" w:hAnsi="Garamond"/>
          <w:sz w:val="24"/>
          <w:szCs w:val="24"/>
          <w:vertAlign w:val="subscript"/>
        </w:rPr>
        <w:t>2.5</w:t>
      </w:r>
      <w:r w:rsidRPr="006704E2">
        <w:rPr>
          <w:rFonts w:ascii="Garamond" w:hAnsi="Garamond"/>
          <w:sz w:val="24"/>
          <w:szCs w:val="24"/>
        </w:rPr>
        <w:t xml:space="preserve"> has less than three missing data points that are not close to each other. This study assumes the PM</w:t>
      </w:r>
      <w:r w:rsidRPr="006704E2">
        <w:rPr>
          <w:rFonts w:ascii="Garamond" w:hAnsi="Garamond"/>
          <w:sz w:val="24"/>
          <w:szCs w:val="24"/>
          <w:vertAlign w:val="subscript"/>
        </w:rPr>
        <w:t>2.5</w:t>
      </w:r>
      <w:r w:rsidRPr="006704E2">
        <w:rPr>
          <w:rFonts w:ascii="Garamond" w:hAnsi="Garamond"/>
          <w:sz w:val="24"/>
          <w:szCs w:val="24"/>
        </w:rPr>
        <w:t xml:space="preserve"> level on these days are identical to that on their previous days, respectively. The public health data used in the </w:t>
      </w:r>
      <w:r w:rsidR="005D6D4F" w:rsidRPr="006704E2">
        <w:rPr>
          <w:rFonts w:ascii="Garamond" w:hAnsi="Garamond"/>
          <w:sz w:val="24"/>
          <w:szCs w:val="24"/>
        </w:rPr>
        <w:t xml:space="preserve">sensitivity analysis </w:t>
      </w:r>
      <w:r w:rsidR="005D6D4F" w:rsidRPr="006704E2">
        <w:rPr>
          <w:rFonts w:ascii="Garamond" w:hAnsi="Garamond"/>
          <w:sz w:val="24"/>
          <w:szCs w:val="24"/>
          <w:lang w:eastAsia="zh-CN"/>
        </w:rPr>
        <w:t>wa</w:t>
      </w:r>
      <w:r w:rsidR="00254040" w:rsidRPr="006704E2">
        <w:rPr>
          <w:rFonts w:ascii="Garamond" w:hAnsi="Garamond"/>
          <w:sz w:val="24"/>
          <w:szCs w:val="24"/>
        </w:rPr>
        <w:t>s truncated for the time horizon established by the air pollutants data. Age-stratification is not considered</w:t>
      </w:r>
      <w:r w:rsidR="005D6D4F" w:rsidRPr="006704E2">
        <w:rPr>
          <w:rFonts w:ascii="Garamond" w:hAnsi="Garamond"/>
          <w:sz w:val="24"/>
          <w:szCs w:val="24"/>
        </w:rPr>
        <w:t xml:space="preserve"> in this sensitivity analysis</w:t>
      </w:r>
      <w:r w:rsidR="00254040" w:rsidRPr="006704E2">
        <w:rPr>
          <w:rFonts w:ascii="Garamond" w:hAnsi="Garamond"/>
          <w:sz w:val="24"/>
          <w:szCs w:val="24"/>
        </w:rPr>
        <w:t>. Models that adjust for</w:t>
      </w:r>
      <w:r w:rsidR="0056706E" w:rsidRPr="006704E2">
        <w:rPr>
          <w:rFonts w:ascii="Garamond" w:hAnsi="Garamond"/>
          <w:sz w:val="24"/>
          <w:szCs w:val="24"/>
        </w:rPr>
        <w:t xml:space="preserve"> same day (lag=0)</w:t>
      </w:r>
      <w:r w:rsidR="00254040" w:rsidRPr="006704E2">
        <w:rPr>
          <w:rFonts w:ascii="Garamond" w:hAnsi="Garamond"/>
          <w:sz w:val="24"/>
          <w:szCs w:val="24"/>
        </w:rPr>
        <w:t xml:space="preserve"> O</w:t>
      </w:r>
      <w:r w:rsidR="00254040" w:rsidRPr="006704E2">
        <w:rPr>
          <w:rFonts w:ascii="Garamond" w:hAnsi="Garamond"/>
          <w:sz w:val="24"/>
          <w:szCs w:val="24"/>
          <w:vertAlign w:val="subscript"/>
        </w:rPr>
        <w:t>3</w:t>
      </w:r>
      <w:r w:rsidR="0056706E" w:rsidRPr="006704E2">
        <w:rPr>
          <w:rFonts w:ascii="Garamond" w:hAnsi="Garamond"/>
          <w:sz w:val="24"/>
          <w:szCs w:val="24"/>
        </w:rPr>
        <w:t xml:space="preserve"> and</w:t>
      </w:r>
      <w:r w:rsidR="00254040" w:rsidRPr="006704E2">
        <w:rPr>
          <w:rFonts w:ascii="Garamond" w:hAnsi="Garamond"/>
          <w:sz w:val="24"/>
          <w:szCs w:val="24"/>
        </w:rPr>
        <w:t xml:space="preserve"> </w:t>
      </w:r>
      <w:r w:rsidR="002B4646" w:rsidRPr="006704E2">
        <w:rPr>
          <w:rFonts w:ascii="Garamond" w:hAnsi="Garamond"/>
          <w:sz w:val="24"/>
          <w:szCs w:val="24"/>
        </w:rPr>
        <w:t>PM</w:t>
      </w:r>
      <w:r w:rsidR="002B4646" w:rsidRPr="006704E2">
        <w:rPr>
          <w:rFonts w:ascii="Garamond" w:hAnsi="Garamond"/>
          <w:sz w:val="24"/>
          <w:szCs w:val="24"/>
          <w:vertAlign w:val="subscript"/>
        </w:rPr>
        <w:t>2.5</w:t>
      </w:r>
      <w:r w:rsidR="0056706E" w:rsidRPr="006704E2">
        <w:rPr>
          <w:rFonts w:ascii="Garamond" w:hAnsi="Garamond"/>
          <w:sz w:val="24"/>
          <w:szCs w:val="24"/>
        </w:rPr>
        <w:t xml:space="preserve"> </w:t>
      </w:r>
      <w:r w:rsidR="0056706E" w:rsidRPr="006704E2">
        <w:rPr>
          <w:rFonts w:ascii="Garamond" w:hAnsi="Garamond"/>
          <w:sz w:val="24"/>
          <w:szCs w:val="24"/>
        </w:rPr>
        <w:lastRenderedPageBreak/>
        <w:t>using a natural cubic spline given 3 degrees of freedom are compared to the baseline model, the final model used in the main text of this study. Three criteria are subsequently used to evaluate the comparison: (1) the shape and confidence interval of exposure-response function (by observation); (2) the p-value of O</w:t>
      </w:r>
      <w:r w:rsidR="0056706E" w:rsidRPr="006704E2">
        <w:rPr>
          <w:rFonts w:ascii="Garamond" w:hAnsi="Garamond"/>
          <w:sz w:val="24"/>
          <w:szCs w:val="24"/>
          <w:vertAlign w:val="subscript"/>
        </w:rPr>
        <w:t>3</w:t>
      </w:r>
      <w:r w:rsidR="0056706E" w:rsidRPr="006704E2">
        <w:rPr>
          <w:rFonts w:ascii="Garamond" w:hAnsi="Garamond"/>
          <w:sz w:val="24"/>
          <w:szCs w:val="24"/>
        </w:rPr>
        <w:t xml:space="preserve"> and PM</w:t>
      </w:r>
      <w:r w:rsidR="0056706E" w:rsidRPr="006704E2">
        <w:rPr>
          <w:rFonts w:ascii="Garamond" w:hAnsi="Garamond"/>
          <w:sz w:val="24"/>
          <w:szCs w:val="24"/>
          <w:vertAlign w:val="subscript"/>
        </w:rPr>
        <w:t>2.5</w:t>
      </w:r>
      <w:r w:rsidR="0056706E" w:rsidRPr="006704E2">
        <w:rPr>
          <w:rFonts w:ascii="Garamond" w:hAnsi="Garamond"/>
          <w:sz w:val="24"/>
          <w:szCs w:val="24"/>
        </w:rPr>
        <w:t xml:space="preserve"> variables in the regression models; and (3) the corresponding attributable risk point estimations.</w:t>
      </w:r>
    </w:p>
    <w:p w14:paraId="6D9035E7" w14:textId="151BFC03" w:rsidR="00BD7D08" w:rsidRPr="006704E2" w:rsidRDefault="00CB7C23" w:rsidP="00BD7D08">
      <w:pPr>
        <w:spacing w:line="480" w:lineRule="auto"/>
        <w:ind w:firstLine="720"/>
        <w:rPr>
          <w:rFonts w:ascii="Garamond" w:hAnsi="Garamond"/>
          <w:sz w:val="24"/>
          <w:szCs w:val="24"/>
        </w:rPr>
      </w:pPr>
      <w:r w:rsidRPr="006704E2">
        <w:rPr>
          <w:rFonts w:ascii="Garamond" w:hAnsi="Garamond"/>
          <w:sz w:val="24"/>
          <w:szCs w:val="24"/>
        </w:rPr>
        <w:t xml:space="preserve">The following sections show the results regarding the three criteria stated above. </w:t>
      </w:r>
      <w:r w:rsidR="005D6D4F" w:rsidRPr="006704E2">
        <w:rPr>
          <w:rFonts w:ascii="Garamond" w:hAnsi="Garamond"/>
          <w:sz w:val="24"/>
          <w:szCs w:val="24"/>
        </w:rPr>
        <w:t>Our</w:t>
      </w:r>
      <w:r w:rsidRPr="006704E2">
        <w:rPr>
          <w:rFonts w:ascii="Garamond" w:hAnsi="Garamond"/>
          <w:sz w:val="24"/>
          <w:szCs w:val="24"/>
        </w:rPr>
        <w:t xml:space="preserve"> results suggest that it is justifiable to exclude </w:t>
      </w:r>
      <w:r w:rsidR="005D6D4F" w:rsidRPr="006704E2">
        <w:rPr>
          <w:rFonts w:ascii="Garamond" w:hAnsi="Garamond"/>
          <w:sz w:val="24"/>
          <w:szCs w:val="24"/>
        </w:rPr>
        <w:t>AP</w:t>
      </w:r>
      <w:r w:rsidRPr="006704E2">
        <w:rPr>
          <w:rFonts w:ascii="Garamond" w:hAnsi="Garamond"/>
          <w:sz w:val="24"/>
          <w:szCs w:val="24"/>
        </w:rPr>
        <w:t xml:space="preserve"> from the risk assessment model in this study as doing so does not lea</w:t>
      </w:r>
      <w:r w:rsidR="005D6D4F" w:rsidRPr="006704E2">
        <w:rPr>
          <w:rFonts w:ascii="Garamond" w:hAnsi="Garamond"/>
          <w:sz w:val="24"/>
          <w:szCs w:val="24"/>
        </w:rPr>
        <w:t>d to substantial changes in health burden estimates</w:t>
      </w:r>
      <w:r w:rsidRPr="006704E2">
        <w:rPr>
          <w:rFonts w:ascii="Garamond" w:hAnsi="Garamond"/>
          <w:sz w:val="24"/>
          <w:szCs w:val="24"/>
        </w:rPr>
        <w:t xml:space="preserve">. </w:t>
      </w:r>
    </w:p>
    <w:p w14:paraId="0BAE2A7E" w14:textId="2D7E1D32" w:rsidR="0056706E" w:rsidRPr="006704E2" w:rsidRDefault="00BD7D08" w:rsidP="00BD7D08">
      <w:pPr>
        <w:rPr>
          <w:rFonts w:ascii="Garamond" w:hAnsi="Garamond"/>
          <w:sz w:val="24"/>
          <w:szCs w:val="24"/>
        </w:rPr>
      </w:pPr>
      <w:r w:rsidRPr="006704E2">
        <w:rPr>
          <w:rFonts w:ascii="Garamond" w:hAnsi="Garamond"/>
          <w:sz w:val="24"/>
          <w:szCs w:val="24"/>
        </w:rPr>
        <w:br w:type="page"/>
      </w:r>
    </w:p>
    <w:p w14:paraId="7D27E8DC" w14:textId="6F67DC6E" w:rsidR="00C7591E" w:rsidRPr="006704E2" w:rsidRDefault="00DB51A9" w:rsidP="00597B56">
      <w:pPr>
        <w:pStyle w:val="Heading2"/>
        <w:numPr>
          <w:ilvl w:val="1"/>
          <w:numId w:val="17"/>
        </w:numPr>
        <w:spacing w:line="480" w:lineRule="auto"/>
        <w:rPr>
          <w:rFonts w:ascii="Garamond" w:hAnsi="Garamond"/>
          <w:color w:val="auto"/>
          <w:sz w:val="24"/>
          <w:szCs w:val="24"/>
        </w:rPr>
      </w:pPr>
      <w:bookmarkStart w:id="3" w:name="_Toc392863179"/>
      <w:r w:rsidRPr="006704E2">
        <w:rPr>
          <w:rFonts w:ascii="Garamond" w:hAnsi="Garamond"/>
          <w:color w:val="auto"/>
        </w:rPr>
        <w:lastRenderedPageBreak/>
        <w:t>Results</w:t>
      </w:r>
      <w:bookmarkEnd w:id="3"/>
    </w:p>
    <w:p w14:paraId="2AEE21C0" w14:textId="5F121D70" w:rsidR="002476D0" w:rsidRPr="006704E2" w:rsidRDefault="00C7591E" w:rsidP="00597B56">
      <w:pPr>
        <w:pStyle w:val="Heading3"/>
        <w:numPr>
          <w:ilvl w:val="2"/>
          <w:numId w:val="17"/>
        </w:numPr>
        <w:ind w:firstLine="0"/>
        <w:rPr>
          <w:rFonts w:ascii="Garamond" w:hAnsi="Garamond"/>
          <w:color w:val="auto"/>
        </w:rPr>
      </w:pPr>
      <w:bookmarkStart w:id="4" w:name="_Toc392863180"/>
      <w:r w:rsidRPr="006704E2">
        <w:rPr>
          <w:rFonts w:ascii="Garamond" w:hAnsi="Garamond"/>
          <w:color w:val="auto"/>
        </w:rPr>
        <w:t>The Exposure Response Functions</w:t>
      </w:r>
      <w:bookmarkEnd w:id="4"/>
    </w:p>
    <w:p w14:paraId="774FEF51" w14:textId="4EBA1ED6" w:rsidR="002476D0" w:rsidRPr="006704E2" w:rsidRDefault="00177F91" w:rsidP="002476D0">
      <w:pPr>
        <w:rPr>
          <w:rFonts w:ascii="Garamond" w:hAnsi="Garamond"/>
          <w:sz w:val="24"/>
          <w:szCs w:val="24"/>
        </w:rPr>
      </w:pPr>
      <w:r w:rsidRPr="006704E2">
        <w:rPr>
          <w:rFonts w:ascii="Garamond" w:hAnsi="Garamond"/>
          <w:noProof/>
          <w:sz w:val="24"/>
          <w:szCs w:val="24"/>
          <w:lang w:val="en-GB" w:eastAsia="zh-CN"/>
        </w:rPr>
        <w:drawing>
          <wp:inline distT="0" distB="0" distL="0" distR="0" wp14:anchorId="553DE73C" wp14:editId="2BC1A644">
            <wp:extent cx="5943600" cy="599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AP_SA.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999480"/>
                    </a:xfrm>
                    <a:prstGeom prst="rect">
                      <a:avLst/>
                    </a:prstGeom>
                  </pic:spPr>
                </pic:pic>
              </a:graphicData>
            </a:graphic>
          </wp:inline>
        </w:drawing>
      </w:r>
    </w:p>
    <w:p w14:paraId="2A91EC6F" w14:textId="209F9C37" w:rsidR="0068724F" w:rsidRPr="006704E2" w:rsidRDefault="00865A02" w:rsidP="00715EB2">
      <w:pPr>
        <w:spacing w:line="480" w:lineRule="auto"/>
        <w:ind w:left="720"/>
        <w:rPr>
          <w:rFonts w:ascii="Garamond" w:hAnsi="Garamond"/>
          <w:sz w:val="24"/>
          <w:szCs w:val="24"/>
        </w:rPr>
      </w:pPr>
      <w:r w:rsidRPr="006704E2">
        <w:rPr>
          <w:rFonts w:ascii="Garamond" w:hAnsi="Garamond"/>
          <w:sz w:val="24"/>
          <w:szCs w:val="24"/>
        </w:rPr>
        <w:t xml:space="preserve">MORT – mortality; EDV – emergency department visits; EDHSP – emergency hospitalizations; MORB – emergency department visits and emergency hospitalizations. </w:t>
      </w:r>
      <w:r w:rsidR="00C7591E" w:rsidRPr="006704E2">
        <w:rPr>
          <w:rFonts w:ascii="Garamond" w:hAnsi="Garamond"/>
          <w:sz w:val="24"/>
          <w:szCs w:val="24"/>
        </w:rPr>
        <w:t xml:space="preserve">This plot compares the exposure response function when adjust for </w:t>
      </w:r>
      <w:r w:rsidRPr="006704E2">
        <w:rPr>
          <w:rFonts w:ascii="Garamond" w:hAnsi="Garamond"/>
          <w:sz w:val="24"/>
          <w:szCs w:val="24"/>
        </w:rPr>
        <w:t>AP</w:t>
      </w:r>
      <w:r w:rsidR="00C7591E" w:rsidRPr="006704E2">
        <w:rPr>
          <w:rFonts w:ascii="Garamond" w:hAnsi="Garamond"/>
          <w:sz w:val="24"/>
          <w:szCs w:val="24"/>
        </w:rPr>
        <w:t xml:space="preserve"> to their respective </w:t>
      </w:r>
      <w:r w:rsidR="00C7591E" w:rsidRPr="006704E2">
        <w:rPr>
          <w:rFonts w:ascii="Garamond" w:hAnsi="Garamond"/>
          <w:sz w:val="24"/>
          <w:szCs w:val="24"/>
        </w:rPr>
        <w:lastRenderedPageBreak/>
        <w:t xml:space="preserve">baseline models. There is no significant change in their shapes or </w:t>
      </w:r>
      <w:r w:rsidRPr="006704E2">
        <w:rPr>
          <w:rFonts w:ascii="Garamond" w:hAnsi="Garamond"/>
          <w:sz w:val="24"/>
          <w:szCs w:val="24"/>
        </w:rPr>
        <w:t>ranges of hazardous (i.e. statistically significant) temperature exposure levels</w:t>
      </w:r>
      <w:r w:rsidR="00C7591E" w:rsidRPr="006704E2">
        <w:rPr>
          <w:rFonts w:ascii="Garamond" w:hAnsi="Garamond"/>
          <w:sz w:val="24"/>
          <w:szCs w:val="24"/>
        </w:rPr>
        <w:t xml:space="preserve">. </w:t>
      </w:r>
      <w:r w:rsidR="0068724F" w:rsidRPr="006704E2">
        <w:rPr>
          <w:rFonts w:ascii="Garamond" w:hAnsi="Garamond"/>
          <w:sz w:val="24"/>
          <w:szCs w:val="24"/>
        </w:rPr>
        <w:br w:type="page"/>
      </w:r>
    </w:p>
    <w:p w14:paraId="264510B3" w14:textId="77777777" w:rsidR="00BD7D08" w:rsidRPr="006704E2" w:rsidRDefault="00BD7D08">
      <w:pPr>
        <w:rPr>
          <w:rFonts w:ascii="Garamond" w:hAnsi="Garamond"/>
          <w:sz w:val="24"/>
          <w:szCs w:val="24"/>
        </w:rPr>
      </w:pPr>
    </w:p>
    <w:p w14:paraId="16E85388" w14:textId="310DFE23" w:rsidR="00996568" w:rsidRPr="006704E2" w:rsidRDefault="00996568" w:rsidP="00597B56">
      <w:pPr>
        <w:pStyle w:val="Heading3"/>
        <w:numPr>
          <w:ilvl w:val="2"/>
          <w:numId w:val="17"/>
        </w:numPr>
        <w:ind w:firstLine="0"/>
        <w:rPr>
          <w:rFonts w:ascii="Garamond" w:hAnsi="Garamond"/>
          <w:color w:val="auto"/>
        </w:rPr>
      </w:pPr>
      <w:bookmarkStart w:id="5" w:name="_Toc392863181"/>
      <w:r w:rsidRPr="006704E2">
        <w:rPr>
          <w:rFonts w:ascii="Garamond" w:hAnsi="Garamond"/>
          <w:color w:val="auto"/>
        </w:rPr>
        <w:t xml:space="preserve">Model </w:t>
      </w:r>
      <w:r w:rsidR="00247EE0" w:rsidRPr="006704E2">
        <w:rPr>
          <w:rFonts w:ascii="Garamond" w:hAnsi="Garamond"/>
          <w:color w:val="auto"/>
        </w:rPr>
        <w:t>Diagnostics</w:t>
      </w:r>
      <w:bookmarkEnd w:id="5"/>
    </w:p>
    <w:p w14:paraId="0E5BDB09" w14:textId="77777777" w:rsidR="00AC01AE" w:rsidRPr="006704E2" w:rsidRDefault="00AC01AE" w:rsidP="00AC01AE">
      <w:pPr>
        <w:rPr>
          <w:rFonts w:ascii="Garamond" w:hAnsi="Garamond"/>
          <w:sz w:val="24"/>
          <w:szCs w:val="24"/>
        </w:rPr>
      </w:pPr>
    </w:p>
    <w:tbl>
      <w:tblPr>
        <w:tblW w:w="0" w:type="auto"/>
        <w:jc w:val="center"/>
        <w:tblCellMar>
          <w:left w:w="0" w:type="dxa"/>
          <w:right w:w="0" w:type="dxa"/>
        </w:tblCellMar>
        <w:tblLook w:val="04A0" w:firstRow="1" w:lastRow="0" w:firstColumn="1" w:lastColumn="0" w:noHBand="0" w:noVBand="1"/>
      </w:tblPr>
      <w:tblGrid>
        <w:gridCol w:w="1041"/>
        <w:gridCol w:w="52"/>
        <w:gridCol w:w="955"/>
        <w:gridCol w:w="1258"/>
        <w:gridCol w:w="1350"/>
        <w:gridCol w:w="1540"/>
      </w:tblGrid>
      <w:tr w:rsidR="00177F91" w:rsidRPr="006704E2" w14:paraId="58700C6D" w14:textId="20C8AB05" w:rsidTr="00177F91">
        <w:trPr>
          <w:trHeight w:val="315"/>
          <w:jc w:val="center"/>
        </w:trPr>
        <w:tc>
          <w:tcPr>
            <w:tcW w:w="874" w:type="dxa"/>
            <w:vMerge w:val="restart"/>
            <w:tcBorders>
              <w:right w:val="single" w:sz="4" w:space="0" w:color="auto"/>
            </w:tcBorders>
            <w:shd w:val="clear" w:color="auto" w:fill="auto"/>
            <w:tcMar>
              <w:top w:w="30" w:type="dxa"/>
              <w:left w:w="45" w:type="dxa"/>
              <w:bottom w:w="30" w:type="dxa"/>
              <w:right w:w="45" w:type="dxa"/>
            </w:tcMar>
            <w:vAlign w:val="center"/>
            <w:hideMark/>
          </w:tcPr>
          <w:p w14:paraId="09E86FAF" w14:textId="4EEE91B4" w:rsidR="00177F91" w:rsidRPr="006704E2" w:rsidRDefault="00177F91" w:rsidP="001578AB">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Health Outcome</w:t>
            </w:r>
          </w:p>
        </w:tc>
        <w:tc>
          <w:tcPr>
            <w:tcW w:w="1007" w:type="dxa"/>
            <w:gridSpan w:val="2"/>
            <w:vMerge w:val="restart"/>
            <w:tcBorders>
              <w:left w:val="single" w:sz="4" w:space="0" w:color="auto"/>
              <w:right w:val="single" w:sz="4" w:space="0" w:color="auto"/>
            </w:tcBorders>
            <w:shd w:val="clear" w:color="auto" w:fill="auto"/>
            <w:vAlign w:val="center"/>
          </w:tcPr>
          <w:p w14:paraId="32913F31" w14:textId="31587B10" w:rsidR="00177F91" w:rsidRPr="006704E2" w:rsidRDefault="00177F91" w:rsidP="001578AB">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Model</w:t>
            </w:r>
          </w:p>
        </w:tc>
        <w:tc>
          <w:tcPr>
            <w:tcW w:w="4148" w:type="dxa"/>
            <w:gridSpan w:val="3"/>
            <w:tcBorders>
              <w:left w:val="single" w:sz="4" w:space="0" w:color="auto"/>
            </w:tcBorders>
            <w:shd w:val="clear" w:color="auto" w:fill="auto"/>
            <w:tcMar>
              <w:top w:w="30" w:type="dxa"/>
              <w:left w:w="45" w:type="dxa"/>
              <w:bottom w:w="30" w:type="dxa"/>
              <w:right w:w="45" w:type="dxa"/>
            </w:tcMar>
            <w:vAlign w:val="center"/>
            <w:hideMark/>
          </w:tcPr>
          <w:p w14:paraId="351154F5" w14:textId="0F4DB123"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p-value</w:t>
            </w:r>
          </w:p>
        </w:tc>
      </w:tr>
      <w:tr w:rsidR="00177F91" w:rsidRPr="006704E2" w14:paraId="0492B291" w14:textId="6A245306"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66A997CE" w14:textId="67224AA3" w:rsidR="00177F91" w:rsidRPr="006704E2" w:rsidRDefault="00177F91" w:rsidP="001578AB">
            <w:pPr>
              <w:spacing w:after="0" w:line="240" w:lineRule="auto"/>
              <w:jc w:val="center"/>
              <w:rPr>
                <w:rFonts w:ascii="Garamond" w:eastAsia="Times New Roman" w:hAnsi="Garamond" w:cs="Times New Roman"/>
                <w:sz w:val="24"/>
                <w:szCs w:val="24"/>
              </w:rPr>
            </w:pPr>
          </w:p>
        </w:tc>
        <w:tc>
          <w:tcPr>
            <w:tcW w:w="1007" w:type="dxa"/>
            <w:gridSpan w:val="2"/>
            <w:vMerge/>
            <w:tcBorders>
              <w:left w:val="single" w:sz="4" w:space="0" w:color="auto"/>
              <w:right w:val="single" w:sz="4" w:space="0" w:color="auto"/>
            </w:tcBorders>
            <w:shd w:val="clear" w:color="auto" w:fill="auto"/>
            <w:vAlign w:val="center"/>
          </w:tcPr>
          <w:p w14:paraId="785C7DA9" w14:textId="77777777" w:rsidR="00177F91" w:rsidRPr="006704E2" w:rsidRDefault="00177F91" w:rsidP="001578AB">
            <w:pPr>
              <w:spacing w:after="0" w:line="240" w:lineRule="auto"/>
              <w:jc w:val="center"/>
              <w:rPr>
                <w:rFonts w:ascii="Garamond" w:eastAsia="Times New Roman" w:hAnsi="Garamond" w:cs="Times New Roman"/>
                <w:sz w:val="24"/>
                <w:szCs w:val="24"/>
              </w:rPr>
            </w:pP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1331AE81" w14:textId="67E286DB"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ns(AP, 3) 1</w:t>
            </w:r>
          </w:p>
        </w:tc>
        <w:tc>
          <w:tcPr>
            <w:tcW w:w="1350" w:type="dxa"/>
            <w:shd w:val="clear" w:color="auto" w:fill="auto"/>
            <w:tcMar>
              <w:top w:w="30" w:type="dxa"/>
              <w:left w:w="45" w:type="dxa"/>
              <w:bottom w:w="30" w:type="dxa"/>
              <w:right w:w="45" w:type="dxa"/>
            </w:tcMar>
            <w:vAlign w:val="center"/>
            <w:hideMark/>
          </w:tcPr>
          <w:p w14:paraId="74003738" w14:textId="5AF1A3EB"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ns(AP, 3) 2</w:t>
            </w:r>
          </w:p>
        </w:tc>
        <w:tc>
          <w:tcPr>
            <w:tcW w:w="1540" w:type="dxa"/>
            <w:shd w:val="clear" w:color="auto" w:fill="auto"/>
            <w:tcMar>
              <w:top w:w="30" w:type="dxa"/>
              <w:left w:w="45" w:type="dxa"/>
              <w:bottom w:w="30" w:type="dxa"/>
              <w:right w:w="45" w:type="dxa"/>
            </w:tcMar>
            <w:vAlign w:val="center"/>
            <w:hideMark/>
          </w:tcPr>
          <w:p w14:paraId="47534D90" w14:textId="073F263A"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ns(AP, 3) 3</w:t>
            </w:r>
          </w:p>
        </w:tc>
      </w:tr>
      <w:tr w:rsidR="00177F91" w:rsidRPr="006704E2" w14:paraId="1AC5B3BA" w14:textId="114C7A7B" w:rsidTr="00177F91">
        <w:trPr>
          <w:trHeight w:val="315"/>
          <w:jc w:val="center"/>
        </w:trPr>
        <w:tc>
          <w:tcPr>
            <w:tcW w:w="874" w:type="dxa"/>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0AD90BA4" w14:textId="222D3AA9"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MORT</w:t>
            </w:r>
          </w:p>
        </w:tc>
        <w:tc>
          <w:tcPr>
            <w:tcW w:w="52" w:type="dxa"/>
            <w:vMerge w:val="restart"/>
            <w:tcBorders>
              <w:top w:val="single" w:sz="4" w:space="0" w:color="auto"/>
              <w:left w:val="single" w:sz="4" w:space="0" w:color="auto"/>
            </w:tcBorders>
            <w:shd w:val="clear" w:color="auto" w:fill="auto"/>
            <w:vAlign w:val="center"/>
          </w:tcPr>
          <w:p w14:paraId="6F183B73" w14:textId="77777777" w:rsidR="00177F91" w:rsidRPr="006704E2" w:rsidRDefault="00177F91" w:rsidP="00177F91">
            <w:pPr>
              <w:spacing w:after="0" w:line="240" w:lineRule="auto"/>
              <w:jc w:val="center"/>
              <w:rPr>
                <w:rFonts w:ascii="Garamond" w:eastAsia="Times New Roman" w:hAnsi="Garamond" w:cs="Arial"/>
                <w:b/>
                <w:sz w:val="24"/>
                <w:szCs w:val="24"/>
              </w:rPr>
            </w:pPr>
          </w:p>
        </w:tc>
        <w:tc>
          <w:tcPr>
            <w:tcW w:w="0" w:type="auto"/>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43A05770" w14:textId="2808A7C0"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Baseline</w:t>
            </w:r>
          </w:p>
        </w:tc>
        <w:tc>
          <w:tcPr>
            <w:tcW w:w="1258" w:type="dxa"/>
            <w:tcBorders>
              <w:top w:val="single" w:sz="4" w:space="0" w:color="auto"/>
              <w:left w:val="single" w:sz="4" w:space="0" w:color="auto"/>
            </w:tcBorders>
            <w:shd w:val="clear" w:color="auto" w:fill="auto"/>
            <w:tcMar>
              <w:top w:w="30" w:type="dxa"/>
              <w:left w:w="45" w:type="dxa"/>
              <w:bottom w:w="30" w:type="dxa"/>
              <w:right w:w="45" w:type="dxa"/>
            </w:tcMar>
            <w:vAlign w:val="center"/>
            <w:hideMark/>
          </w:tcPr>
          <w:p w14:paraId="79473AC0"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350" w:type="dxa"/>
            <w:tcBorders>
              <w:top w:val="single" w:sz="4" w:space="0" w:color="auto"/>
            </w:tcBorders>
            <w:shd w:val="clear" w:color="auto" w:fill="auto"/>
            <w:tcMar>
              <w:top w:w="30" w:type="dxa"/>
              <w:left w:w="45" w:type="dxa"/>
              <w:bottom w:w="30" w:type="dxa"/>
              <w:right w:w="45" w:type="dxa"/>
            </w:tcMar>
            <w:vAlign w:val="center"/>
            <w:hideMark/>
          </w:tcPr>
          <w:p w14:paraId="3CA5DA80"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540" w:type="dxa"/>
            <w:tcBorders>
              <w:top w:val="single" w:sz="4" w:space="0" w:color="auto"/>
            </w:tcBorders>
            <w:shd w:val="clear" w:color="auto" w:fill="auto"/>
            <w:tcMar>
              <w:top w:w="30" w:type="dxa"/>
              <w:left w:w="45" w:type="dxa"/>
              <w:bottom w:w="30" w:type="dxa"/>
              <w:right w:w="45" w:type="dxa"/>
            </w:tcMar>
            <w:vAlign w:val="center"/>
            <w:hideMark/>
          </w:tcPr>
          <w:p w14:paraId="41BC38FE"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177F91" w:rsidRPr="006704E2" w14:paraId="7FA7D4E1" w14:textId="24080C07"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2D8CABF5"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0C4AAE2D"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08AD9120" w14:textId="43E03B2B"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05A5382B"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0.99</w:t>
            </w:r>
          </w:p>
        </w:tc>
        <w:tc>
          <w:tcPr>
            <w:tcW w:w="1350" w:type="dxa"/>
            <w:shd w:val="clear" w:color="auto" w:fill="auto"/>
            <w:tcMar>
              <w:top w:w="30" w:type="dxa"/>
              <w:left w:w="45" w:type="dxa"/>
              <w:bottom w:w="30" w:type="dxa"/>
              <w:right w:w="45" w:type="dxa"/>
            </w:tcMar>
            <w:vAlign w:val="center"/>
            <w:hideMark/>
          </w:tcPr>
          <w:p w14:paraId="2E687E4C"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0.16</w:t>
            </w:r>
          </w:p>
        </w:tc>
        <w:tc>
          <w:tcPr>
            <w:tcW w:w="1540" w:type="dxa"/>
            <w:shd w:val="clear" w:color="auto" w:fill="auto"/>
            <w:tcMar>
              <w:top w:w="30" w:type="dxa"/>
              <w:left w:w="45" w:type="dxa"/>
              <w:bottom w:w="30" w:type="dxa"/>
              <w:right w:w="45" w:type="dxa"/>
            </w:tcMar>
            <w:vAlign w:val="center"/>
            <w:hideMark/>
          </w:tcPr>
          <w:p w14:paraId="79C1F7AE"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0.75</w:t>
            </w:r>
          </w:p>
        </w:tc>
      </w:tr>
      <w:tr w:rsidR="00177F91" w:rsidRPr="006704E2" w14:paraId="419419F1" w14:textId="2B8B3D07"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649EB98A"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7FCF042D"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3840E270" w14:textId="3C89715E"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2C3BAD78"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0.93</w:t>
            </w:r>
          </w:p>
        </w:tc>
        <w:tc>
          <w:tcPr>
            <w:tcW w:w="1350" w:type="dxa"/>
            <w:shd w:val="clear" w:color="auto" w:fill="auto"/>
            <w:tcMar>
              <w:top w:w="30" w:type="dxa"/>
              <w:left w:w="45" w:type="dxa"/>
              <w:bottom w:w="30" w:type="dxa"/>
              <w:right w:w="45" w:type="dxa"/>
            </w:tcMar>
            <w:vAlign w:val="center"/>
            <w:hideMark/>
          </w:tcPr>
          <w:p w14:paraId="087A92B7"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0.56</w:t>
            </w:r>
          </w:p>
        </w:tc>
        <w:tc>
          <w:tcPr>
            <w:tcW w:w="1540" w:type="dxa"/>
            <w:shd w:val="clear" w:color="auto" w:fill="auto"/>
            <w:tcMar>
              <w:top w:w="30" w:type="dxa"/>
              <w:left w:w="45" w:type="dxa"/>
              <w:bottom w:w="30" w:type="dxa"/>
              <w:right w:w="45" w:type="dxa"/>
            </w:tcMar>
            <w:vAlign w:val="center"/>
            <w:hideMark/>
          </w:tcPr>
          <w:p w14:paraId="615B19D8"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0.87</w:t>
            </w:r>
          </w:p>
        </w:tc>
      </w:tr>
      <w:tr w:rsidR="00177F91" w:rsidRPr="006704E2" w14:paraId="23769317" w14:textId="7ECD5297" w:rsidTr="00177F91">
        <w:trPr>
          <w:trHeight w:val="315"/>
          <w:jc w:val="center"/>
        </w:trPr>
        <w:tc>
          <w:tcPr>
            <w:tcW w:w="874" w:type="dxa"/>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69B4021F" w14:textId="77777777"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EDV</w:t>
            </w:r>
          </w:p>
        </w:tc>
        <w:tc>
          <w:tcPr>
            <w:tcW w:w="52" w:type="dxa"/>
            <w:vMerge w:val="restart"/>
            <w:tcBorders>
              <w:top w:val="single" w:sz="4" w:space="0" w:color="auto"/>
              <w:left w:val="single" w:sz="4" w:space="0" w:color="auto"/>
            </w:tcBorders>
            <w:shd w:val="clear" w:color="auto" w:fill="auto"/>
            <w:vAlign w:val="center"/>
          </w:tcPr>
          <w:p w14:paraId="10F13F70" w14:textId="77777777" w:rsidR="00177F91" w:rsidRPr="006704E2" w:rsidRDefault="00177F91" w:rsidP="00177F91">
            <w:pPr>
              <w:spacing w:after="0" w:line="240" w:lineRule="auto"/>
              <w:jc w:val="center"/>
              <w:rPr>
                <w:rFonts w:ascii="Garamond" w:eastAsia="Times New Roman" w:hAnsi="Garamond" w:cs="Arial"/>
                <w:b/>
                <w:sz w:val="24"/>
                <w:szCs w:val="24"/>
              </w:rPr>
            </w:pPr>
          </w:p>
        </w:tc>
        <w:tc>
          <w:tcPr>
            <w:tcW w:w="0" w:type="auto"/>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39C25BB8" w14:textId="5932E7BE"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Baseline</w:t>
            </w:r>
          </w:p>
        </w:tc>
        <w:tc>
          <w:tcPr>
            <w:tcW w:w="1258" w:type="dxa"/>
            <w:tcBorders>
              <w:top w:val="single" w:sz="4" w:space="0" w:color="auto"/>
              <w:left w:val="single" w:sz="4" w:space="0" w:color="auto"/>
            </w:tcBorders>
            <w:shd w:val="clear" w:color="auto" w:fill="auto"/>
            <w:tcMar>
              <w:top w:w="30" w:type="dxa"/>
              <w:left w:w="45" w:type="dxa"/>
              <w:bottom w:w="30" w:type="dxa"/>
              <w:right w:w="45" w:type="dxa"/>
            </w:tcMar>
            <w:vAlign w:val="center"/>
            <w:hideMark/>
          </w:tcPr>
          <w:p w14:paraId="7045705E"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350" w:type="dxa"/>
            <w:tcBorders>
              <w:top w:val="single" w:sz="4" w:space="0" w:color="auto"/>
            </w:tcBorders>
            <w:shd w:val="clear" w:color="auto" w:fill="auto"/>
            <w:tcMar>
              <w:top w:w="30" w:type="dxa"/>
              <w:left w:w="45" w:type="dxa"/>
              <w:bottom w:w="30" w:type="dxa"/>
              <w:right w:w="45" w:type="dxa"/>
            </w:tcMar>
            <w:vAlign w:val="center"/>
            <w:hideMark/>
          </w:tcPr>
          <w:p w14:paraId="32F4ADC7"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540" w:type="dxa"/>
            <w:tcBorders>
              <w:top w:val="single" w:sz="4" w:space="0" w:color="auto"/>
            </w:tcBorders>
            <w:shd w:val="clear" w:color="auto" w:fill="auto"/>
            <w:tcMar>
              <w:top w:w="30" w:type="dxa"/>
              <w:left w:w="45" w:type="dxa"/>
              <w:bottom w:w="30" w:type="dxa"/>
              <w:right w:w="45" w:type="dxa"/>
            </w:tcMar>
            <w:vAlign w:val="center"/>
            <w:hideMark/>
          </w:tcPr>
          <w:p w14:paraId="6FBB66DC"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177F91" w:rsidRPr="006704E2" w14:paraId="45F615E3" w14:textId="114D2B4E"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16F5A051"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4CBF126E"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6813F76D" w14:textId="245ADC38"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6107ECAF" w14:textId="3DBD509C"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0.53</w:t>
            </w:r>
          </w:p>
        </w:tc>
        <w:tc>
          <w:tcPr>
            <w:tcW w:w="1350" w:type="dxa"/>
            <w:shd w:val="clear" w:color="auto" w:fill="auto"/>
            <w:tcMar>
              <w:top w:w="30" w:type="dxa"/>
              <w:left w:w="45" w:type="dxa"/>
              <w:bottom w:w="30" w:type="dxa"/>
              <w:right w:w="45" w:type="dxa"/>
            </w:tcMar>
            <w:vAlign w:val="center"/>
            <w:hideMark/>
          </w:tcPr>
          <w:p w14:paraId="080FD87C" w14:textId="476B0050"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0.83</w:t>
            </w:r>
          </w:p>
        </w:tc>
        <w:tc>
          <w:tcPr>
            <w:tcW w:w="1540" w:type="dxa"/>
            <w:shd w:val="clear" w:color="auto" w:fill="auto"/>
            <w:tcMar>
              <w:top w:w="30" w:type="dxa"/>
              <w:left w:w="45" w:type="dxa"/>
              <w:bottom w:w="30" w:type="dxa"/>
              <w:right w:w="45" w:type="dxa"/>
            </w:tcMar>
            <w:vAlign w:val="center"/>
            <w:hideMark/>
          </w:tcPr>
          <w:p w14:paraId="62F0B788" w14:textId="329AC902"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0.81</w:t>
            </w:r>
          </w:p>
        </w:tc>
      </w:tr>
      <w:tr w:rsidR="00177F91" w:rsidRPr="006704E2" w14:paraId="57D81AA5" w14:textId="33ED644C"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0CB271D2"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37E341AA"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34C53C4A" w14:textId="76911BC5"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0DA6A2CD" w14:textId="77777777" w:rsidR="00177F91" w:rsidRPr="006704E2" w:rsidRDefault="00177F91" w:rsidP="001578AB">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&lt;0.01</w:t>
            </w:r>
          </w:p>
        </w:tc>
        <w:tc>
          <w:tcPr>
            <w:tcW w:w="1350" w:type="dxa"/>
            <w:shd w:val="clear" w:color="auto" w:fill="auto"/>
            <w:tcMar>
              <w:top w:w="30" w:type="dxa"/>
              <w:left w:w="45" w:type="dxa"/>
              <w:bottom w:w="30" w:type="dxa"/>
              <w:right w:w="45" w:type="dxa"/>
            </w:tcMar>
            <w:vAlign w:val="center"/>
            <w:hideMark/>
          </w:tcPr>
          <w:p w14:paraId="4CC043A0" w14:textId="77777777" w:rsidR="00177F91" w:rsidRPr="006704E2" w:rsidRDefault="00177F91" w:rsidP="001578AB">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0.01</w:t>
            </w:r>
          </w:p>
        </w:tc>
        <w:tc>
          <w:tcPr>
            <w:tcW w:w="1540" w:type="dxa"/>
            <w:shd w:val="clear" w:color="auto" w:fill="auto"/>
            <w:tcMar>
              <w:top w:w="30" w:type="dxa"/>
              <w:left w:w="45" w:type="dxa"/>
              <w:bottom w:w="30" w:type="dxa"/>
              <w:right w:w="45" w:type="dxa"/>
            </w:tcMar>
            <w:vAlign w:val="center"/>
            <w:hideMark/>
          </w:tcPr>
          <w:p w14:paraId="06EF30F6"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0.64</w:t>
            </w:r>
          </w:p>
        </w:tc>
      </w:tr>
      <w:tr w:rsidR="00177F91" w:rsidRPr="006704E2" w14:paraId="23292ECD" w14:textId="2F43252F" w:rsidTr="00177F91">
        <w:trPr>
          <w:trHeight w:val="315"/>
          <w:jc w:val="center"/>
        </w:trPr>
        <w:tc>
          <w:tcPr>
            <w:tcW w:w="874" w:type="dxa"/>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188310DF" w14:textId="77777777"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EDHSP</w:t>
            </w:r>
          </w:p>
        </w:tc>
        <w:tc>
          <w:tcPr>
            <w:tcW w:w="52" w:type="dxa"/>
            <w:vMerge w:val="restart"/>
            <w:tcBorders>
              <w:top w:val="single" w:sz="4" w:space="0" w:color="auto"/>
              <w:left w:val="single" w:sz="4" w:space="0" w:color="auto"/>
            </w:tcBorders>
            <w:shd w:val="clear" w:color="auto" w:fill="auto"/>
            <w:vAlign w:val="center"/>
          </w:tcPr>
          <w:p w14:paraId="415D95FB" w14:textId="77777777" w:rsidR="00177F91" w:rsidRPr="006704E2" w:rsidRDefault="00177F91" w:rsidP="00177F91">
            <w:pPr>
              <w:spacing w:after="0" w:line="240" w:lineRule="auto"/>
              <w:jc w:val="center"/>
              <w:rPr>
                <w:rFonts w:ascii="Garamond" w:eastAsia="Times New Roman" w:hAnsi="Garamond" w:cs="Arial"/>
                <w:b/>
                <w:sz w:val="24"/>
                <w:szCs w:val="24"/>
              </w:rPr>
            </w:pPr>
          </w:p>
        </w:tc>
        <w:tc>
          <w:tcPr>
            <w:tcW w:w="0" w:type="auto"/>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772B082F" w14:textId="6837D7C5"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Baseline</w:t>
            </w:r>
          </w:p>
        </w:tc>
        <w:tc>
          <w:tcPr>
            <w:tcW w:w="1258" w:type="dxa"/>
            <w:tcBorders>
              <w:top w:val="single" w:sz="4" w:space="0" w:color="auto"/>
              <w:left w:val="single" w:sz="4" w:space="0" w:color="auto"/>
            </w:tcBorders>
            <w:shd w:val="clear" w:color="auto" w:fill="auto"/>
            <w:tcMar>
              <w:top w:w="30" w:type="dxa"/>
              <w:left w:w="45" w:type="dxa"/>
              <w:bottom w:w="30" w:type="dxa"/>
              <w:right w:w="45" w:type="dxa"/>
            </w:tcMar>
            <w:vAlign w:val="center"/>
            <w:hideMark/>
          </w:tcPr>
          <w:p w14:paraId="48E5F6B9"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350" w:type="dxa"/>
            <w:tcBorders>
              <w:top w:val="single" w:sz="4" w:space="0" w:color="auto"/>
            </w:tcBorders>
            <w:shd w:val="clear" w:color="auto" w:fill="auto"/>
            <w:tcMar>
              <w:top w:w="30" w:type="dxa"/>
              <w:left w:w="45" w:type="dxa"/>
              <w:bottom w:w="30" w:type="dxa"/>
              <w:right w:w="45" w:type="dxa"/>
            </w:tcMar>
            <w:vAlign w:val="center"/>
            <w:hideMark/>
          </w:tcPr>
          <w:p w14:paraId="3936F697"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540" w:type="dxa"/>
            <w:tcBorders>
              <w:top w:val="single" w:sz="4" w:space="0" w:color="auto"/>
            </w:tcBorders>
            <w:shd w:val="clear" w:color="auto" w:fill="auto"/>
            <w:tcMar>
              <w:top w:w="30" w:type="dxa"/>
              <w:left w:w="45" w:type="dxa"/>
              <w:bottom w:w="30" w:type="dxa"/>
              <w:right w:w="45" w:type="dxa"/>
            </w:tcMar>
            <w:vAlign w:val="center"/>
            <w:hideMark/>
          </w:tcPr>
          <w:p w14:paraId="0C9EE177"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177F91" w:rsidRPr="006704E2" w14:paraId="0067E81C" w14:textId="2DBDEA05"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7DF54430"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54AF680F"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4545DDD9" w14:textId="2B9D82CB"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245CA3C7" w14:textId="77777777" w:rsidR="00177F91" w:rsidRPr="006704E2" w:rsidRDefault="00177F91" w:rsidP="001578AB">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&lt;0.01</w:t>
            </w:r>
          </w:p>
        </w:tc>
        <w:tc>
          <w:tcPr>
            <w:tcW w:w="1350" w:type="dxa"/>
            <w:shd w:val="clear" w:color="auto" w:fill="auto"/>
            <w:tcMar>
              <w:top w:w="30" w:type="dxa"/>
              <w:left w:w="45" w:type="dxa"/>
              <w:bottom w:w="30" w:type="dxa"/>
              <w:right w:w="45" w:type="dxa"/>
            </w:tcMar>
            <w:vAlign w:val="center"/>
            <w:hideMark/>
          </w:tcPr>
          <w:p w14:paraId="1103C9E2" w14:textId="6E28B859"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0.18</w:t>
            </w:r>
          </w:p>
        </w:tc>
        <w:tc>
          <w:tcPr>
            <w:tcW w:w="1540" w:type="dxa"/>
            <w:shd w:val="clear" w:color="auto" w:fill="auto"/>
            <w:tcMar>
              <w:top w:w="30" w:type="dxa"/>
              <w:left w:w="45" w:type="dxa"/>
              <w:bottom w:w="30" w:type="dxa"/>
              <w:right w:w="45" w:type="dxa"/>
            </w:tcMar>
            <w:vAlign w:val="center"/>
            <w:hideMark/>
          </w:tcPr>
          <w:p w14:paraId="5964AC9B" w14:textId="2B35150F"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0.64</w:t>
            </w:r>
          </w:p>
        </w:tc>
      </w:tr>
      <w:tr w:rsidR="00177F91" w:rsidRPr="006704E2" w14:paraId="2520ADD1" w14:textId="255E5F3D"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2D402003"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2E2A6626"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1018E285" w14:textId="4FBA03A3"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25B6B87F" w14:textId="77777777" w:rsidR="00177F91" w:rsidRPr="006704E2" w:rsidRDefault="00177F91" w:rsidP="001578AB">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&lt;0.01</w:t>
            </w:r>
          </w:p>
        </w:tc>
        <w:tc>
          <w:tcPr>
            <w:tcW w:w="1350" w:type="dxa"/>
            <w:shd w:val="clear" w:color="auto" w:fill="auto"/>
            <w:tcMar>
              <w:top w:w="30" w:type="dxa"/>
              <w:left w:w="45" w:type="dxa"/>
              <w:bottom w:w="30" w:type="dxa"/>
              <w:right w:w="45" w:type="dxa"/>
            </w:tcMar>
            <w:vAlign w:val="center"/>
            <w:hideMark/>
          </w:tcPr>
          <w:p w14:paraId="6DD0B21B" w14:textId="34B580E3"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0.20</w:t>
            </w:r>
          </w:p>
        </w:tc>
        <w:tc>
          <w:tcPr>
            <w:tcW w:w="1540" w:type="dxa"/>
            <w:shd w:val="clear" w:color="auto" w:fill="auto"/>
            <w:tcMar>
              <w:top w:w="30" w:type="dxa"/>
              <w:left w:w="45" w:type="dxa"/>
              <w:bottom w:w="30" w:type="dxa"/>
              <w:right w:w="45" w:type="dxa"/>
            </w:tcMar>
            <w:vAlign w:val="center"/>
            <w:hideMark/>
          </w:tcPr>
          <w:p w14:paraId="7A4DAB11"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0.76</w:t>
            </w:r>
          </w:p>
        </w:tc>
      </w:tr>
      <w:tr w:rsidR="00177F91" w:rsidRPr="006704E2" w14:paraId="3B6CF5C2" w14:textId="14FA883A" w:rsidTr="00177F91">
        <w:trPr>
          <w:trHeight w:val="315"/>
          <w:jc w:val="center"/>
        </w:trPr>
        <w:tc>
          <w:tcPr>
            <w:tcW w:w="874" w:type="dxa"/>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71B9025D" w14:textId="77777777" w:rsidR="00177F91" w:rsidRPr="006704E2" w:rsidRDefault="00177F91" w:rsidP="001578AB">
            <w:pPr>
              <w:spacing w:after="0" w:line="240" w:lineRule="auto"/>
              <w:jc w:val="center"/>
              <w:rPr>
                <w:rFonts w:ascii="Garamond" w:eastAsia="Times New Roman" w:hAnsi="Garamond" w:cs="Arial"/>
                <w:b/>
                <w:sz w:val="24"/>
                <w:szCs w:val="24"/>
              </w:rPr>
            </w:pPr>
            <w:proofErr w:type="spellStart"/>
            <w:r w:rsidRPr="006704E2">
              <w:rPr>
                <w:rFonts w:ascii="Garamond" w:eastAsia="Times New Roman" w:hAnsi="Garamond" w:cs="Arial"/>
                <w:b/>
                <w:sz w:val="24"/>
                <w:szCs w:val="24"/>
              </w:rPr>
              <w:t>Morb</w:t>
            </w:r>
            <w:proofErr w:type="spellEnd"/>
          </w:p>
        </w:tc>
        <w:tc>
          <w:tcPr>
            <w:tcW w:w="52" w:type="dxa"/>
            <w:vMerge w:val="restart"/>
            <w:tcBorders>
              <w:top w:val="single" w:sz="4" w:space="0" w:color="auto"/>
              <w:left w:val="single" w:sz="4" w:space="0" w:color="auto"/>
            </w:tcBorders>
            <w:shd w:val="clear" w:color="auto" w:fill="auto"/>
            <w:vAlign w:val="center"/>
          </w:tcPr>
          <w:p w14:paraId="46BB29C1" w14:textId="77777777" w:rsidR="00177F91" w:rsidRPr="006704E2" w:rsidRDefault="00177F91" w:rsidP="00177F91">
            <w:pPr>
              <w:spacing w:after="0" w:line="240" w:lineRule="auto"/>
              <w:jc w:val="center"/>
              <w:rPr>
                <w:rFonts w:ascii="Garamond" w:eastAsia="Times New Roman" w:hAnsi="Garamond" w:cs="Arial"/>
                <w:b/>
                <w:sz w:val="24"/>
                <w:szCs w:val="24"/>
              </w:rPr>
            </w:pPr>
          </w:p>
        </w:tc>
        <w:tc>
          <w:tcPr>
            <w:tcW w:w="0" w:type="auto"/>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619CA903" w14:textId="5DDEC868"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Baseline</w:t>
            </w:r>
          </w:p>
        </w:tc>
        <w:tc>
          <w:tcPr>
            <w:tcW w:w="1258" w:type="dxa"/>
            <w:tcBorders>
              <w:top w:val="single" w:sz="4" w:space="0" w:color="auto"/>
              <w:left w:val="single" w:sz="4" w:space="0" w:color="auto"/>
            </w:tcBorders>
            <w:shd w:val="clear" w:color="auto" w:fill="auto"/>
            <w:tcMar>
              <w:top w:w="30" w:type="dxa"/>
              <w:left w:w="45" w:type="dxa"/>
              <w:bottom w:w="30" w:type="dxa"/>
              <w:right w:w="45" w:type="dxa"/>
            </w:tcMar>
            <w:vAlign w:val="center"/>
            <w:hideMark/>
          </w:tcPr>
          <w:p w14:paraId="520CC26A"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350" w:type="dxa"/>
            <w:tcBorders>
              <w:top w:val="single" w:sz="4" w:space="0" w:color="auto"/>
            </w:tcBorders>
            <w:shd w:val="clear" w:color="auto" w:fill="auto"/>
            <w:tcMar>
              <w:top w:w="30" w:type="dxa"/>
              <w:left w:w="45" w:type="dxa"/>
              <w:bottom w:w="30" w:type="dxa"/>
              <w:right w:w="45" w:type="dxa"/>
            </w:tcMar>
            <w:vAlign w:val="center"/>
            <w:hideMark/>
          </w:tcPr>
          <w:p w14:paraId="4E8B2CAE"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540" w:type="dxa"/>
            <w:tcBorders>
              <w:top w:val="single" w:sz="4" w:space="0" w:color="auto"/>
            </w:tcBorders>
            <w:shd w:val="clear" w:color="auto" w:fill="auto"/>
            <w:tcMar>
              <w:top w:w="30" w:type="dxa"/>
              <w:left w:w="45" w:type="dxa"/>
              <w:bottom w:w="30" w:type="dxa"/>
              <w:right w:w="45" w:type="dxa"/>
            </w:tcMar>
            <w:vAlign w:val="center"/>
            <w:hideMark/>
          </w:tcPr>
          <w:p w14:paraId="4C3DF6B0"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177F91" w:rsidRPr="006704E2" w14:paraId="4879B5B6" w14:textId="04A8565F"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5E1CF8DA"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14CED56F"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1883BA2F" w14:textId="51E9E3A3"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108A61A3" w14:textId="77101678"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0.11</w:t>
            </w:r>
          </w:p>
        </w:tc>
        <w:tc>
          <w:tcPr>
            <w:tcW w:w="1350" w:type="dxa"/>
            <w:shd w:val="clear" w:color="auto" w:fill="auto"/>
            <w:tcMar>
              <w:top w:w="30" w:type="dxa"/>
              <w:left w:w="45" w:type="dxa"/>
              <w:bottom w:w="30" w:type="dxa"/>
              <w:right w:w="45" w:type="dxa"/>
            </w:tcMar>
            <w:vAlign w:val="center"/>
            <w:hideMark/>
          </w:tcPr>
          <w:p w14:paraId="27D06569" w14:textId="5500D3AF"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0.79</w:t>
            </w:r>
          </w:p>
        </w:tc>
        <w:tc>
          <w:tcPr>
            <w:tcW w:w="1540" w:type="dxa"/>
            <w:shd w:val="clear" w:color="auto" w:fill="auto"/>
            <w:tcMar>
              <w:top w:w="30" w:type="dxa"/>
              <w:left w:w="45" w:type="dxa"/>
              <w:bottom w:w="30" w:type="dxa"/>
              <w:right w:w="45" w:type="dxa"/>
            </w:tcMar>
            <w:vAlign w:val="center"/>
            <w:hideMark/>
          </w:tcPr>
          <w:p w14:paraId="00CF33A8" w14:textId="0AD26E9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0.97</w:t>
            </w:r>
          </w:p>
        </w:tc>
      </w:tr>
      <w:tr w:rsidR="00177F91" w:rsidRPr="006704E2" w14:paraId="65FE1045" w14:textId="0FE514A4" w:rsidTr="00177F91">
        <w:trPr>
          <w:trHeight w:val="315"/>
          <w:jc w:val="center"/>
        </w:trPr>
        <w:tc>
          <w:tcPr>
            <w:tcW w:w="874" w:type="dxa"/>
            <w:vMerge/>
            <w:tcBorders>
              <w:right w:val="single" w:sz="4" w:space="0" w:color="auto"/>
            </w:tcBorders>
            <w:shd w:val="clear" w:color="auto" w:fill="auto"/>
            <w:tcMar>
              <w:top w:w="30" w:type="dxa"/>
              <w:left w:w="45" w:type="dxa"/>
              <w:bottom w:w="30" w:type="dxa"/>
              <w:right w:w="45" w:type="dxa"/>
            </w:tcMar>
            <w:vAlign w:val="center"/>
            <w:hideMark/>
          </w:tcPr>
          <w:p w14:paraId="003CD559"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52" w:type="dxa"/>
            <w:vMerge/>
            <w:tcBorders>
              <w:left w:val="single" w:sz="4" w:space="0" w:color="auto"/>
            </w:tcBorders>
            <w:shd w:val="clear" w:color="auto" w:fill="auto"/>
            <w:vAlign w:val="center"/>
          </w:tcPr>
          <w:p w14:paraId="6744B53D" w14:textId="77777777" w:rsidR="00177F91" w:rsidRPr="006704E2" w:rsidRDefault="00177F91" w:rsidP="001578AB">
            <w:pPr>
              <w:spacing w:after="0" w:line="240" w:lineRule="auto"/>
              <w:jc w:val="center"/>
              <w:rPr>
                <w:rFonts w:ascii="Garamond" w:eastAsia="Times New Roman" w:hAnsi="Garamond" w:cs="Arial"/>
                <w:b/>
                <w:sz w:val="24"/>
                <w:szCs w:val="24"/>
              </w:rPr>
            </w:pPr>
          </w:p>
        </w:tc>
        <w:tc>
          <w:tcPr>
            <w:tcW w:w="0" w:type="auto"/>
            <w:tcBorders>
              <w:right w:val="single" w:sz="4" w:space="0" w:color="auto"/>
            </w:tcBorders>
            <w:shd w:val="clear" w:color="auto" w:fill="auto"/>
            <w:tcMar>
              <w:top w:w="30" w:type="dxa"/>
              <w:left w:w="45" w:type="dxa"/>
              <w:bottom w:w="30" w:type="dxa"/>
              <w:right w:w="45" w:type="dxa"/>
            </w:tcMar>
            <w:vAlign w:val="center"/>
            <w:hideMark/>
          </w:tcPr>
          <w:p w14:paraId="38D15CB9" w14:textId="347AD4DB" w:rsidR="00177F91" w:rsidRPr="006704E2" w:rsidRDefault="00177F91" w:rsidP="001578AB">
            <w:pPr>
              <w:spacing w:after="0" w:line="240" w:lineRule="auto"/>
              <w:jc w:val="center"/>
              <w:rPr>
                <w:rFonts w:ascii="Garamond" w:eastAsia="Times New Roman" w:hAnsi="Garamond" w:cs="Arial"/>
                <w:b/>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1258" w:type="dxa"/>
            <w:tcBorders>
              <w:left w:val="single" w:sz="4" w:space="0" w:color="auto"/>
            </w:tcBorders>
            <w:shd w:val="clear" w:color="auto" w:fill="auto"/>
            <w:tcMar>
              <w:top w:w="30" w:type="dxa"/>
              <w:left w:w="45" w:type="dxa"/>
              <w:bottom w:w="30" w:type="dxa"/>
              <w:right w:w="45" w:type="dxa"/>
            </w:tcMar>
            <w:vAlign w:val="center"/>
            <w:hideMark/>
          </w:tcPr>
          <w:p w14:paraId="52DEF12F" w14:textId="77777777" w:rsidR="00177F91" w:rsidRPr="006704E2" w:rsidRDefault="00177F91" w:rsidP="001578AB">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&lt;0.01</w:t>
            </w:r>
          </w:p>
        </w:tc>
        <w:tc>
          <w:tcPr>
            <w:tcW w:w="1350" w:type="dxa"/>
            <w:shd w:val="clear" w:color="auto" w:fill="auto"/>
            <w:tcMar>
              <w:top w:w="30" w:type="dxa"/>
              <w:left w:w="45" w:type="dxa"/>
              <w:bottom w:w="30" w:type="dxa"/>
              <w:right w:w="45" w:type="dxa"/>
            </w:tcMar>
            <w:vAlign w:val="center"/>
            <w:hideMark/>
          </w:tcPr>
          <w:p w14:paraId="4DD78758" w14:textId="77777777" w:rsidR="00177F91" w:rsidRPr="006704E2" w:rsidRDefault="00177F91" w:rsidP="001578AB">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0.01</w:t>
            </w:r>
          </w:p>
        </w:tc>
        <w:tc>
          <w:tcPr>
            <w:tcW w:w="1540" w:type="dxa"/>
            <w:shd w:val="clear" w:color="auto" w:fill="auto"/>
            <w:tcMar>
              <w:top w:w="30" w:type="dxa"/>
              <w:left w:w="45" w:type="dxa"/>
              <w:bottom w:w="30" w:type="dxa"/>
              <w:right w:w="45" w:type="dxa"/>
            </w:tcMar>
            <w:vAlign w:val="center"/>
            <w:hideMark/>
          </w:tcPr>
          <w:p w14:paraId="60700AB1" w14:textId="77777777" w:rsidR="00177F91" w:rsidRPr="006704E2" w:rsidRDefault="00177F91" w:rsidP="001578AB">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0.67</w:t>
            </w:r>
          </w:p>
        </w:tc>
      </w:tr>
    </w:tbl>
    <w:p w14:paraId="560F665D" w14:textId="77777777" w:rsidR="00247EE0" w:rsidRPr="006704E2" w:rsidRDefault="00247EE0" w:rsidP="00BC6CD7">
      <w:pPr>
        <w:ind w:left="720"/>
        <w:rPr>
          <w:rFonts w:ascii="Garamond" w:hAnsi="Garamond"/>
          <w:sz w:val="24"/>
          <w:szCs w:val="24"/>
        </w:rPr>
      </w:pPr>
    </w:p>
    <w:p w14:paraId="574A09D1" w14:textId="0897A4DF" w:rsidR="0068724F" w:rsidRPr="006704E2" w:rsidRDefault="00865A02" w:rsidP="00715EB2">
      <w:pPr>
        <w:spacing w:line="480" w:lineRule="auto"/>
        <w:ind w:left="720"/>
        <w:rPr>
          <w:rFonts w:ascii="Garamond" w:hAnsi="Garamond"/>
          <w:sz w:val="24"/>
          <w:szCs w:val="24"/>
        </w:rPr>
      </w:pPr>
      <w:r w:rsidRPr="006704E2">
        <w:rPr>
          <w:rFonts w:ascii="Garamond" w:hAnsi="Garamond"/>
          <w:sz w:val="24"/>
          <w:szCs w:val="24"/>
        </w:rPr>
        <w:t xml:space="preserve">MORT – mortality; EDV – emergency department visits; EDHSP – emergency hospitalizations; MORB – emergency department visits and emergency hospitalizations. </w:t>
      </w:r>
      <w:r w:rsidR="00BC6CD7" w:rsidRPr="006704E2">
        <w:rPr>
          <w:rFonts w:ascii="Garamond" w:hAnsi="Garamond"/>
          <w:sz w:val="24"/>
          <w:szCs w:val="24"/>
        </w:rPr>
        <w:t>This table shows the p-value of the air pollutants when included in th</w:t>
      </w:r>
      <w:r w:rsidR="00247EE0" w:rsidRPr="006704E2">
        <w:rPr>
          <w:rFonts w:ascii="Garamond" w:hAnsi="Garamond"/>
          <w:sz w:val="24"/>
          <w:szCs w:val="24"/>
        </w:rPr>
        <w:t>e baseline model</w:t>
      </w:r>
      <w:r w:rsidR="00BC6CD7" w:rsidRPr="006704E2">
        <w:rPr>
          <w:rFonts w:ascii="Garamond" w:hAnsi="Garamond"/>
          <w:sz w:val="24"/>
          <w:szCs w:val="24"/>
        </w:rPr>
        <w:t xml:space="preserve">. </w:t>
      </w:r>
      <w:r w:rsidR="00247EE0" w:rsidRPr="006704E2">
        <w:rPr>
          <w:rFonts w:ascii="Garamond" w:hAnsi="Garamond"/>
          <w:sz w:val="24"/>
          <w:szCs w:val="24"/>
        </w:rPr>
        <w:t xml:space="preserve">The p-values </w:t>
      </w:r>
      <w:r w:rsidR="003F6F0F" w:rsidRPr="006704E2">
        <w:rPr>
          <w:rFonts w:ascii="Garamond" w:hAnsi="Garamond"/>
          <w:sz w:val="24"/>
          <w:szCs w:val="24"/>
        </w:rPr>
        <w:t>smaller than</w:t>
      </w:r>
      <w:r w:rsidR="00247EE0" w:rsidRPr="006704E2">
        <w:rPr>
          <w:rFonts w:ascii="Garamond" w:hAnsi="Garamond"/>
          <w:sz w:val="24"/>
          <w:szCs w:val="24"/>
        </w:rPr>
        <w:t xml:space="preserve"> 0.05 are marked by bold fonts. PM</w:t>
      </w:r>
      <w:r w:rsidR="00247EE0" w:rsidRPr="006704E2">
        <w:rPr>
          <w:rFonts w:ascii="Garamond" w:hAnsi="Garamond"/>
          <w:sz w:val="24"/>
          <w:szCs w:val="24"/>
          <w:vertAlign w:val="subscript"/>
        </w:rPr>
        <w:t>2.5</w:t>
      </w:r>
      <w:r w:rsidR="00247EE0" w:rsidRPr="006704E2">
        <w:rPr>
          <w:rFonts w:ascii="Garamond" w:hAnsi="Garamond"/>
          <w:sz w:val="24"/>
          <w:szCs w:val="24"/>
        </w:rPr>
        <w:t xml:space="preserve"> is significant for all morbidity outcomes (EDV, EDHSP, </w:t>
      </w:r>
      <w:r w:rsidR="004C021D" w:rsidRPr="006704E2">
        <w:rPr>
          <w:rFonts w:ascii="Garamond" w:hAnsi="Garamond"/>
          <w:sz w:val="24"/>
          <w:szCs w:val="24"/>
        </w:rPr>
        <w:t>MORB</w:t>
      </w:r>
      <w:r w:rsidR="00247EE0" w:rsidRPr="006704E2">
        <w:rPr>
          <w:rFonts w:ascii="Garamond" w:hAnsi="Garamond"/>
          <w:sz w:val="24"/>
          <w:szCs w:val="24"/>
        </w:rPr>
        <w:t>). O</w:t>
      </w:r>
      <w:r w:rsidR="00247EE0" w:rsidRPr="006704E2">
        <w:rPr>
          <w:rFonts w:ascii="Garamond" w:hAnsi="Garamond"/>
          <w:sz w:val="24"/>
          <w:szCs w:val="24"/>
          <w:vertAlign w:val="subscript"/>
        </w:rPr>
        <w:t>3</w:t>
      </w:r>
      <w:r w:rsidR="00247EE0" w:rsidRPr="006704E2">
        <w:rPr>
          <w:rFonts w:ascii="Garamond" w:hAnsi="Garamond"/>
          <w:sz w:val="24"/>
          <w:szCs w:val="24"/>
        </w:rPr>
        <w:t xml:space="preserve"> is only significant for </w:t>
      </w:r>
      <w:r w:rsidR="007378E7" w:rsidRPr="006704E2">
        <w:rPr>
          <w:rFonts w:ascii="Garamond" w:hAnsi="Garamond"/>
          <w:sz w:val="24"/>
          <w:szCs w:val="24"/>
        </w:rPr>
        <w:t>EDHSP.</w:t>
      </w:r>
      <w:r w:rsidR="00247EE0" w:rsidRPr="006704E2">
        <w:rPr>
          <w:rFonts w:ascii="Garamond" w:hAnsi="Garamond"/>
          <w:sz w:val="24"/>
          <w:szCs w:val="24"/>
        </w:rPr>
        <w:t xml:space="preserve"> </w:t>
      </w:r>
    </w:p>
    <w:p w14:paraId="5396B46D" w14:textId="02BFCA49" w:rsidR="00A24B3E" w:rsidRPr="006704E2" w:rsidRDefault="0068724F" w:rsidP="0068724F">
      <w:pPr>
        <w:rPr>
          <w:rFonts w:ascii="Garamond" w:hAnsi="Garamond"/>
          <w:sz w:val="24"/>
          <w:szCs w:val="24"/>
        </w:rPr>
      </w:pPr>
      <w:r w:rsidRPr="006704E2">
        <w:rPr>
          <w:rFonts w:ascii="Garamond" w:hAnsi="Garamond"/>
          <w:sz w:val="24"/>
          <w:szCs w:val="24"/>
        </w:rPr>
        <w:br w:type="page"/>
      </w:r>
    </w:p>
    <w:p w14:paraId="4CA11B64" w14:textId="0BF798B2" w:rsidR="00AC01AE" w:rsidRPr="006704E2" w:rsidRDefault="00A24B3E" w:rsidP="00597B56">
      <w:pPr>
        <w:pStyle w:val="Heading3"/>
        <w:numPr>
          <w:ilvl w:val="2"/>
          <w:numId w:val="17"/>
        </w:numPr>
        <w:ind w:firstLine="0"/>
        <w:rPr>
          <w:rFonts w:ascii="Garamond" w:hAnsi="Garamond"/>
          <w:color w:val="auto"/>
        </w:rPr>
      </w:pPr>
      <w:bookmarkStart w:id="6" w:name="_Toc392863182"/>
      <w:r w:rsidRPr="006704E2">
        <w:rPr>
          <w:rFonts w:ascii="Garamond" w:hAnsi="Garamond"/>
          <w:color w:val="auto"/>
        </w:rPr>
        <w:lastRenderedPageBreak/>
        <w:t>Attributable Risk Comparison</w:t>
      </w:r>
      <w:bookmarkEnd w:id="6"/>
    </w:p>
    <w:p w14:paraId="355AD410" w14:textId="77777777" w:rsidR="00A15673" w:rsidRPr="006704E2" w:rsidRDefault="00A15673" w:rsidP="00A15673">
      <w:pPr>
        <w:rPr>
          <w:rFonts w:ascii="Garamond" w:hAnsi="Garamond"/>
          <w:sz w:val="24"/>
          <w:szCs w:val="24"/>
        </w:rPr>
      </w:pPr>
    </w:p>
    <w:tbl>
      <w:tblPr>
        <w:tblW w:w="6805" w:type="dxa"/>
        <w:jc w:val="center"/>
        <w:tblCellMar>
          <w:left w:w="0" w:type="dxa"/>
          <w:right w:w="0" w:type="dxa"/>
        </w:tblCellMar>
        <w:tblLook w:val="04A0" w:firstRow="1" w:lastRow="0" w:firstColumn="1" w:lastColumn="0" w:noHBand="0" w:noVBand="1"/>
      </w:tblPr>
      <w:tblGrid>
        <w:gridCol w:w="1054"/>
        <w:gridCol w:w="1087"/>
        <w:gridCol w:w="2231"/>
        <w:gridCol w:w="2433"/>
      </w:tblGrid>
      <w:tr w:rsidR="00177F91" w:rsidRPr="006704E2" w14:paraId="1F79497A" w14:textId="324FEC97" w:rsidTr="00177F91">
        <w:trPr>
          <w:trHeight w:val="303"/>
          <w:jc w:val="center"/>
        </w:trPr>
        <w:tc>
          <w:tcPr>
            <w:tcW w:w="1054" w:type="dxa"/>
            <w:vMerge w:val="restart"/>
            <w:tcBorders>
              <w:right w:val="single" w:sz="4" w:space="0" w:color="auto"/>
            </w:tcBorders>
            <w:shd w:val="clear" w:color="auto" w:fill="auto"/>
            <w:tcMar>
              <w:top w:w="30" w:type="dxa"/>
              <w:left w:w="45" w:type="dxa"/>
              <w:bottom w:w="30" w:type="dxa"/>
              <w:right w:w="45" w:type="dxa"/>
            </w:tcMar>
            <w:vAlign w:val="center"/>
            <w:hideMark/>
          </w:tcPr>
          <w:p w14:paraId="431F99E2" w14:textId="6E870AEE" w:rsidR="00177F91" w:rsidRPr="006704E2" w:rsidRDefault="00177F91" w:rsidP="00A24B3E">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Health Outcome</w:t>
            </w:r>
          </w:p>
        </w:tc>
        <w:tc>
          <w:tcPr>
            <w:tcW w:w="1087" w:type="dxa"/>
            <w:vMerge w:val="restart"/>
            <w:tcBorders>
              <w:right w:val="single" w:sz="4" w:space="0" w:color="auto"/>
            </w:tcBorders>
            <w:shd w:val="clear" w:color="auto" w:fill="auto"/>
            <w:vAlign w:val="center"/>
          </w:tcPr>
          <w:p w14:paraId="09CF3DEB" w14:textId="4DBB2CE5" w:rsidR="00177F91" w:rsidRPr="006704E2" w:rsidRDefault="00177F91" w:rsidP="00A24B3E">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Model</w:t>
            </w:r>
          </w:p>
        </w:tc>
        <w:tc>
          <w:tcPr>
            <w:tcW w:w="0" w:type="auto"/>
            <w:vMerge w:val="restart"/>
            <w:shd w:val="clear" w:color="auto" w:fill="auto"/>
            <w:tcMar>
              <w:top w:w="30" w:type="dxa"/>
              <w:left w:w="45" w:type="dxa"/>
              <w:bottom w:w="30" w:type="dxa"/>
              <w:right w:w="45" w:type="dxa"/>
            </w:tcMar>
            <w:hideMark/>
          </w:tcPr>
          <w:p w14:paraId="0121C6C1" w14:textId="0A6A324B" w:rsidR="00177F91" w:rsidRPr="006704E2" w:rsidRDefault="00177F91" w:rsidP="00994710">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 xml:space="preserve">Attributable </w:t>
            </w:r>
            <w:r w:rsidR="000A09FE">
              <w:rPr>
                <w:rFonts w:ascii="Garamond" w:eastAsia="Times New Roman" w:hAnsi="Garamond" w:cs="Arial"/>
                <w:b/>
                <w:sz w:val="24"/>
                <w:szCs w:val="24"/>
              </w:rPr>
              <w:t>Cases</w:t>
            </w:r>
          </w:p>
          <w:p w14:paraId="1A147FD8" w14:textId="658BFCEF"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b/>
                <w:sz w:val="24"/>
                <w:szCs w:val="24"/>
              </w:rPr>
              <w:t>(A</w:t>
            </w:r>
            <w:r w:rsidR="000A09FE">
              <w:rPr>
                <w:rFonts w:ascii="Garamond" w:eastAsia="Times New Roman" w:hAnsi="Garamond" w:cs="Arial"/>
                <w:b/>
                <w:sz w:val="24"/>
                <w:szCs w:val="24"/>
              </w:rPr>
              <w:t>C</w:t>
            </w:r>
            <w:r w:rsidRPr="006704E2">
              <w:rPr>
                <w:rFonts w:ascii="Garamond" w:eastAsia="Times New Roman" w:hAnsi="Garamond" w:cs="Arial"/>
                <w:b/>
                <w:sz w:val="24"/>
                <w:szCs w:val="24"/>
              </w:rPr>
              <w:t>)</w:t>
            </w:r>
          </w:p>
        </w:tc>
        <w:tc>
          <w:tcPr>
            <w:tcW w:w="0" w:type="auto"/>
          </w:tcPr>
          <w:p w14:paraId="34D37CEA" w14:textId="4673481F" w:rsidR="00177F91" w:rsidRPr="006704E2" w:rsidRDefault="00177F91" w:rsidP="00994710">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 xml:space="preserve">Attributable </w:t>
            </w:r>
            <w:r w:rsidR="000A09FE">
              <w:rPr>
                <w:rFonts w:ascii="Garamond" w:eastAsia="Times New Roman" w:hAnsi="Garamond" w:cs="Arial"/>
                <w:b/>
                <w:sz w:val="24"/>
                <w:szCs w:val="24"/>
              </w:rPr>
              <w:t>Fraction</w:t>
            </w:r>
          </w:p>
          <w:p w14:paraId="3F341B45" w14:textId="4FA2AB4C"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b/>
                <w:sz w:val="24"/>
                <w:szCs w:val="24"/>
              </w:rPr>
              <w:t>(A</w:t>
            </w:r>
            <w:r w:rsidR="000A09FE">
              <w:rPr>
                <w:rFonts w:ascii="Garamond" w:eastAsia="Times New Roman" w:hAnsi="Garamond" w:cs="Arial"/>
                <w:b/>
                <w:sz w:val="24"/>
                <w:szCs w:val="24"/>
              </w:rPr>
              <w:t>F</w:t>
            </w:r>
            <w:r w:rsidR="006F0B46">
              <w:rPr>
                <w:rFonts w:ascii="Garamond" w:eastAsia="Times New Roman" w:hAnsi="Garamond" w:cs="Arial"/>
                <w:b/>
                <w:sz w:val="24"/>
                <w:szCs w:val="24"/>
              </w:rPr>
              <w:t>, %</w:t>
            </w:r>
            <w:r w:rsidRPr="006704E2">
              <w:rPr>
                <w:rFonts w:ascii="Garamond" w:eastAsia="Times New Roman" w:hAnsi="Garamond" w:cs="Arial"/>
                <w:b/>
                <w:sz w:val="24"/>
                <w:szCs w:val="24"/>
              </w:rPr>
              <w:t>)</w:t>
            </w:r>
          </w:p>
        </w:tc>
      </w:tr>
      <w:tr w:rsidR="00177F91" w:rsidRPr="006704E2" w14:paraId="75FC695F" w14:textId="225784A7" w:rsidTr="00177F91">
        <w:trPr>
          <w:trHeight w:val="315"/>
          <w:jc w:val="center"/>
        </w:trPr>
        <w:tc>
          <w:tcPr>
            <w:tcW w:w="1054" w:type="dxa"/>
            <w:vMerge/>
            <w:tcBorders>
              <w:bottom w:val="single" w:sz="4" w:space="0" w:color="auto"/>
              <w:right w:val="single" w:sz="4" w:space="0" w:color="auto"/>
            </w:tcBorders>
            <w:shd w:val="clear" w:color="auto" w:fill="auto"/>
            <w:vAlign w:val="center"/>
            <w:hideMark/>
          </w:tcPr>
          <w:p w14:paraId="0B049627" w14:textId="77777777" w:rsidR="00177F91" w:rsidRPr="006704E2" w:rsidRDefault="00177F91" w:rsidP="00A24B3E">
            <w:pPr>
              <w:spacing w:after="0" w:line="240" w:lineRule="auto"/>
              <w:jc w:val="center"/>
              <w:rPr>
                <w:rFonts w:ascii="Garamond" w:eastAsia="Times New Roman" w:hAnsi="Garamond" w:cs="Times New Roman"/>
                <w:sz w:val="24"/>
                <w:szCs w:val="24"/>
              </w:rPr>
            </w:pPr>
          </w:p>
        </w:tc>
        <w:tc>
          <w:tcPr>
            <w:tcW w:w="1087" w:type="dxa"/>
            <w:vMerge/>
            <w:tcBorders>
              <w:bottom w:val="single" w:sz="4" w:space="0" w:color="auto"/>
              <w:right w:val="single" w:sz="4" w:space="0" w:color="auto"/>
            </w:tcBorders>
            <w:shd w:val="clear" w:color="auto" w:fill="auto"/>
            <w:vAlign w:val="center"/>
          </w:tcPr>
          <w:p w14:paraId="5BB6CA5A" w14:textId="77777777" w:rsidR="00177F91" w:rsidRPr="006704E2" w:rsidRDefault="00177F91" w:rsidP="00A24B3E">
            <w:pPr>
              <w:spacing w:after="0" w:line="240" w:lineRule="auto"/>
              <w:jc w:val="center"/>
              <w:rPr>
                <w:rFonts w:ascii="Garamond" w:eastAsia="Times New Roman" w:hAnsi="Garamond" w:cs="Times New Roman"/>
                <w:sz w:val="24"/>
                <w:szCs w:val="24"/>
              </w:rPr>
            </w:pPr>
          </w:p>
        </w:tc>
        <w:tc>
          <w:tcPr>
            <w:tcW w:w="0" w:type="auto"/>
            <w:vMerge/>
            <w:tcBorders>
              <w:bottom w:val="single" w:sz="4" w:space="0" w:color="auto"/>
            </w:tcBorders>
            <w:shd w:val="clear" w:color="auto" w:fill="auto"/>
            <w:vAlign w:val="center"/>
            <w:hideMark/>
          </w:tcPr>
          <w:p w14:paraId="280C2BE3" w14:textId="29FFF716" w:rsidR="00177F91" w:rsidRPr="006704E2" w:rsidRDefault="00177F91" w:rsidP="00A24B3E">
            <w:pPr>
              <w:spacing w:after="0" w:line="240" w:lineRule="auto"/>
              <w:jc w:val="center"/>
              <w:rPr>
                <w:rFonts w:ascii="Garamond" w:eastAsia="Times New Roman" w:hAnsi="Garamond" w:cs="Arial"/>
                <w:sz w:val="24"/>
                <w:szCs w:val="24"/>
              </w:rPr>
            </w:pPr>
          </w:p>
        </w:tc>
        <w:tc>
          <w:tcPr>
            <w:tcW w:w="0" w:type="auto"/>
            <w:tcBorders>
              <w:bottom w:val="single" w:sz="4" w:space="0" w:color="auto"/>
            </w:tcBorders>
          </w:tcPr>
          <w:p w14:paraId="1288B2DE" w14:textId="77777777" w:rsidR="00177F91" w:rsidRPr="006704E2" w:rsidRDefault="00177F91" w:rsidP="00A24B3E">
            <w:pPr>
              <w:spacing w:after="0" w:line="240" w:lineRule="auto"/>
              <w:jc w:val="center"/>
              <w:rPr>
                <w:rFonts w:ascii="Garamond" w:eastAsia="Times New Roman" w:hAnsi="Garamond" w:cs="Arial"/>
                <w:sz w:val="24"/>
                <w:szCs w:val="24"/>
              </w:rPr>
            </w:pPr>
          </w:p>
        </w:tc>
      </w:tr>
      <w:tr w:rsidR="00177F91" w:rsidRPr="006704E2" w14:paraId="312A22FF" w14:textId="77777777" w:rsidTr="00177F91">
        <w:trPr>
          <w:trHeight w:val="315"/>
          <w:jc w:val="center"/>
        </w:trPr>
        <w:tc>
          <w:tcPr>
            <w:tcW w:w="0" w:type="auto"/>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6F634D68" w14:textId="77777777"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Mort</w:t>
            </w:r>
          </w:p>
        </w:tc>
        <w:tc>
          <w:tcPr>
            <w:tcW w:w="0" w:type="auto"/>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hideMark/>
          </w:tcPr>
          <w:p w14:paraId="4F9D7E33" w14:textId="77777777"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Baseline</w:t>
            </w:r>
          </w:p>
        </w:tc>
        <w:tc>
          <w:tcPr>
            <w:tcW w:w="0" w:type="auto"/>
            <w:tcBorders>
              <w:top w:val="single" w:sz="4" w:space="0" w:color="auto"/>
            </w:tcBorders>
          </w:tcPr>
          <w:p w14:paraId="0F2C471A" w14:textId="39C59A9C"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13,478</w:t>
            </w:r>
          </w:p>
        </w:tc>
        <w:tc>
          <w:tcPr>
            <w:tcW w:w="0" w:type="auto"/>
            <w:tcBorders>
              <w:top w:val="single" w:sz="4" w:space="0" w:color="auto"/>
            </w:tcBorders>
          </w:tcPr>
          <w:p w14:paraId="30B05E27" w14:textId="7E030C72"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8.34</w:t>
            </w:r>
          </w:p>
        </w:tc>
      </w:tr>
      <w:tr w:rsidR="00177F91" w:rsidRPr="006704E2" w14:paraId="2428EB1F" w14:textId="77777777" w:rsidTr="00177F91">
        <w:trPr>
          <w:trHeight w:val="315"/>
          <w:jc w:val="center"/>
        </w:trPr>
        <w:tc>
          <w:tcPr>
            <w:tcW w:w="0" w:type="auto"/>
            <w:vMerge/>
            <w:tcBorders>
              <w:right w:val="single" w:sz="4" w:space="0" w:color="auto"/>
            </w:tcBorders>
            <w:shd w:val="clear" w:color="auto" w:fill="auto"/>
            <w:vAlign w:val="center"/>
            <w:hideMark/>
          </w:tcPr>
          <w:p w14:paraId="388D4BFB"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1FA8B0A1" w14:textId="64B22C69"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0" w:type="auto"/>
          </w:tcPr>
          <w:p w14:paraId="47FE6397" w14:textId="6CC936E3"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12,846</w:t>
            </w:r>
          </w:p>
        </w:tc>
        <w:tc>
          <w:tcPr>
            <w:tcW w:w="0" w:type="auto"/>
          </w:tcPr>
          <w:p w14:paraId="053F6F9A" w14:textId="10428E38"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7.95</w:t>
            </w:r>
          </w:p>
        </w:tc>
      </w:tr>
      <w:tr w:rsidR="00177F91" w:rsidRPr="006704E2" w14:paraId="58B28CA0" w14:textId="77777777" w:rsidTr="00177F91">
        <w:trPr>
          <w:trHeight w:val="315"/>
          <w:jc w:val="center"/>
        </w:trPr>
        <w:tc>
          <w:tcPr>
            <w:tcW w:w="0" w:type="auto"/>
            <w:vMerge/>
            <w:tcBorders>
              <w:right w:val="single" w:sz="4" w:space="0" w:color="auto"/>
            </w:tcBorders>
            <w:shd w:val="clear" w:color="auto" w:fill="auto"/>
            <w:vAlign w:val="center"/>
            <w:hideMark/>
          </w:tcPr>
          <w:p w14:paraId="50D0C107"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738A0F4B" w14:textId="7FB4E120"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0" w:type="auto"/>
          </w:tcPr>
          <w:p w14:paraId="09AFA6B2" w14:textId="7E4B8D4F"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13,249</w:t>
            </w:r>
          </w:p>
        </w:tc>
        <w:tc>
          <w:tcPr>
            <w:tcW w:w="0" w:type="auto"/>
          </w:tcPr>
          <w:p w14:paraId="329ABE7A" w14:textId="6BB34A55"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8.20</w:t>
            </w:r>
          </w:p>
        </w:tc>
      </w:tr>
      <w:tr w:rsidR="00177F91" w:rsidRPr="006704E2" w14:paraId="328B0F11" w14:textId="77777777" w:rsidTr="00177F91">
        <w:trPr>
          <w:trHeight w:val="315"/>
          <w:jc w:val="center"/>
        </w:trPr>
        <w:tc>
          <w:tcPr>
            <w:tcW w:w="0" w:type="auto"/>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54C9AD44" w14:textId="77777777"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EDV</w:t>
            </w:r>
          </w:p>
        </w:tc>
        <w:tc>
          <w:tcPr>
            <w:tcW w:w="0" w:type="auto"/>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hideMark/>
          </w:tcPr>
          <w:p w14:paraId="5808ED0F" w14:textId="77777777"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Baseline</w:t>
            </w:r>
          </w:p>
        </w:tc>
        <w:tc>
          <w:tcPr>
            <w:tcW w:w="0" w:type="auto"/>
            <w:tcBorders>
              <w:top w:val="single" w:sz="4" w:space="0" w:color="auto"/>
            </w:tcBorders>
          </w:tcPr>
          <w:p w14:paraId="4CAA074E" w14:textId="337910CD"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267,248</w:t>
            </w:r>
          </w:p>
        </w:tc>
        <w:tc>
          <w:tcPr>
            <w:tcW w:w="0" w:type="auto"/>
            <w:tcBorders>
              <w:top w:val="single" w:sz="4" w:space="0" w:color="auto"/>
            </w:tcBorders>
          </w:tcPr>
          <w:p w14:paraId="31E70E95" w14:textId="63C2D524"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4.53</w:t>
            </w:r>
          </w:p>
        </w:tc>
      </w:tr>
      <w:tr w:rsidR="00177F91" w:rsidRPr="006704E2" w14:paraId="5208272A" w14:textId="77777777" w:rsidTr="00177F91">
        <w:trPr>
          <w:trHeight w:val="315"/>
          <w:jc w:val="center"/>
        </w:trPr>
        <w:tc>
          <w:tcPr>
            <w:tcW w:w="0" w:type="auto"/>
            <w:vMerge/>
            <w:tcBorders>
              <w:right w:val="single" w:sz="4" w:space="0" w:color="auto"/>
            </w:tcBorders>
            <w:shd w:val="clear" w:color="auto" w:fill="auto"/>
            <w:vAlign w:val="center"/>
            <w:hideMark/>
          </w:tcPr>
          <w:p w14:paraId="1BCDD80B"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42E5E1CE" w14:textId="1438DE3B"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0" w:type="auto"/>
          </w:tcPr>
          <w:p w14:paraId="6444FFD3" w14:textId="4686611D"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267,561</w:t>
            </w:r>
          </w:p>
        </w:tc>
        <w:tc>
          <w:tcPr>
            <w:tcW w:w="0" w:type="auto"/>
          </w:tcPr>
          <w:p w14:paraId="46173BA3" w14:textId="413832C0"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4.54</w:t>
            </w:r>
          </w:p>
        </w:tc>
      </w:tr>
      <w:tr w:rsidR="00177F91" w:rsidRPr="006704E2" w14:paraId="227E499A" w14:textId="77777777" w:rsidTr="00177F91">
        <w:trPr>
          <w:trHeight w:val="315"/>
          <w:jc w:val="center"/>
        </w:trPr>
        <w:tc>
          <w:tcPr>
            <w:tcW w:w="0" w:type="auto"/>
            <w:vMerge/>
            <w:tcBorders>
              <w:right w:val="single" w:sz="4" w:space="0" w:color="auto"/>
            </w:tcBorders>
            <w:shd w:val="clear" w:color="auto" w:fill="auto"/>
            <w:vAlign w:val="center"/>
            <w:hideMark/>
          </w:tcPr>
          <w:p w14:paraId="1DD367ED"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5246B7A1" w14:textId="404E1E84"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0" w:type="auto"/>
          </w:tcPr>
          <w:p w14:paraId="32469BE6" w14:textId="2C486ACE"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267,206</w:t>
            </w:r>
          </w:p>
        </w:tc>
        <w:tc>
          <w:tcPr>
            <w:tcW w:w="0" w:type="auto"/>
          </w:tcPr>
          <w:p w14:paraId="59D79C0C" w14:textId="2932BD04"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4.53</w:t>
            </w:r>
          </w:p>
        </w:tc>
      </w:tr>
      <w:tr w:rsidR="00177F91" w:rsidRPr="006704E2" w14:paraId="6682CDE0" w14:textId="77777777" w:rsidTr="00177F91">
        <w:trPr>
          <w:trHeight w:val="315"/>
          <w:jc w:val="center"/>
        </w:trPr>
        <w:tc>
          <w:tcPr>
            <w:tcW w:w="0" w:type="auto"/>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61DA5423" w14:textId="77777777"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EDHSP</w:t>
            </w:r>
          </w:p>
        </w:tc>
        <w:tc>
          <w:tcPr>
            <w:tcW w:w="0" w:type="auto"/>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hideMark/>
          </w:tcPr>
          <w:p w14:paraId="0FDAAF97" w14:textId="77777777"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Baseline</w:t>
            </w:r>
          </w:p>
        </w:tc>
        <w:tc>
          <w:tcPr>
            <w:tcW w:w="0" w:type="auto"/>
            <w:tcBorders>
              <w:top w:val="single" w:sz="4" w:space="0" w:color="auto"/>
            </w:tcBorders>
          </w:tcPr>
          <w:p w14:paraId="39F30F84" w14:textId="71362F6F"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40,446</w:t>
            </w:r>
          </w:p>
        </w:tc>
        <w:tc>
          <w:tcPr>
            <w:tcW w:w="0" w:type="auto"/>
            <w:tcBorders>
              <w:top w:val="single" w:sz="4" w:space="0" w:color="auto"/>
            </w:tcBorders>
          </w:tcPr>
          <w:p w14:paraId="3CA719D0" w14:textId="3F3B5D1E"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3.09</w:t>
            </w:r>
          </w:p>
        </w:tc>
      </w:tr>
      <w:tr w:rsidR="00177F91" w:rsidRPr="006704E2" w14:paraId="26290A87" w14:textId="77777777" w:rsidTr="00177F91">
        <w:trPr>
          <w:trHeight w:val="315"/>
          <w:jc w:val="center"/>
        </w:trPr>
        <w:tc>
          <w:tcPr>
            <w:tcW w:w="0" w:type="auto"/>
            <w:vMerge/>
            <w:tcBorders>
              <w:bottom w:val="single" w:sz="4" w:space="0" w:color="auto"/>
              <w:right w:val="single" w:sz="4" w:space="0" w:color="auto"/>
            </w:tcBorders>
            <w:shd w:val="clear" w:color="auto" w:fill="auto"/>
            <w:vAlign w:val="center"/>
            <w:hideMark/>
          </w:tcPr>
          <w:p w14:paraId="4320F05A"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61B18EB3" w14:textId="7BC07782"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0" w:type="auto"/>
          </w:tcPr>
          <w:p w14:paraId="264075F0" w14:textId="46C6A3EB"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37,736</w:t>
            </w:r>
          </w:p>
        </w:tc>
        <w:tc>
          <w:tcPr>
            <w:tcW w:w="0" w:type="auto"/>
          </w:tcPr>
          <w:p w14:paraId="11F93927" w14:textId="5EBA0D9E"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2.89</w:t>
            </w:r>
          </w:p>
        </w:tc>
      </w:tr>
      <w:tr w:rsidR="00177F91" w:rsidRPr="006704E2" w14:paraId="752F566F" w14:textId="77777777" w:rsidTr="00177F91">
        <w:trPr>
          <w:trHeight w:val="315"/>
          <w:jc w:val="center"/>
        </w:trPr>
        <w:tc>
          <w:tcPr>
            <w:tcW w:w="0" w:type="auto"/>
            <w:vMerge/>
            <w:tcBorders>
              <w:top w:val="single" w:sz="4" w:space="0" w:color="auto"/>
              <w:right w:val="single" w:sz="4" w:space="0" w:color="auto"/>
            </w:tcBorders>
            <w:shd w:val="clear" w:color="auto" w:fill="auto"/>
            <w:vAlign w:val="center"/>
            <w:hideMark/>
          </w:tcPr>
          <w:p w14:paraId="0F85B683"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17B76E6C" w14:textId="60B2A301"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0" w:type="auto"/>
          </w:tcPr>
          <w:p w14:paraId="570CCBAB" w14:textId="4D8B4C1B"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42,710</w:t>
            </w:r>
          </w:p>
        </w:tc>
        <w:tc>
          <w:tcPr>
            <w:tcW w:w="0" w:type="auto"/>
          </w:tcPr>
          <w:p w14:paraId="20EE4A6C" w14:textId="532EC907"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3.27</w:t>
            </w:r>
          </w:p>
        </w:tc>
      </w:tr>
      <w:tr w:rsidR="00177F91" w:rsidRPr="006704E2" w14:paraId="19EE75B5" w14:textId="77777777" w:rsidTr="00177F91">
        <w:trPr>
          <w:trHeight w:val="315"/>
          <w:jc w:val="center"/>
        </w:trPr>
        <w:tc>
          <w:tcPr>
            <w:tcW w:w="0" w:type="auto"/>
            <w:vMerge w:val="restart"/>
            <w:tcBorders>
              <w:top w:val="single" w:sz="4" w:space="0" w:color="auto"/>
              <w:right w:val="single" w:sz="4" w:space="0" w:color="auto"/>
            </w:tcBorders>
            <w:shd w:val="clear" w:color="auto" w:fill="auto"/>
            <w:tcMar>
              <w:top w:w="30" w:type="dxa"/>
              <w:left w:w="45" w:type="dxa"/>
              <w:bottom w:w="30" w:type="dxa"/>
              <w:right w:w="45" w:type="dxa"/>
            </w:tcMar>
            <w:vAlign w:val="center"/>
            <w:hideMark/>
          </w:tcPr>
          <w:p w14:paraId="3413CD92" w14:textId="77777777" w:rsidR="00177F91" w:rsidRPr="006704E2" w:rsidRDefault="00177F91" w:rsidP="00A24B3E">
            <w:pPr>
              <w:spacing w:after="0" w:line="240" w:lineRule="auto"/>
              <w:jc w:val="center"/>
              <w:rPr>
                <w:rFonts w:ascii="Garamond" w:eastAsia="Times New Roman" w:hAnsi="Garamond" w:cs="Arial"/>
                <w:b/>
                <w:bCs/>
                <w:sz w:val="24"/>
                <w:szCs w:val="24"/>
              </w:rPr>
            </w:pPr>
            <w:proofErr w:type="spellStart"/>
            <w:r w:rsidRPr="006704E2">
              <w:rPr>
                <w:rFonts w:ascii="Garamond" w:eastAsia="Times New Roman" w:hAnsi="Garamond" w:cs="Arial"/>
                <w:b/>
                <w:bCs/>
                <w:sz w:val="24"/>
                <w:szCs w:val="24"/>
              </w:rPr>
              <w:t>Morb</w:t>
            </w:r>
            <w:proofErr w:type="spellEnd"/>
          </w:p>
        </w:tc>
        <w:tc>
          <w:tcPr>
            <w:tcW w:w="0" w:type="auto"/>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hideMark/>
          </w:tcPr>
          <w:p w14:paraId="76C22D95" w14:textId="77777777"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Baseline</w:t>
            </w:r>
          </w:p>
        </w:tc>
        <w:tc>
          <w:tcPr>
            <w:tcW w:w="0" w:type="auto"/>
            <w:tcBorders>
              <w:top w:val="single" w:sz="4" w:space="0" w:color="auto"/>
            </w:tcBorders>
          </w:tcPr>
          <w:p w14:paraId="3C8D448C" w14:textId="73F38A90"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302,441</w:t>
            </w:r>
          </w:p>
        </w:tc>
        <w:tc>
          <w:tcPr>
            <w:tcW w:w="0" w:type="auto"/>
            <w:tcBorders>
              <w:top w:val="single" w:sz="4" w:space="0" w:color="auto"/>
            </w:tcBorders>
          </w:tcPr>
          <w:p w14:paraId="128B87CD" w14:textId="527528DD"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4.20</w:t>
            </w:r>
          </w:p>
        </w:tc>
      </w:tr>
      <w:tr w:rsidR="00177F91" w:rsidRPr="006704E2" w14:paraId="39DA565F" w14:textId="77777777" w:rsidTr="00177F91">
        <w:trPr>
          <w:trHeight w:val="315"/>
          <w:jc w:val="center"/>
        </w:trPr>
        <w:tc>
          <w:tcPr>
            <w:tcW w:w="0" w:type="auto"/>
            <w:vMerge/>
            <w:tcBorders>
              <w:right w:val="single" w:sz="4" w:space="0" w:color="auto"/>
            </w:tcBorders>
            <w:shd w:val="clear" w:color="auto" w:fill="auto"/>
            <w:vAlign w:val="center"/>
            <w:hideMark/>
          </w:tcPr>
          <w:p w14:paraId="6C26592C"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1637E493" w14:textId="0529F59B" w:rsidR="00177F91" w:rsidRPr="006704E2" w:rsidRDefault="00177F91" w:rsidP="00343DA0">
            <w:pPr>
              <w:spacing w:after="0" w:line="240" w:lineRule="auto"/>
              <w:jc w:val="center"/>
              <w:rPr>
                <w:rFonts w:ascii="Garamond" w:eastAsia="Times New Roman" w:hAnsi="Garamond" w:cs="Arial"/>
                <w:b/>
                <w:bCs/>
                <w:sz w:val="24"/>
                <w:szCs w:val="24"/>
                <w:vertAlign w:val="subscript"/>
              </w:rPr>
            </w:pPr>
            <w:r w:rsidRPr="006704E2">
              <w:rPr>
                <w:rFonts w:ascii="Garamond" w:eastAsia="Times New Roman" w:hAnsi="Garamond" w:cs="Arial"/>
                <w:b/>
                <w:bCs/>
                <w:sz w:val="24"/>
                <w:szCs w:val="24"/>
              </w:rPr>
              <w:t>O</w:t>
            </w:r>
            <w:r w:rsidRPr="006704E2">
              <w:rPr>
                <w:rFonts w:ascii="Garamond" w:eastAsia="Times New Roman" w:hAnsi="Garamond" w:cs="Arial"/>
                <w:b/>
                <w:bCs/>
                <w:sz w:val="24"/>
                <w:szCs w:val="24"/>
                <w:vertAlign w:val="subscript"/>
              </w:rPr>
              <w:t>3</w:t>
            </w:r>
          </w:p>
        </w:tc>
        <w:tc>
          <w:tcPr>
            <w:tcW w:w="0" w:type="auto"/>
          </w:tcPr>
          <w:p w14:paraId="3A8F11BB" w14:textId="61179F96"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302,957</w:t>
            </w:r>
          </w:p>
        </w:tc>
        <w:tc>
          <w:tcPr>
            <w:tcW w:w="0" w:type="auto"/>
          </w:tcPr>
          <w:p w14:paraId="1DA7FCAA" w14:textId="653B1937"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4.19</w:t>
            </w:r>
          </w:p>
        </w:tc>
      </w:tr>
      <w:tr w:rsidR="00177F91" w:rsidRPr="006704E2" w14:paraId="02B9920C" w14:textId="77777777" w:rsidTr="00177F91">
        <w:trPr>
          <w:trHeight w:val="315"/>
          <w:jc w:val="center"/>
        </w:trPr>
        <w:tc>
          <w:tcPr>
            <w:tcW w:w="0" w:type="auto"/>
            <w:vMerge/>
            <w:tcBorders>
              <w:right w:val="single" w:sz="4" w:space="0" w:color="auto"/>
            </w:tcBorders>
            <w:shd w:val="clear" w:color="auto" w:fill="auto"/>
            <w:vAlign w:val="center"/>
            <w:hideMark/>
          </w:tcPr>
          <w:p w14:paraId="08304345" w14:textId="77777777" w:rsidR="00177F91" w:rsidRPr="006704E2" w:rsidRDefault="00177F91" w:rsidP="00A24B3E">
            <w:pPr>
              <w:spacing w:after="0" w:line="240" w:lineRule="auto"/>
              <w:jc w:val="center"/>
              <w:rPr>
                <w:rFonts w:ascii="Garamond" w:eastAsia="Times New Roman" w:hAnsi="Garamond" w:cs="Arial"/>
                <w:b/>
                <w:bCs/>
                <w:sz w:val="24"/>
                <w:szCs w:val="24"/>
              </w:rPr>
            </w:pPr>
          </w:p>
        </w:tc>
        <w:tc>
          <w:tcPr>
            <w:tcW w:w="0" w:type="auto"/>
            <w:tcBorders>
              <w:left w:val="single" w:sz="4" w:space="0" w:color="auto"/>
              <w:right w:val="single" w:sz="4" w:space="0" w:color="auto"/>
            </w:tcBorders>
            <w:shd w:val="clear" w:color="auto" w:fill="auto"/>
            <w:tcMar>
              <w:top w:w="30" w:type="dxa"/>
              <w:left w:w="45" w:type="dxa"/>
              <w:bottom w:w="30" w:type="dxa"/>
              <w:right w:w="45" w:type="dxa"/>
            </w:tcMar>
            <w:vAlign w:val="center"/>
            <w:hideMark/>
          </w:tcPr>
          <w:p w14:paraId="3E916FDB" w14:textId="4CEA2393" w:rsidR="00177F91" w:rsidRPr="006704E2" w:rsidRDefault="00177F91" w:rsidP="00A24B3E">
            <w:pPr>
              <w:spacing w:after="0" w:line="240" w:lineRule="auto"/>
              <w:jc w:val="center"/>
              <w:rPr>
                <w:rFonts w:ascii="Garamond" w:eastAsia="Times New Roman" w:hAnsi="Garamond" w:cs="Arial"/>
                <w:b/>
                <w:bCs/>
                <w:sz w:val="24"/>
                <w:szCs w:val="24"/>
              </w:rPr>
            </w:pPr>
            <w:r w:rsidRPr="006704E2">
              <w:rPr>
                <w:rFonts w:ascii="Garamond" w:eastAsia="Times New Roman" w:hAnsi="Garamond" w:cs="Arial"/>
                <w:b/>
                <w:bCs/>
                <w:sz w:val="24"/>
                <w:szCs w:val="24"/>
              </w:rPr>
              <w:t>PM</w:t>
            </w:r>
            <w:r w:rsidRPr="006704E2">
              <w:rPr>
                <w:rFonts w:ascii="Garamond" w:eastAsia="Times New Roman" w:hAnsi="Garamond" w:cs="Arial"/>
                <w:b/>
                <w:bCs/>
                <w:sz w:val="24"/>
                <w:szCs w:val="24"/>
                <w:vertAlign w:val="subscript"/>
              </w:rPr>
              <w:t>2.5</w:t>
            </w:r>
          </w:p>
        </w:tc>
        <w:tc>
          <w:tcPr>
            <w:tcW w:w="0" w:type="auto"/>
          </w:tcPr>
          <w:p w14:paraId="78CBD3D7" w14:textId="62521F46"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303,280</w:t>
            </w:r>
          </w:p>
        </w:tc>
        <w:tc>
          <w:tcPr>
            <w:tcW w:w="0" w:type="auto"/>
          </w:tcPr>
          <w:p w14:paraId="3E8ACFDF" w14:textId="573804AB" w:rsidR="00177F91" w:rsidRPr="006704E2" w:rsidRDefault="00177F91" w:rsidP="00A24B3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4.21</w:t>
            </w:r>
          </w:p>
        </w:tc>
      </w:tr>
    </w:tbl>
    <w:p w14:paraId="44E1BAFF" w14:textId="77777777" w:rsidR="00A24B3E" w:rsidRPr="006704E2" w:rsidRDefault="00A24B3E" w:rsidP="00A15673">
      <w:pPr>
        <w:ind w:left="720"/>
        <w:rPr>
          <w:rFonts w:ascii="Garamond" w:hAnsi="Garamond"/>
          <w:sz w:val="24"/>
          <w:szCs w:val="24"/>
        </w:rPr>
      </w:pPr>
    </w:p>
    <w:p w14:paraId="68994F83" w14:textId="6EAC16CB" w:rsidR="00F05DBB" w:rsidRPr="006704E2" w:rsidRDefault="00EA5218" w:rsidP="00715EB2">
      <w:pPr>
        <w:spacing w:line="480" w:lineRule="auto"/>
        <w:ind w:left="720"/>
        <w:rPr>
          <w:rFonts w:ascii="Garamond" w:hAnsi="Garamond"/>
          <w:sz w:val="24"/>
          <w:szCs w:val="24"/>
        </w:rPr>
      </w:pPr>
      <w:r w:rsidRPr="006704E2">
        <w:rPr>
          <w:rFonts w:ascii="Garamond" w:hAnsi="Garamond"/>
          <w:sz w:val="24"/>
          <w:szCs w:val="24"/>
        </w:rPr>
        <w:t xml:space="preserve">MORT – mortality; EDV – emergency department visits; EDHSP – emergency hospitalizations; MORB – emergency department visits and emergency hospitalizations. </w:t>
      </w:r>
      <w:r w:rsidR="00A15673" w:rsidRPr="006704E2">
        <w:rPr>
          <w:rFonts w:ascii="Garamond" w:hAnsi="Garamond"/>
          <w:sz w:val="24"/>
          <w:szCs w:val="24"/>
        </w:rPr>
        <w:t>This table shows the</w:t>
      </w:r>
      <w:r w:rsidR="00343DA0" w:rsidRPr="006704E2">
        <w:rPr>
          <w:rFonts w:ascii="Garamond" w:hAnsi="Garamond"/>
          <w:sz w:val="24"/>
          <w:szCs w:val="24"/>
        </w:rPr>
        <w:t xml:space="preserve"> attributable </w:t>
      </w:r>
      <w:r w:rsidRPr="006704E2">
        <w:rPr>
          <w:rFonts w:ascii="Garamond" w:hAnsi="Garamond"/>
          <w:sz w:val="24"/>
          <w:szCs w:val="24"/>
        </w:rPr>
        <w:t>fractions (AF) and attributable cases (AC)</w:t>
      </w:r>
      <w:r w:rsidR="00343DA0" w:rsidRPr="006704E2">
        <w:rPr>
          <w:rFonts w:ascii="Garamond" w:hAnsi="Garamond"/>
          <w:sz w:val="24"/>
          <w:szCs w:val="24"/>
        </w:rPr>
        <w:t xml:space="preserve"> as a result of including </w:t>
      </w:r>
      <w:r w:rsidRPr="006704E2">
        <w:rPr>
          <w:rFonts w:ascii="Garamond" w:hAnsi="Garamond"/>
          <w:sz w:val="24"/>
          <w:szCs w:val="24"/>
        </w:rPr>
        <w:t>AP in the baseline model</w:t>
      </w:r>
      <w:r w:rsidR="00343DA0" w:rsidRPr="006704E2">
        <w:rPr>
          <w:rFonts w:ascii="Garamond" w:hAnsi="Garamond"/>
          <w:sz w:val="24"/>
          <w:szCs w:val="24"/>
        </w:rPr>
        <w:t xml:space="preserve">. </w:t>
      </w:r>
      <w:r w:rsidR="00A15673" w:rsidRPr="006704E2">
        <w:rPr>
          <w:rFonts w:ascii="Garamond" w:hAnsi="Garamond"/>
          <w:sz w:val="24"/>
          <w:szCs w:val="24"/>
        </w:rPr>
        <w:t xml:space="preserve">Mort indicates mortality. </w:t>
      </w:r>
      <w:r w:rsidR="00F05DBB" w:rsidRPr="006704E2">
        <w:rPr>
          <w:rFonts w:ascii="Garamond" w:hAnsi="Garamond"/>
          <w:sz w:val="24"/>
          <w:szCs w:val="24"/>
        </w:rPr>
        <w:t xml:space="preserve">Relatively larger changes are observed for EDHSP although the percentage changes are still smaller than 10%. </w:t>
      </w:r>
    </w:p>
    <w:p w14:paraId="0D2C344B" w14:textId="77777777" w:rsidR="009A3F43" w:rsidRPr="006704E2" w:rsidRDefault="00F05DBB" w:rsidP="009A3F43">
      <w:pPr>
        <w:pStyle w:val="Heading1"/>
        <w:numPr>
          <w:ilvl w:val="0"/>
          <w:numId w:val="17"/>
        </w:numPr>
        <w:spacing w:line="480" w:lineRule="auto"/>
        <w:rPr>
          <w:rFonts w:ascii="Garamond" w:hAnsi="Garamond"/>
          <w:color w:val="auto"/>
          <w:sz w:val="28"/>
          <w:szCs w:val="28"/>
        </w:rPr>
      </w:pPr>
      <w:r w:rsidRPr="006704E2">
        <w:rPr>
          <w:rFonts w:ascii="Garamond" w:hAnsi="Garamond"/>
          <w:color w:val="auto"/>
          <w:sz w:val="24"/>
          <w:szCs w:val="24"/>
        </w:rPr>
        <w:br w:type="page"/>
      </w:r>
      <w:bookmarkStart w:id="7" w:name="_Toc392863183"/>
      <w:r w:rsidR="009A3F43" w:rsidRPr="006704E2">
        <w:rPr>
          <w:rFonts w:ascii="Garamond" w:hAnsi="Garamond"/>
          <w:color w:val="auto"/>
          <w:sz w:val="28"/>
          <w:szCs w:val="28"/>
        </w:rPr>
        <w:lastRenderedPageBreak/>
        <w:t>Deriving the Exposure Response Function – Model Specifications</w:t>
      </w:r>
      <w:bookmarkEnd w:id="7"/>
    </w:p>
    <w:p w14:paraId="02266021" w14:textId="2EE9CBC6" w:rsidR="009A3F43" w:rsidRPr="00501616" w:rsidRDefault="00BC124A" w:rsidP="00501616">
      <w:pPr>
        <w:pStyle w:val="Normal1"/>
        <w:spacing w:line="480" w:lineRule="auto"/>
        <w:rPr>
          <w:rFonts w:ascii="Garamond" w:hAnsi="Garamond"/>
          <w:sz w:val="24"/>
          <w:szCs w:val="24"/>
        </w:rPr>
      </w:pPr>
      <w:r w:rsidRPr="00062E2F">
        <w:rPr>
          <w:rFonts w:ascii="Garamond" w:eastAsia="Cambria" w:hAnsi="Garamond" w:cs="Cambria"/>
          <w:sz w:val="24"/>
          <w:szCs w:val="24"/>
        </w:rPr>
        <w:t xml:space="preserve">The description of the risk assessment model can be found in the main text. This section only focuses on parameter selection. </w:t>
      </w:r>
      <w:r w:rsidR="009A3F43" w:rsidRPr="00501616">
        <w:rPr>
          <w:rFonts w:ascii="Garamond" w:hAnsi="Garamond"/>
          <w:sz w:val="24"/>
          <w:szCs w:val="24"/>
        </w:rPr>
        <w:t>Originally, a large number of parameter combinations were tested by switching the center knots of the exposure response relationship to 50</w:t>
      </w:r>
      <w:r w:rsidR="009A3F43" w:rsidRPr="00501616">
        <w:rPr>
          <w:rFonts w:ascii="Garamond" w:hAnsi="Garamond"/>
          <w:sz w:val="24"/>
          <w:szCs w:val="24"/>
          <w:vertAlign w:val="superscript"/>
        </w:rPr>
        <w:t>th</w:t>
      </w:r>
      <w:r w:rsidR="009A3F43" w:rsidRPr="00501616">
        <w:rPr>
          <w:rFonts w:ascii="Garamond" w:hAnsi="Garamond"/>
          <w:sz w:val="24"/>
          <w:szCs w:val="24"/>
        </w:rPr>
        <w:t xml:space="preserve"> and 25</w:t>
      </w:r>
      <w:r w:rsidR="009A3F43" w:rsidRPr="00501616">
        <w:rPr>
          <w:rFonts w:ascii="Garamond" w:hAnsi="Garamond"/>
          <w:sz w:val="24"/>
          <w:szCs w:val="24"/>
          <w:vertAlign w:val="superscript"/>
        </w:rPr>
        <w:t>th</w:t>
      </w:r>
      <w:r w:rsidR="009A3F43" w:rsidRPr="00501616">
        <w:rPr>
          <w:rFonts w:ascii="Garamond" w:hAnsi="Garamond"/>
          <w:sz w:val="24"/>
          <w:szCs w:val="24"/>
        </w:rPr>
        <w:t xml:space="preserve"> percentiles; the maximum lag considered to 14, 21, and 35 days; the degree of freedom given to the long-term trend during each year to 6-10; and by including air pollution (O</w:t>
      </w:r>
      <w:r w:rsidR="009A3F43" w:rsidRPr="00501616">
        <w:rPr>
          <w:rFonts w:ascii="Garamond" w:hAnsi="Garamond"/>
          <w:sz w:val="24"/>
          <w:szCs w:val="24"/>
          <w:vertAlign w:val="subscript"/>
        </w:rPr>
        <w:t>3</w:t>
      </w:r>
      <w:r w:rsidR="009A3F43" w:rsidRPr="00501616">
        <w:rPr>
          <w:rFonts w:ascii="Garamond" w:hAnsi="Garamond"/>
          <w:sz w:val="24"/>
          <w:szCs w:val="24"/>
        </w:rPr>
        <w:t xml:space="preserve"> and PM</w:t>
      </w:r>
      <w:r w:rsidR="009A3F43" w:rsidRPr="00501616">
        <w:rPr>
          <w:rFonts w:ascii="Garamond" w:hAnsi="Garamond"/>
          <w:sz w:val="24"/>
          <w:szCs w:val="24"/>
          <w:vertAlign w:val="subscript"/>
        </w:rPr>
        <w:t>2.5</w:t>
      </w:r>
      <w:r w:rsidR="009A3F43" w:rsidRPr="00501616">
        <w:rPr>
          <w:rFonts w:ascii="Garamond" w:hAnsi="Garamond"/>
          <w:sz w:val="24"/>
          <w:szCs w:val="24"/>
        </w:rPr>
        <w:t>). The combination of</w:t>
      </w:r>
      <w:r w:rsidR="00292442" w:rsidRPr="00501616">
        <w:rPr>
          <w:rFonts w:ascii="Garamond" w:hAnsi="Garamond"/>
          <w:sz w:val="24"/>
          <w:szCs w:val="24"/>
        </w:rPr>
        <w:t xml:space="preserve"> parameter with that optimizes q</w:t>
      </w:r>
      <w:r w:rsidR="009A3F43" w:rsidRPr="00501616">
        <w:rPr>
          <w:rFonts w:ascii="Garamond" w:hAnsi="Garamond"/>
          <w:sz w:val="24"/>
          <w:szCs w:val="24"/>
        </w:rPr>
        <w:t>-AIC (Quasi-</w:t>
      </w:r>
      <w:proofErr w:type="spellStart"/>
      <w:r w:rsidR="009A3F43" w:rsidRPr="00501616">
        <w:rPr>
          <w:rFonts w:ascii="Garamond" w:hAnsi="Garamond"/>
          <w:sz w:val="24"/>
          <w:szCs w:val="24"/>
        </w:rPr>
        <w:t>Akaike’s</w:t>
      </w:r>
      <w:proofErr w:type="spellEnd"/>
      <w:r w:rsidR="009A3F43" w:rsidRPr="00501616">
        <w:rPr>
          <w:rFonts w:ascii="Garamond" w:hAnsi="Garamond"/>
          <w:sz w:val="24"/>
          <w:szCs w:val="24"/>
        </w:rPr>
        <w:t xml:space="preserve"> Information Criterion) and residual partial autocorrelation was selected.</w:t>
      </w:r>
    </w:p>
    <w:p w14:paraId="2F868A4C" w14:textId="77777777" w:rsidR="003B6CF1" w:rsidRPr="00093DF0" w:rsidRDefault="003B6CF1" w:rsidP="00093DF0">
      <w:pPr>
        <w:spacing w:line="480" w:lineRule="auto"/>
        <w:rPr>
          <w:rFonts w:ascii="Garamond" w:eastAsia="Cambria" w:hAnsi="Garamond" w:cs="Cambria"/>
          <w:sz w:val="24"/>
          <w:szCs w:val="24"/>
        </w:rPr>
      </w:pPr>
    </w:p>
    <w:p w14:paraId="42EA77EA" w14:textId="5C560639" w:rsidR="002764D5" w:rsidRPr="00093DF0" w:rsidRDefault="009A3F43" w:rsidP="00093DF0">
      <w:pPr>
        <w:rPr>
          <w:rFonts w:ascii="Garamond" w:eastAsia="Cambria" w:hAnsi="Garamond" w:cs="Cambria"/>
          <w:sz w:val="24"/>
          <w:szCs w:val="24"/>
        </w:rPr>
      </w:pPr>
      <w:r w:rsidRPr="006704E2">
        <w:rPr>
          <w:rFonts w:ascii="Garamond" w:eastAsia="Cambria" w:hAnsi="Garamond" w:cs="Cambria"/>
          <w:sz w:val="24"/>
          <w:szCs w:val="24"/>
        </w:rPr>
        <w:br w:type="page"/>
      </w:r>
    </w:p>
    <w:p w14:paraId="058304AA" w14:textId="67DCA811" w:rsidR="0046188E" w:rsidRPr="006704E2" w:rsidRDefault="0046188E" w:rsidP="00597B56">
      <w:pPr>
        <w:pStyle w:val="Heading1"/>
        <w:numPr>
          <w:ilvl w:val="0"/>
          <w:numId w:val="17"/>
        </w:numPr>
        <w:rPr>
          <w:rFonts w:ascii="Garamond" w:hAnsi="Garamond"/>
          <w:color w:val="auto"/>
          <w:sz w:val="28"/>
          <w:szCs w:val="28"/>
        </w:rPr>
      </w:pPr>
      <w:bookmarkStart w:id="8" w:name="_Toc392863184"/>
      <w:r w:rsidRPr="006704E2">
        <w:rPr>
          <w:rFonts w:ascii="Garamond" w:hAnsi="Garamond"/>
          <w:color w:val="auto"/>
          <w:sz w:val="28"/>
          <w:szCs w:val="28"/>
        </w:rPr>
        <w:lastRenderedPageBreak/>
        <w:t>Annual Attributable Risk Estimation</w:t>
      </w:r>
      <w:bookmarkEnd w:id="8"/>
    </w:p>
    <w:p w14:paraId="18650A7C" w14:textId="77777777" w:rsidR="002476D0" w:rsidRPr="006704E2" w:rsidRDefault="002476D0" w:rsidP="002476D0">
      <w:pPr>
        <w:rPr>
          <w:rFonts w:ascii="Garamond" w:hAnsi="Garamond"/>
          <w:sz w:val="24"/>
          <w:szCs w:val="24"/>
        </w:rPr>
      </w:pPr>
    </w:p>
    <w:tbl>
      <w:tblPr>
        <w:tblW w:w="0" w:type="auto"/>
        <w:jc w:val="center"/>
        <w:tblCellMar>
          <w:left w:w="0" w:type="dxa"/>
          <w:right w:w="0" w:type="dxa"/>
        </w:tblCellMar>
        <w:tblLook w:val="04A0" w:firstRow="1" w:lastRow="0" w:firstColumn="1" w:lastColumn="0" w:noHBand="0" w:noVBand="1"/>
      </w:tblPr>
      <w:tblGrid>
        <w:gridCol w:w="583"/>
        <w:gridCol w:w="705"/>
        <w:gridCol w:w="818"/>
        <w:gridCol w:w="818"/>
        <w:gridCol w:w="705"/>
        <w:gridCol w:w="705"/>
        <w:gridCol w:w="1003"/>
        <w:gridCol w:w="804"/>
      </w:tblGrid>
      <w:tr w:rsidR="0046188E" w:rsidRPr="006704E2" w14:paraId="1CCB8DD6" w14:textId="77777777" w:rsidTr="0046188E">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E5692DA" w14:textId="77777777" w:rsidR="0046188E" w:rsidRPr="006704E2" w:rsidRDefault="0046188E" w:rsidP="0046188E">
            <w:pPr>
              <w:spacing w:after="0" w:line="240" w:lineRule="auto"/>
              <w:jc w:val="center"/>
              <w:rPr>
                <w:rFonts w:ascii="Garamond" w:eastAsia="Times New Roman" w:hAnsi="Garamond" w:cs="Times New Roman"/>
                <w:sz w:val="24"/>
                <w:szCs w:val="24"/>
              </w:rPr>
            </w:pP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A4C654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Mort</w:t>
            </w:r>
          </w:p>
        </w:tc>
        <w:tc>
          <w:tcPr>
            <w:tcW w:w="0" w:type="auto"/>
            <w:gridSpan w:val="3"/>
            <w:tcBorders>
              <w:left w:val="single" w:sz="12" w:space="0" w:color="auto"/>
              <w:right w:val="single" w:sz="12" w:space="0" w:color="auto"/>
            </w:tcBorders>
            <w:tcMar>
              <w:top w:w="30" w:type="dxa"/>
              <w:left w:w="45" w:type="dxa"/>
              <w:bottom w:w="30" w:type="dxa"/>
              <w:right w:w="45" w:type="dxa"/>
            </w:tcMar>
            <w:vAlign w:val="center"/>
            <w:hideMark/>
          </w:tcPr>
          <w:p w14:paraId="4FD705FA" w14:textId="77777777" w:rsidR="0046188E" w:rsidRPr="006704E2" w:rsidRDefault="0046188E" w:rsidP="0046188E">
            <w:pPr>
              <w:spacing w:after="0" w:line="240" w:lineRule="auto"/>
              <w:jc w:val="center"/>
              <w:rPr>
                <w:rFonts w:ascii="Garamond" w:eastAsia="Times New Roman" w:hAnsi="Garamond" w:cs="Times New Roman"/>
                <w:sz w:val="24"/>
                <w:szCs w:val="24"/>
              </w:rPr>
            </w:pPr>
            <w:r w:rsidRPr="006704E2">
              <w:rPr>
                <w:rFonts w:ascii="Garamond" w:eastAsia="Times New Roman" w:hAnsi="Garamond" w:cs="Arial"/>
                <w:sz w:val="24"/>
                <w:szCs w:val="24"/>
              </w:rPr>
              <w:t>EDV</w:t>
            </w:r>
          </w:p>
        </w:tc>
        <w:tc>
          <w:tcPr>
            <w:tcW w:w="0" w:type="auto"/>
            <w:gridSpan w:val="3"/>
            <w:tcBorders>
              <w:left w:val="single" w:sz="12" w:space="0" w:color="auto"/>
            </w:tcBorders>
            <w:tcMar>
              <w:top w:w="30" w:type="dxa"/>
              <w:left w:w="45" w:type="dxa"/>
              <w:bottom w:w="30" w:type="dxa"/>
              <w:right w:w="45" w:type="dxa"/>
            </w:tcMar>
            <w:vAlign w:val="center"/>
            <w:hideMark/>
          </w:tcPr>
          <w:p w14:paraId="070D1AD8" w14:textId="77777777" w:rsidR="0046188E" w:rsidRPr="006704E2" w:rsidRDefault="0046188E" w:rsidP="0046188E">
            <w:pPr>
              <w:spacing w:after="0" w:line="240" w:lineRule="auto"/>
              <w:jc w:val="center"/>
              <w:rPr>
                <w:rFonts w:ascii="Garamond" w:eastAsia="Times New Roman" w:hAnsi="Garamond" w:cs="Times New Roman"/>
                <w:sz w:val="24"/>
                <w:szCs w:val="24"/>
              </w:rPr>
            </w:pPr>
            <w:r w:rsidRPr="006704E2">
              <w:rPr>
                <w:rFonts w:ascii="Garamond" w:eastAsia="Times New Roman" w:hAnsi="Garamond" w:cs="Arial"/>
                <w:sz w:val="24"/>
                <w:szCs w:val="24"/>
              </w:rPr>
              <w:t>EDHSP</w:t>
            </w:r>
          </w:p>
        </w:tc>
      </w:tr>
      <w:tr w:rsidR="0046188E" w:rsidRPr="006704E2" w14:paraId="02574A7D" w14:textId="77777777" w:rsidTr="00973E70">
        <w:trPr>
          <w:trHeight w:val="315"/>
          <w:jc w:val="center"/>
        </w:trPr>
        <w:tc>
          <w:tcPr>
            <w:tcW w:w="0" w:type="auto"/>
            <w:tcBorders>
              <w:bottom w:val="single" w:sz="4" w:space="0" w:color="auto"/>
              <w:right w:val="single" w:sz="4" w:space="0" w:color="auto"/>
            </w:tcBorders>
            <w:tcMar>
              <w:top w:w="30" w:type="dxa"/>
              <w:left w:w="45" w:type="dxa"/>
              <w:bottom w:w="30" w:type="dxa"/>
              <w:right w:w="45" w:type="dxa"/>
            </w:tcMar>
            <w:vAlign w:val="center"/>
            <w:hideMark/>
          </w:tcPr>
          <w:p w14:paraId="480D1B84" w14:textId="77777777" w:rsidR="0046188E" w:rsidRPr="006704E2" w:rsidRDefault="0046188E" w:rsidP="0046188E">
            <w:pPr>
              <w:spacing w:after="0" w:line="240" w:lineRule="auto"/>
              <w:jc w:val="center"/>
              <w:rPr>
                <w:rFonts w:ascii="Garamond" w:eastAsia="Times New Roman" w:hAnsi="Garamond" w:cs="Times New Roman"/>
                <w:sz w:val="24"/>
                <w:szCs w:val="24"/>
              </w:rPr>
            </w:pPr>
          </w:p>
        </w:tc>
        <w:tc>
          <w:tcPr>
            <w:tcW w:w="0" w:type="auto"/>
            <w:tcBorders>
              <w:left w:val="single" w:sz="4" w:space="0" w:color="auto"/>
              <w:bottom w:val="single" w:sz="4" w:space="0" w:color="auto"/>
              <w:right w:val="single" w:sz="12" w:space="0" w:color="auto"/>
            </w:tcBorders>
            <w:tcMar>
              <w:top w:w="30" w:type="dxa"/>
              <w:left w:w="45" w:type="dxa"/>
              <w:bottom w:w="30" w:type="dxa"/>
              <w:right w:w="45" w:type="dxa"/>
            </w:tcMar>
            <w:vAlign w:val="center"/>
            <w:hideMark/>
          </w:tcPr>
          <w:p w14:paraId="39E56973" w14:textId="45FEC228" w:rsidR="0046188E" w:rsidRPr="006704E2" w:rsidRDefault="00013628" w:rsidP="00013628">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Senior</w:t>
            </w:r>
          </w:p>
        </w:tc>
        <w:tc>
          <w:tcPr>
            <w:tcW w:w="0" w:type="auto"/>
            <w:tcBorders>
              <w:left w:val="single" w:sz="12" w:space="0" w:color="auto"/>
              <w:bottom w:val="single" w:sz="4" w:space="0" w:color="auto"/>
              <w:right w:val="single" w:sz="4" w:space="0" w:color="auto"/>
            </w:tcBorders>
            <w:tcMar>
              <w:top w:w="30" w:type="dxa"/>
              <w:left w:w="45" w:type="dxa"/>
              <w:bottom w:w="30" w:type="dxa"/>
              <w:right w:w="45" w:type="dxa"/>
            </w:tcMar>
            <w:vAlign w:val="center"/>
            <w:hideMark/>
          </w:tcPr>
          <w:p w14:paraId="310B3A18" w14:textId="35DC65E1" w:rsidR="0046188E" w:rsidRPr="006704E2" w:rsidRDefault="00013628"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Youth</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6C071FA" w14:textId="3FC02D26" w:rsidR="0046188E" w:rsidRPr="006704E2" w:rsidRDefault="00013628"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Adult</w:t>
            </w:r>
          </w:p>
        </w:tc>
        <w:tc>
          <w:tcPr>
            <w:tcW w:w="0" w:type="auto"/>
            <w:tcBorders>
              <w:left w:val="single" w:sz="4" w:space="0" w:color="auto"/>
              <w:bottom w:val="single" w:sz="4" w:space="0" w:color="auto"/>
              <w:right w:val="single" w:sz="12" w:space="0" w:color="auto"/>
            </w:tcBorders>
            <w:tcMar>
              <w:top w:w="30" w:type="dxa"/>
              <w:left w:w="45" w:type="dxa"/>
              <w:bottom w:w="30" w:type="dxa"/>
              <w:right w:w="45" w:type="dxa"/>
            </w:tcMar>
            <w:vAlign w:val="center"/>
            <w:hideMark/>
          </w:tcPr>
          <w:p w14:paraId="6FE153B1" w14:textId="7ADD4B5D" w:rsidR="0046188E" w:rsidRPr="006704E2" w:rsidRDefault="00013628"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Senior</w:t>
            </w:r>
          </w:p>
        </w:tc>
        <w:tc>
          <w:tcPr>
            <w:tcW w:w="0" w:type="auto"/>
            <w:tcBorders>
              <w:left w:val="single" w:sz="12" w:space="0" w:color="auto"/>
              <w:bottom w:val="single" w:sz="4" w:space="0" w:color="auto"/>
              <w:right w:val="single" w:sz="4" w:space="0" w:color="auto"/>
            </w:tcBorders>
            <w:tcMar>
              <w:top w:w="30" w:type="dxa"/>
              <w:left w:w="45" w:type="dxa"/>
              <w:bottom w:w="30" w:type="dxa"/>
              <w:right w:w="45" w:type="dxa"/>
            </w:tcMar>
            <w:vAlign w:val="center"/>
            <w:hideMark/>
          </w:tcPr>
          <w:p w14:paraId="32549F45" w14:textId="3DF3F32C" w:rsidR="0046188E" w:rsidRPr="006704E2" w:rsidRDefault="00013628"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Youth</w:t>
            </w:r>
          </w:p>
        </w:tc>
        <w:tc>
          <w:tcPr>
            <w:tcW w:w="1003" w:type="dxa"/>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36ED82E" w14:textId="78473222" w:rsidR="0046188E" w:rsidRPr="006704E2" w:rsidRDefault="00013628"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Adult</w:t>
            </w:r>
          </w:p>
        </w:tc>
        <w:tc>
          <w:tcPr>
            <w:tcW w:w="804" w:type="dxa"/>
            <w:tcBorders>
              <w:left w:val="single" w:sz="4" w:space="0" w:color="auto"/>
              <w:bottom w:val="single" w:sz="4" w:space="0" w:color="auto"/>
            </w:tcBorders>
            <w:tcMar>
              <w:top w:w="30" w:type="dxa"/>
              <w:left w:w="45" w:type="dxa"/>
              <w:bottom w:w="30" w:type="dxa"/>
              <w:right w:w="45" w:type="dxa"/>
            </w:tcMar>
            <w:vAlign w:val="center"/>
            <w:hideMark/>
          </w:tcPr>
          <w:p w14:paraId="7E684CCD" w14:textId="3E1EEDE8" w:rsidR="0046188E" w:rsidRPr="006704E2" w:rsidRDefault="00013628"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Senior</w:t>
            </w:r>
          </w:p>
        </w:tc>
      </w:tr>
      <w:tr w:rsidR="0046188E" w:rsidRPr="006704E2" w14:paraId="6AF98399" w14:textId="77777777" w:rsidTr="00973E70">
        <w:trPr>
          <w:trHeight w:val="315"/>
          <w:jc w:val="center"/>
        </w:trPr>
        <w:tc>
          <w:tcPr>
            <w:tcW w:w="0" w:type="auto"/>
            <w:tcBorders>
              <w:top w:val="single" w:sz="4" w:space="0" w:color="auto"/>
              <w:right w:val="single" w:sz="4" w:space="0" w:color="auto"/>
            </w:tcBorders>
            <w:tcMar>
              <w:top w:w="30" w:type="dxa"/>
              <w:left w:w="45" w:type="dxa"/>
              <w:bottom w:w="30" w:type="dxa"/>
              <w:right w:w="45" w:type="dxa"/>
            </w:tcMar>
            <w:vAlign w:val="center"/>
            <w:hideMark/>
          </w:tcPr>
          <w:p w14:paraId="69D1542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1998</w:t>
            </w:r>
          </w:p>
        </w:tc>
        <w:tc>
          <w:tcPr>
            <w:tcW w:w="0" w:type="auto"/>
            <w:tcBorders>
              <w:top w:val="single" w:sz="4" w:space="0" w:color="auto"/>
              <w:left w:val="single" w:sz="4" w:space="0" w:color="auto"/>
              <w:right w:val="single" w:sz="12" w:space="0" w:color="auto"/>
            </w:tcBorders>
            <w:tcMar>
              <w:top w:w="30" w:type="dxa"/>
              <w:left w:w="45" w:type="dxa"/>
              <w:bottom w:w="30" w:type="dxa"/>
              <w:right w:w="45" w:type="dxa"/>
            </w:tcMar>
            <w:vAlign w:val="center"/>
            <w:hideMark/>
          </w:tcPr>
          <w:p w14:paraId="1E976073" w14:textId="6FFECF9E" w:rsidR="0046188E" w:rsidRPr="006704E2" w:rsidRDefault="00013628"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w:t>
            </w:r>
            <w:r w:rsidR="0046188E" w:rsidRPr="006704E2">
              <w:rPr>
                <w:rFonts w:ascii="Garamond" w:eastAsia="Times New Roman" w:hAnsi="Garamond" w:cs="Arial"/>
                <w:sz w:val="24"/>
                <w:szCs w:val="24"/>
              </w:rPr>
              <w:t>188</w:t>
            </w:r>
          </w:p>
        </w:tc>
        <w:tc>
          <w:tcPr>
            <w:tcW w:w="0" w:type="auto"/>
            <w:tcBorders>
              <w:top w:val="single" w:sz="4" w:space="0" w:color="auto"/>
              <w:left w:val="single" w:sz="12" w:space="0" w:color="auto"/>
              <w:right w:val="single" w:sz="4" w:space="0" w:color="auto"/>
            </w:tcBorders>
            <w:tcMar>
              <w:top w:w="30" w:type="dxa"/>
              <w:left w:w="45" w:type="dxa"/>
              <w:bottom w:w="30" w:type="dxa"/>
              <w:right w:w="45" w:type="dxa"/>
            </w:tcMar>
            <w:vAlign w:val="center"/>
            <w:hideMark/>
          </w:tcPr>
          <w:p w14:paraId="305BF04C"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521E6940"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top w:val="single" w:sz="4" w:space="0" w:color="auto"/>
              <w:left w:val="single" w:sz="4" w:space="0" w:color="auto"/>
              <w:right w:val="single" w:sz="12" w:space="0" w:color="auto"/>
            </w:tcBorders>
            <w:tcMar>
              <w:top w:w="30" w:type="dxa"/>
              <w:left w:w="45" w:type="dxa"/>
              <w:bottom w:w="30" w:type="dxa"/>
              <w:right w:w="45" w:type="dxa"/>
            </w:tcMar>
            <w:vAlign w:val="center"/>
            <w:hideMark/>
          </w:tcPr>
          <w:p w14:paraId="73B8ADB0"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top w:val="single" w:sz="4" w:space="0" w:color="auto"/>
              <w:left w:val="single" w:sz="12" w:space="0" w:color="auto"/>
              <w:right w:val="single" w:sz="4" w:space="0" w:color="auto"/>
            </w:tcBorders>
            <w:tcMar>
              <w:top w:w="30" w:type="dxa"/>
              <w:left w:w="45" w:type="dxa"/>
              <w:bottom w:w="30" w:type="dxa"/>
              <w:right w:w="45" w:type="dxa"/>
            </w:tcMar>
            <w:vAlign w:val="center"/>
            <w:hideMark/>
          </w:tcPr>
          <w:p w14:paraId="0EEC394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003" w:type="dxa"/>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175EAB9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804" w:type="dxa"/>
            <w:tcBorders>
              <w:top w:val="single" w:sz="4" w:space="0" w:color="auto"/>
              <w:left w:val="single" w:sz="4" w:space="0" w:color="auto"/>
            </w:tcBorders>
            <w:tcMar>
              <w:top w:w="30" w:type="dxa"/>
              <w:left w:w="45" w:type="dxa"/>
              <w:bottom w:w="30" w:type="dxa"/>
              <w:right w:w="45" w:type="dxa"/>
            </w:tcMar>
            <w:vAlign w:val="center"/>
            <w:hideMark/>
          </w:tcPr>
          <w:p w14:paraId="25E8B1C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46188E" w:rsidRPr="006704E2" w14:paraId="137B8F5F"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13A700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1999</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39E8A8A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1,536</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2D9B5FB8"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3CB3F29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5E6EF93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625B120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5ACED9E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804" w:type="dxa"/>
            <w:tcBorders>
              <w:left w:val="single" w:sz="4" w:space="0" w:color="auto"/>
            </w:tcBorders>
            <w:tcMar>
              <w:top w:w="30" w:type="dxa"/>
              <w:left w:w="45" w:type="dxa"/>
              <w:bottom w:w="30" w:type="dxa"/>
              <w:right w:w="45" w:type="dxa"/>
            </w:tcMar>
            <w:vAlign w:val="center"/>
            <w:hideMark/>
          </w:tcPr>
          <w:p w14:paraId="4C8B34F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46188E" w:rsidRPr="006704E2" w14:paraId="4245CC55"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637E65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2000</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98D2FC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1,445</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286E2B9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58B6BA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70AE45D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68BAA80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5BCC89F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804" w:type="dxa"/>
            <w:tcBorders>
              <w:left w:val="single" w:sz="4" w:space="0" w:color="auto"/>
            </w:tcBorders>
            <w:tcMar>
              <w:top w:w="30" w:type="dxa"/>
              <w:left w:w="45" w:type="dxa"/>
              <w:bottom w:w="30" w:type="dxa"/>
              <w:right w:w="45" w:type="dxa"/>
            </w:tcMar>
            <w:vAlign w:val="center"/>
            <w:hideMark/>
          </w:tcPr>
          <w:p w14:paraId="50D6249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46188E" w:rsidRPr="006704E2" w14:paraId="52260EA8"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ABCA3D0"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2001</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01E5084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1,525</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4A7A671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54D220D8"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1C42EB7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4E50FF4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145D99E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804" w:type="dxa"/>
            <w:tcBorders>
              <w:left w:val="single" w:sz="4" w:space="0" w:color="auto"/>
            </w:tcBorders>
            <w:tcMar>
              <w:top w:w="30" w:type="dxa"/>
              <w:left w:w="45" w:type="dxa"/>
              <w:bottom w:w="30" w:type="dxa"/>
              <w:right w:w="45" w:type="dxa"/>
            </w:tcMar>
            <w:vAlign w:val="center"/>
            <w:hideMark/>
          </w:tcPr>
          <w:p w14:paraId="65E6610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46188E" w:rsidRPr="006704E2" w14:paraId="0BF0E753"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190D223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2002</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7E57F8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1,507</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2A59393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3BF4425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4A254F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02A201D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1C2C54F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804" w:type="dxa"/>
            <w:tcBorders>
              <w:left w:val="single" w:sz="4" w:space="0" w:color="auto"/>
            </w:tcBorders>
            <w:tcMar>
              <w:top w:w="30" w:type="dxa"/>
              <w:left w:w="45" w:type="dxa"/>
              <w:bottom w:w="30" w:type="dxa"/>
              <w:right w:w="45" w:type="dxa"/>
            </w:tcMar>
            <w:vAlign w:val="center"/>
            <w:hideMark/>
          </w:tcPr>
          <w:p w14:paraId="6BC5523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46188E" w:rsidRPr="006704E2" w14:paraId="36B0C132"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33E703B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2003</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40855B0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1,389</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5702823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164B8F2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6BBF334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211E93B8"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2D15AF6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804" w:type="dxa"/>
            <w:tcBorders>
              <w:left w:val="single" w:sz="4" w:space="0" w:color="auto"/>
            </w:tcBorders>
            <w:tcMar>
              <w:top w:w="30" w:type="dxa"/>
              <w:left w:w="45" w:type="dxa"/>
              <w:bottom w:w="30" w:type="dxa"/>
              <w:right w:w="45" w:type="dxa"/>
            </w:tcMar>
            <w:vAlign w:val="center"/>
            <w:hideMark/>
          </w:tcPr>
          <w:p w14:paraId="33F770D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46188E" w:rsidRPr="006704E2" w14:paraId="1BEA7AD4"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35F073E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2004</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649A5AF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1,359</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10A0F34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9A2999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3DEA9CF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6C95175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2EAD030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804" w:type="dxa"/>
            <w:tcBorders>
              <w:left w:val="single" w:sz="4" w:space="0" w:color="auto"/>
            </w:tcBorders>
            <w:tcMar>
              <w:top w:w="30" w:type="dxa"/>
              <w:left w:w="45" w:type="dxa"/>
              <w:bottom w:w="30" w:type="dxa"/>
              <w:right w:w="45" w:type="dxa"/>
            </w:tcMar>
            <w:vAlign w:val="center"/>
            <w:hideMark/>
          </w:tcPr>
          <w:p w14:paraId="3E59F3C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r>
      <w:tr w:rsidR="0046188E" w:rsidRPr="006704E2" w14:paraId="4ED56BFC"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D76E6D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2005</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581A490"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1,416</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7992EA7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15,640</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143A0CB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8,515</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1206533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1,915</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17B27E08"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1,392</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3599BCB8"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2,322</w:t>
            </w:r>
          </w:p>
        </w:tc>
        <w:tc>
          <w:tcPr>
            <w:tcW w:w="804" w:type="dxa"/>
            <w:tcBorders>
              <w:left w:val="single" w:sz="4" w:space="0" w:color="auto"/>
            </w:tcBorders>
            <w:tcMar>
              <w:top w:w="30" w:type="dxa"/>
              <w:left w:w="45" w:type="dxa"/>
              <w:bottom w:w="30" w:type="dxa"/>
              <w:right w:w="45" w:type="dxa"/>
            </w:tcMar>
            <w:vAlign w:val="center"/>
            <w:hideMark/>
          </w:tcPr>
          <w:p w14:paraId="65E9A11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3,221</w:t>
            </w:r>
          </w:p>
        </w:tc>
      </w:tr>
      <w:tr w:rsidR="0046188E" w:rsidRPr="006704E2" w14:paraId="039C62D6"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6C9C75B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2006</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495CDF2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1,327</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0AE97D6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17,352</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3A7CFF5C"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9,929</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685D3A9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2,472</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5B9CDE2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1,578</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2C04A78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2,549</w:t>
            </w:r>
          </w:p>
        </w:tc>
        <w:tc>
          <w:tcPr>
            <w:tcW w:w="804" w:type="dxa"/>
            <w:tcBorders>
              <w:left w:val="single" w:sz="4" w:space="0" w:color="auto"/>
            </w:tcBorders>
            <w:tcMar>
              <w:top w:w="30" w:type="dxa"/>
              <w:left w:w="45" w:type="dxa"/>
              <w:bottom w:w="30" w:type="dxa"/>
              <w:right w:w="45" w:type="dxa"/>
            </w:tcMar>
            <w:vAlign w:val="center"/>
            <w:hideMark/>
          </w:tcPr>
          <w:p w14:paraId="499C134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3,579</w:t>
            </w:r>
          </w:p>
        </w:tc>
      </w:tr>
      <w:tr w:rsidR="0046188E" w:rsidRPr="006704E2" w14:paraId="55B4DC83"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21886FA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2007</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0A2F3CB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1,346</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51383DE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18,894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75AB741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8,932</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4D91D13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2,159</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6E14788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1,677</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225FF64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2,699</w:t>
            </w:r>
          </w:p>
        </w:tc>
        <w:tc>
          <w:tcPr>
            <w:tcW w:w="804" w:type="dxa"/>
            <w:tcBorders>
              <w:left w:val="single" w:sz="4" w:space="0" w:color="auto"/>
            </w:tcBorders>
            <w:tcMar>
              <w:top w:w="30" w:type="dxa"/>
              <w:left w:w="45" w:type="dxa"/>
              <w:bottom w:w="30" w:type="dxa"/>
              <w:right w:w="45" w:type="dxa"/>
            </w:tcMar>
            <w:vAlign w:val="center"/>
            <w:hideMark/>
          </w:tcPr>
          <w:p w14:paraId="5678071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3,681</w:t>
            </w:r>
          </w:p>
        </w:tc>
      </w:tr>
      <w:tr w:rsidR="0046188E" w:rsidRPr="006704E2" w14:paraId="2D0E7C95"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167C81A8"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2008</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4186CB5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1,527</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6B34BDF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20,197</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6168D7B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10,793</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0E2874C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2,648</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4115B6D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1,707</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79140BD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3,015</w:t>
            </w:r>
          </w:p>
        </w:tc>
        <w:tc>
          <w:tcPr>
            <w:tcW w:w="804" w:type="dxa"/>
            <w:tcBorders>
              <w:left w:val="single" w:sz="4" w:space="0" w:color="auto"/>
            </w:tcBorders>
            <w:tcMar>
              <w:top w:w="30" w:type="dxa"/>
              <w:left w:w="45" w:type="dxa"/>
              <w:bottom w:w="30" w:type="dxa"/>
              <w:right w:w="45" w:type="dxa"/>
            </w:tcMar>
            <w:vAlign w:val="center"/>
            <w:hideMark/>
          </w:tcPr>
          <w:p w14:paraId="1116A6E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4,096</w:t>
            </w:r>
          </w:p>
        </w:tc>
      </w:tr>
      <w:tr w:rsidR="0046188E" w:rsidRPr="006704E2" w14:paraId="0C908D3B"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1FCE3998"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2009</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4584516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1,444</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0034172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19,099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69688C6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10,350</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6AE0355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2,546</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366A7F7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1,672</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2EA857F0"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2,775</w:t>
            </w:r>
          </w:p>
        </w:tc>
        <w:tc>
          <w:tcPr>
            <w:tcW w:w="804" w:type="dxa"/>
            <w:tcBorders>
              <w:left w:val="single" w:sz="4" w:space="0" w:color="auto"/>
            </w:tcBorders>
            <w:tcMar>
              <w:top w:w="30" w:type="dxa"/>
              <w:left w:w="45" w:type="dxa"/>
              <w:bottom w:w="30" w:type="dxa"/>
              <w:right w:w="45" w:type="dxa"/>
            </w:tcMar>
            <w:vAlign w:val="center"/>
            <w:hideMark/>
          </w:tcPr>
          <w:p w14:paraId="0B42610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3,621</w:t>
            </w:r>
          </w:p>
        </w:tc>
      </w:tr>
      <w:tr w:rsidR="0046188E" w:rsidRPr="006704E2" w14:paraId="2A1822E2"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2086BB7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2010</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6BD1C1E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1,445</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6909A62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17,817</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3238B03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9,983</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43CDEE3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2,388</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4E38E74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1,451</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780DA88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2,691</w:t>
            </w:r>
          </w:p>
        </w:tc>
        <w:tc>
          <w:tcPr>
            <w:tcW w:w="804" w:type="dxa"/>
            <w:tcBorders>
              <w:left w:val="single" w:sz="4" w:space="0" w:color="auto"/>
            </w:tcBorders>
            <w:tcMar>
              <w:top w:w="30" w:type="dxa"/>
              <w:left w:w="45" w:type="dxa"/>
              <w:bottom w:w="30" w:type="dxa"/>
              <w:right w:w="45" w:type="dxa"/>
            </w:tcMar>
            <w:vAlign w:val="center"/>
            <w:hideMark/>
          </w:tcPr>
          <w:p w14:paraId="3F07D23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3,516</w:t>
            </w:r>
          </w:p>
        </w:tc>
      </w:tr>
      <w:tr w:rsidR="0046188E" w:rsidRPr="006704E2" w14:paraId="380B6CCF"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7AFEF39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2011</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1D3F09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1,654</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5AC20A7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21,783</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6117DB0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12,137</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6B3B9CE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3,026</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68FF043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1,567</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1A5171B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2,982</w:t>
            </w:r>
          </w:p>
        </w:tc>
        <w:tc>
          <w:tcPr>
            <w:tcW w:w="804" w:type="dxa"/>
            <w:tcBorders>
              <w:left w:val="single" w:sz="4" w:space="0" w:color="auto"/>
            </w:tcBorders>
            <w:tcMar>
              <w:top w:w="30" w:type="dxa"/>
              <w:left w:w="45" w:type="dxa"/>
              <w:bottom w:w="30" w:type="dxa"/>
              <w:right w:w="45" w:type="dxa"/>
            </w:tcMar>
            <w:vAlign w:val="center"/>
            <w:hideMark/>
          </w:tcPr>
          <w:p w14:paraId="418575F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3,909</w:t>
            </w:r>
          </w:p>
        </w:tc>
      </w:tr>
      <w:tr w:rsidR="0046188E" w:rsidRPr="006704E2" w14:paraId="79867A1A"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295A0024"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2012</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7CC42EB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1,353</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0D41AAFB"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16,110</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B491A2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9,807</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E7D222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2,924</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119355A2"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1,245</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5C48F52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2,247</w:t>
            </w:r>
          </w:p>
        </w:tc>
        <w:tc>
          <w:tcPr>
            <w:tcW w:w="804" w:type="dxa"/>
            <w:tcBorders>
              <w:left w:val="single" w:sz="4" w:space="0" w:color="auto"/>
            </w:tcBorders>
            <w:tcMar>
              <w:top w:w="30" w:type="dxa"/>
              <w:left w:w="45" w:type="dxa"/>
              <w:bottom w:w="30" w:type="dxa"/>
              <w:right w:w="45" w:type="dxa"/>
            </w:tcMar>
            <w:vAlign w:val="center"/>
            <w:hideMark/>
          </w:tcPr>
          <w:p w14:paraId="75F2AA91"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3,174</w:t>
            </w:r>
          </w:p>
        </w:tc>
      </w:tr>
      <w:tr w:rsidR="0046188E" w:rsidRPr="006704E2" w14:paraId="4B5ED178" w14:textId="77777777" w:rsidTr="00973E70">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37073A5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2013</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2B56286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1,729</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2358902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22,230</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179EB30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13,074</w:t>
            </w:r>
          </w:p>
        </w:tc>
        <w:tc>
          <w:tcPr>
            <w:tcW w:w="0" w:type="auto"/>
            <w:tcBorders>
              <w:left w:val="single" w:sz="4" w:space="0" w:color="auto"/>
              <w:right w:val="single" w:sz="12" w:space="0" w:color="auto"/>
            </w:tcBorders>
            <w:tcMar>
              <w:top w:w="30" w:type="dxa"/>
              <w:left w:w="45" w:type="dxa"/>
              <w:bottom w:w="30" w:type="dxa"/>
              <w:right w:w="45" w:type="dxa"/>
            </w:tcMar>
            <w:vAlign w:val="center"/>
            <w:hideMark/>
          </w:tcPr>
          <w:p w14:paraId="3E4720B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3,614</w:t>
            </w:r>
          </w:p>
        </w:tc>
        <w:tc>
          <w:tcPr>
            <w:tcW w:w="0" w:type="auto"/>
            <w:tcBorders>
              <w:left w:val="single" w:sz="12" w:space="0" w:color="auto"/>
              <w:right w:val="single" w:sz="4" w:space="0" w:color="auto"/>
            </w:tcBorders>
            <w:tcMar>
              <w:top w:w="30" w:type="dxa"/>
              <w:left w:w="45" w:type="dxa"/>
              <w:bottom w:w="30" w:type="dxa"/>
              <w:right w:w="45" w:type="dxa"/>
            </w:tcMar>
            <w:vAlign w:val="center"/>
            <w:hideMark/>
          </w:tcPr>
          <w:p w14:paraId="49BEA1A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1,554</w:t>
            </w:r>
          </w:p>
        </w:tc>
        <w:tc>
          <w:tcPr>
            <w:tcW w:w="1003" w:type="dxa"/>
            <w:tcBorders>
              <w:left w:val="single" w:sz="4" w:space="0" w:color="auto"/>
              <w:right w:val="single" w:sz="4" w:space="0" w:color="auto"/>
            </w:tcBorders>
            <w:tcMar>
              <w:top w:w="30" w:type="dxa"/>
              <w:left w:w="45" w:type="dxa"/>
              <w:bottom w:w="30" w:type="dxa"/>
              <w:right w:w="45" w:type="dxa"/>
            </w:tcMar>
            <w:vAlign w:val="center"/>
            <w:hideMark/>
          </w:tcPr>
          <w:p w14:paraId="314D9FE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3,079</w:t>
            </w:r>
          </w:p>
        </w:tc>
        <w:tc>
          <w:tcPr>
            <w:tcW w:w="804" w:type="dxa"/>
            <w:tcBorders>
              <w:left w:val="single" w:sz="4" w:space="0" w:color="auto"/>
            </w:tcBorders>
            <w:tcMar>
              <w:top w:w="30" w:type="dxa"/>
              <w:left w:w="45" w:type="dxa"/>
              <w:bottom w:w="30" w:type="dxa"/>
              <w:right w:w="45" w:type="dxa"/>
            </w:tcMar>
            <w:vAlign w:val="center"/>
            <w:hideMark/>
          </w:tcPr>
          <w:p w14:paraId="09FD096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4,142</w:t>
            </w:r>
          </w:p>
        </w:tc>
      </w:tr>
      <w:tr w:rsidR="0046188E" w:rsidRPr="006704E2" w14:paraId="453E7158" w14:textId="77777777" w:rsidTr="00973E70">
        <w:trPr>
          <w:trHeight w:val="315"/>
          <w:jc w:val="center"/>
        </w:trPr>
        <w:tc>
          <w:tcPr>
            <w:tcW w:w="0" w:type="auto"/>
            <w:tcBorders>
              <w:bottom w:val="single" w:sz="4" w:space="0" w:color="auto"/>
              <w:right w:val="single" w:sz="4" w:space="0" w:color="auto"/>
            </w:tcBorders>
            <w:tcMar>
              <w:top w:w="30" w:type="dxa"/>
              <w:left w:w="45" w:type="dxa"/>
              <w:bottom w:w="30" w:type="dxa"/>
              <w:right w:w="45" w:type="dxa"/>
            </w:tcMar>
            <w:vAlign w:val="center"/>
            <w:hideMark/>
          </w:tcPr>
          <w:p w14:paraId="0F96B7A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2014</w:t>
            </w:r>
          </w:p>
        </w:tc>
        <w:tc>
          <w:tcPr>
            <w:tcW w:w="0" w:type="auto"/>
            <w:tcBorders>
              <w:left w:val="single" w:sz="4" w:space="0" w:color="auto"/>
              <w:bottom w:val="single" w:sz="4" w:space="0" w:color="auto"/>
              <w:right w:val="single" w:sz="12" w:space="0" w:color="auto"/>
            </w:tcBorders>
            <w:tcMar>
              <w:top w:w="30" w:type="dxa"/>
              <w:left w:w="45" w:type="dxa"/>
              <w:bottom w:w="30" w:type="dxa"/>
              <w:right w:w="45" w:type="dxa"/>
            </w:tcMar>
            <w:vAlign w:val="center"/>
            <w:hideMark/>
          </w:tcPr>
          <w:p w14:paraId="2410009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1,721</w:t>
            </w:r>
          </w:p>
        </w:tc>
        <w:tc>
          <w:tcPr>
            <w:tcW w:w="0" w:type="auto"/>
            <w:tcBorders>
              <w:left w:val="single" w:sz="12" w:space="0" w:color="auto"/>
              <w:bottom w:val="single" w:sz="4" w:space="0" w:color="auto"/>
              <w:right w:val="single" w:sz="4" w:space="0" w:color="auto"/>
            </w:tcBorders>
            <w:tcMar>
              <w:top w:w="30" w:type="dxa"/>
              <w:left w:w="45" w:type="dxa"/>
              <w:bottom w:w="30" w:type="dxa"/>
              <w:right w:w="45" w:type="dxa"/>
            </w:tcMar>
            <w:vAlign w:val="center"/>
            <w:hideMark/>
          </w:tcPr>
          <w:p w14:paraId="14F498C6"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23,033</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695A293"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13,641</w:t>
            </w:r>
          </w:p>
        </w:tc>
        <w:tc>
          <w:tcPr>
            <w:tcW w:w="0" w:type="auto"/>
            <w:tcBorders>
              <w:left w:val="single" w:sz="4" w:space="0" w:color="auto"/>
              <w:bottom w:val="single" w:sz="4" w:space="0" w:color="auto"/>
              <w:right w:val="single" w:sz="12" w:space="0" w:color="auto"/>
            </w:tcBorders>
            <w:tcMar>
              <w:top w:w="30" w:type="dxa"/>
              <w:left w:w="45" w:type="dxa"/>
              <w:bottom w:w="30" w:type="dxa"/>
              <w:right w:w="45" w:type="dxa"/>
            </w:tcMar>
            <w:vAlign w:val="center"/>
            <w:hideMark/>
          </w:tcPr>
          <w:p w14:paraId="358A8F2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3,436</w:t>
            </w:r>
          </w:p>
        </w:tc>
        <w:tc>
          <w:tcPr>
            <w:tcW w:w="0" w:type="auto"/>
            <w:tcBorders>
              <w:left w:val="single" w:sz="12" w:space="0" w:color="auto"/>
              <w:bottom w:val="single" w:sz="4" w:space="0" w:color="auto"/>
              <w:right w:val="single" w:sz="4" w:space="0" w:color="auto"/>
            </w:tcBorders>
            <w:tcMar>
              <w:top w:w="30" w:type="dxa"/>
              <w:left w:w="45" w:type="dxa"/>
              <w:bottom w:w="30" w:type="dxa"/>
              <w:right w:w="45" w:type="dxa"/>
            </w:tcMar>
            <w:vAlign w:val="center"/>
            <w:hideMark/>
          </w:tcPr>
          <w:p w14:paraId="1FA3D73E"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1,605</w:t>
            </w:r>
          </w:p>
        </w:tc>
        <w:tc>
          <w:tcPr>
            <w:tcW w:w="1003" w:type="dxa"/>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B851ED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3,027</w:t>
            </w:r>
          </w:p>
        </w:tc>
        <w:tc>
          <w:tcPr>
            <w:tcW w:w="804" w:type="dxa"/>
            <w:tcBorders>
              <w:left w:val="single" w:sz="4" w:space="0" w:color="auto"/>
              <w:bottom w:val="single" w:sz="4" w:space="0" w:color="auto"/>
            </w:tcBorders>
            <w:tcMar>
              <w:top w:w="30" w:type="dxa"/>
              <w:left w:w="45" w:type="dxa"/>
              <w:bottom w:w="30" w:type="dxa"/>
              <w:right w:w="45" w:type="dxa"/>
            </w:tcMar>
            <w:vAlign w:val="center"/>
            <w:hideMark/>
          </w:tcPr>
          <w:p w14:paraId="6CFD1C95"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3,972</w:t>
            </w:r>
          </w:p>
        </w:tc>
      </w:tr>
      <w:tr w:rsidR="0046188E" w:rsidRPr="006704E2" w14:paraId="5EE19CE5" w14:textId="77777777" w:rsidTr="00973E70">
        <w:trPr>
          <w:trHeight w:val="315"/>
          <w:jc w:val="center"/>
        </w:trPr>
        <w:tc>
          <w:tcPr>
            <w:tcW w:w="0" w:type="auto"/>
            <w:tcBorders>
              <w:top w:val="single" w:sz="4" w:space="0" w:color="auto"/>
              <w:right w:val="single" w:sz="4" w:space="0" w:color="auto"/>
            </w:tcBorders>
            <w:tcMar>
              <w:top w:w="30" w:type="dxa"/>
              <w:left w:w="45" w:type="dxa"/>
              <w:bottom w:w="30" w:type="dxa"/>
              <w:right w:w="45" w:type="dxa"/>
            </w:tcMar>
            <w:vAlign w:val="center"/>
            <w:hideMark/>
          </w:tcPr>
          <w:p w14:paraId="078F287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Total</w:t>
            </w:r>
          </w:p>
        </w:tc>
        <w:tc>
          <w:tcPr>
            <w:tcW w:w="0" w:type="auto"/>
            <w:tcBorders>
              <w:top w:val="single" w:sz="4" w:space="0" w:color="auto"/>
              <w:left w:val="single" w:sz="4" w:space="0" w:color="auto"/>
              <w:right w:val="single" w:sz="12" w:space="0" w:color="auto"/>
            </w:tcBorders>
            <w:tcMar>
              <w:top w:w="30" w:type="dxa"/>
              <w:left w:w="45" w:type="dxa"/>
              <w:bottom w:w="30" w:type="dxa"/>
              <w:right w:w="45" w:type="dxa"/>
            </w:tcMar>
            <w:vAlign w:val="center"/>
            <w:hideMark/>
          </w:tcPr>
          <w:p w14:paraId="1A11365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24,911</w:t>
            </w:r>
          </w:p>
        </w:tc>
        <w:tc>
          <w:tcPr>
            <w:tcW w:w="0" w:type="auto"/>
            <w:tcBorders>
              <w:top w:val="single" w:sz="4" w:space="0" w:color="auto"/>
              <w:left w:val="single" w:sz="12" w:space="0" w:color="auto"/>
              <w:right w:val="single" w:sz="4" w:space="0" w:color="auto"/>
            </w:tcBorders>
            <w:tcMar>
              <w:top w:w="30" w:type="dxa"/>
              <w:left w:w="45" w:type="dxa"/>
              <w:bottom w:w="30" w:type="dxa"/>
              <w:right w:w="45" w:type="dxa"/>
            </w:tcMar>
            <w:vAlign w:val="center"/>
            <w:hideMark/>
          </w:tcPr>
          <w:p w14:paraId="215EE69A"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192,155</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50C1557F"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107,161</w:t>
            </w:r>
          </w:p>
        </w:tc>
        <w:tc>
          <w:tcPr>
            <w:tcW w:w="0" w:type="auto"/>
            <w:tcBorders>
              <w:top w:val="single" w:sz="4" w:space="0" w:color="auto"/>
              <w:left w:val="single" w:sz="4" w:space="0" w:color="auto"/>
              <w:right w:val="single" w:sz="12" w:space="0" w:color="auto"/>
            </w:tcBorders>
            <w:tcMar>
              <w:top w:w="30" w:type="dxa"/>
              <w:left w:w="45" w:type="dxa"/>
              <w:bottom w:w="30" w:type="dxa"/>
              <w:right w:w="45" w:type="dxa"/>
            </w:tcMar>
            <w:vAlign w:val="center"/>
            <w:hideMark/>
          </w:tcPr>
          <w:p w14:paraId="23F9C1C7"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27,128</w:t>
            </w:r>
          </w:p>
        </w:tc>
        <w:tc>
          <w:tcPr>
            <w:tcW w:w="0" w:type="auto"/>
            <w:tcBorders>
              <w:top w:val="single" w:sz="4" w:space="0" w:color="auto"/>
              <w:left w:val="single" w:sz="12" w:space="0" w:color="auto"/>
              <w:right w:val="single" w:sz="4" w:space="0" w:color="auto"/>
            </w:tcBorders>
            <w:tcMar>
              <w:top w:w="30" w:type="dxa"/>
              <w:left w:w="45" w:type="dxa"/>
              <w:bottom w:w="30" w:type="dxa"/>
              <w:right w:w="45" w:type="dxa"/>
            </w:tcMar>
            <w:vAlign w:val="center"/>
            <w:hideMark/>
          </w:tcPr>
          <w:p w14:paraId="3F8BC490"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15,448</w:t>
            </w:r>
          </w:p>
        </w:tc>
        <w:tc>
          <w:tcPr>
            <w:tcW w:w="1003" w:type="dxa"/>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700096E9"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27,386</w:t>
            </w:r>
          </w:p>
        </w:tc>
        <w:tc>
          <w:tcPr>
            <w:tcW w:w="804" w:type="dxa"/>
            <w:tcBorders>
              <w:top w:val="single" w:sz="4" w:space="0" w:color="auto"/>
              <w:left w:val="single" w:sz="4" w:space="0" w:color="auto"/>
            </w:tcBorders>
            <w:tcMar>
              <w:top w:w="30" w:type="dxa"/>
              <w:left w:w="45" w:type="dxa"/>
              <w:bottom w:w="30" w:type="dxa"/>
              <w:right w:w="45" w:type="dxa"/>
            </w:tcMar>
            <w:vAlign w:val="center"/>
            <w:hideMark/>
          </w:tcPr>
          <w:p w14:paraId="61AA573D" w14:textId="77777777" w:rsidR="0046188E" w:rsidRPr="006704E2" w:rsidRDefault="0046188E" w:rsidP="0046188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36,911</w:t>
            </w:r>
          </w:p>
        </w:tc>
      </w:tr>
    </w:tbl>
    <w:p w14:paraId="104CDFF3" w14:textId="77777777" w:rsidR="0046188E" w:rsidRPr="006704E2" w:rsidRDefault="0046188E" w:rsidP="0046188E">
      <w:pPr>
        <w:rPr>
          <w:rFonts w:ascii="Garamond" w:hAnsi="Garamond"/>
          <w:sz w:val="24"/>
          <w:szCs w:val="24"/>
        </w:rPr>
      </w:pPr>
    </w:p>
    <w:p w14:paraId="369D8325" w14:textId="54E1E742" w:rsidR="005D3011" w:rsidRPr="006704E2" w:rsidRDefault="00715EB2" w:rsidP="00715EB2">
      <w:pPr>
        <w:spacing w:line="480" w:lineRule="auto"/>
        <w:ind w:left="720"/>
        <w:rPr>
          <w:rFonts w:ascii="Garamond" w:hAnsi="Garamond"/>
          <w:sz w:val="24"/>
          <w:szCs w:val="24"/>
        </w:rPr>
      </w:pPr>
      <w:r w:rsidRPr="006704E2">
        <w:rPr>
          <w:rFonts w:ascii="Garamond" w:hAnsi="Garamond"/>
          <w:sz w:val="24"/>
          <w:szCs w:val="24"/>
        </w:rPr>
        <w:t>This table shows the results of the “Year-to-Year Variations for Cost Estimation” under the “Data and Methods” Section. Year-to-year variations are assessed because many cost estimation parameters changes on an annual basis.</w:t>
      </w:r>
      <w:r w:rsidR="005D3011" w:rsidRPr="006704E2">
        <w:rPr>
          <w:rFonts w:ascii="Garamond" w:hAnsi="Garamond"/>
          <w:sz w:val="24"/>
          <w:szCs w:val="24"/>
        </w:rPr>
        <w:br w:type="page"/>
      </w:r>
    </w:p>
    <w:p w14:paraId="46DE24C7" w14:textId="77777777" w:rsidR="00DF2895" w:rsidRPr="006704E2" w:rsidRDefault="005D3011" w:rsidP="00DF2895">
      <w:pPr>
        <w:pStyle w:val="Heading1"/>
        <w:numPr>
          <w:ilvl w:val="0"/>
          <w:numId w:val="17"/>
        </w:numPr>
        <w:spacing w:line="480" w:lineRule="auto"/>
        <w:rPr>
          <w:rFonts w:ascii="Garamond" w:hAnsi="Garamond"/>
          <w:color w:val="auto"/>
          <w:sz w:val="28"/>
          <w:szCs w:val="28"/>
        </w:rPr>
      </w:pPr>
      <w:bookmarkStart w:id="9" w:name="_Toc392863185"/>
      <w:r w:rsidRPr="006704E2">
        <w:rPr>
          <w:rFonts w:ascii="Garamond" w:hAnsi="Garamond"/>
          <w:color w:val="auto"/>
          <w:sz w:val="28"/>
          <w:szCs w:val="28"/>
        </w:rPr>
        <w:lastRenderedPageBreak/>
        <w:t>Cost Estimation Parameters</w:t>
      </w:r>
      <w:bookmarkEnd w:id="9"/>
    </w:p>
    <w:p w14:paraId="13583125" w14:textId="5335B3C5" w:rsidR="00730D34" w:rsidRPr="006704E2" w:rsidRDefault="005D3011" w:rsidP="00DF2895">
      <w:pPr>
        <w:pStyle w:val="Heading2"/>
        <w:numPr>
          <w:ilvl w:val="1"/>
          <w:numId w:val="17"/>
        </w:numPr>
        <w:spacing w:line="480" w:lineRule="auto"/>
        <w:rPr>
          <w:rFonts w:ascii="Garamond" w:hAnsi="Garamond"/>
          <w:color w:val="auto"/>
        </w:rPr>
      </w:pPr>
      <w:bookmarkStart w:id="10" w:name="_Toc392863186"/>
      <w:r w:rsidRPr="006704E2">
        <w:rPr>
          <w:rFonts w:ascii="Garamond" w:hAnsi="Garamond"/>
          <w:color w:val="auto"/>
        </w:rPr>
        <w:t>Adjusting Value of Statistical Life</w:t>
      </w:r>
      <w:bookmarkEnd w:id="10"/>
    </w:p>
    <w:p w14:paraId="39620147" w14:textId="7044D628" w:rsidR="00CD75BD" w:rsidRPr="006704E2" w:rsidRDefault="00730D34" w:rsidP="00DF2895">
      <w:pPr>
        <w:pStyle w:val="Heading3"/>
        <w:numPr>
          <w:ilvl w:val="2"/>
          <w:numId w:val="17"/>
        </w:numPr>
        <w:spacing w:line="480" w:lineRule="auto"/>
        <w:ind w:firstLine="0"/>
        <w:rPr>
          <w:rFonts w:ascii="Garamond" w:hAnsi="Garamond"/>
          <w:color w:val="auto"/>
        </w:rPr>
      </w:pPr>
      <w:bookmarkStart w:id="11" w:name="_Toc392863187"/>
      <w:r w:rsidRPr="006704E2">
        <w:rPr>
          <w:rFonts w:ascii="Garamond" w:hAnsi="Garamond"/>
          <w:color w:val="auto"/>
        </w:rPr>
        <w:t>Method</w:t>
      </w:r>
      <w:r w:rsidR="00CC14F4" w:rsidRPr="006704E2">
        <w:rPr>
          <w:rFonts w:ascii="Garamond" w:hAnsi="Garamond"/>
          <w:color w:val="auto"/>
        </w:rPr>
        <w:t>s</w:t>
      </w:r>
      <w:bookmarkEnd w:id="11"/>
    </w:p>
    <w:p w14:paraId="7FD7DA67" w14:textId="03672F87" w:rsidR="005D3011" w:rsidRPr="006704E2" w:rsidRDefault="005D3011" w:rsidP="001F687E">
      <w:pPr>
        <w:spacing w:line="480" w:lineRule="auto"/>
        <w:ind w:left="720"/>
        <w:rPr>
          <w:rFonts w:ascii="Garamond" w:hAnsi="Garamond"/>
          <w:sz w:val="24"/>
          <w:szCs w:val="24"/>
        </w:rPr>
      </w:pPr>
      <w:r w:rsidRPr="006704E2">
        <w:rPr>
          <w:rFonts w:ascii="Garamond" w:hAnsi="Garamond"/>
          <w:sz w:val="24"/>
          <w:szCs w:val="24"/>
        </w:rPr>
        <w:t>In a U.S. Department of Transportation Memorandum titled “Guidance on Treatment of the Economic Value of a Statistical Life (VSL) in the U.S. Department of Transportation Analyses - 2015 Adjustment”, the following equation was used to approximate VSL values in years other than when it was originally estimated</w:t>
      </w:r>
      <w:r w:rsidR="00425D23" w:rsidRPr="006704E2">
        <w:rPr>
          <w:rFonts w:ascii="Garamond" w:hAnsi="Garamond"/>
          <w:sz w:val="24"/>
          <w:szCs w:val="24"/>
        </w:rPr>
        <w:t xml:space="preserve"> </w:t>
      </w:r>
      <w:r w:rsidR="00EE05A6" w:rsidRPr="006704E2">
        <w:rPr>
          <w:rFonts w:ascii="Garamond" w:hAnsi="Garamond"/>
          <w:sz w:val="24"/>
          <w:szCs w:val="24"/>
        </w:rPr>
        <w:fldChar w:fldCharType="begin" w:fldLock="1"/>
      </w:r>
      <w:r w:rsidR="00EE05A6" w:rsidRPr="006704E2">
        <w:rPr>
          <w:rFonts w:ascii="Garamond" w:hAnsi="Garamond"/>
          <w:sz w:val="24"/>
          <w:szCs w:val="24"/>
        </w:rPr>
        <w:instrText>ADDIN CSL_CITATION { "citationItems" : [ { "id" : "ITEM-1", "itemData" : { "abstract" : "Departmental guidance on valuing reduction of fatalities and injuries by regulations or investments has been published periodically by this. office since 1993. We issued a thorough revision of our guidance in 2013 and indicated that we planned to issue annual updates to adjust for changes in prices and real incomes since then. Our 2013 revision indicated a VSL of $9.1 million in current dollars for analyses using a base year of2012. Using the 2013 value as a baseline, and taking into account both changes in prices and changes in real incomes, we now find that these changes over the past year imply an increased VSL of $9.4 million for analyses prepared in 2015. Last year the VSL was $9.2 million. The procedure for adjusting VSL for changes in prices and real incomes is described on pages 6-7 of the guidance. This guidance also includes a table ofthe relative values of preventing injuries of varied severity, unchanged since the 2013 guidance. We also prescribe a sensitivity analysis ofthe effects of using alternative VSL values. Instead of treating alternative values in terms of a probability distribution, analysts should apply only a test of low and high alternative values of $5.2 million and $13 .0 million.", "author" : [ { "dropping-particle" : "", "family" : "Thomson", "given" : "Kathryn", "non-dropping-particle" : "", "parse-names" : false, "suffix" : "" }, { "dropping-particle" : "", "family" : "Monje", "given" : "Carlos", "non-dropping-particle" : "", "parse-names" : false, "suffix" : "" } ], "id" : "ITEM-1", "issued" : { "date-parts" : [ [ "2015" ] ] }, "publisher-place" : "Washington, DC", "title" : "Guidance on Treatment of the Economic Value of a Statistical Life (VSL) in U.S. Department of Transportation Analyses - 2015 Adjustment", "type" : "report" }, "uris" : [ "http://www.mendeley.com/documents/?uuid=ea92445f-6964-37ea-8c23-070a9f22ab57" ] } ], "mendeley" : { "formattedCitation" : "(Thomson and Monje 2015)", "plainTextFormattedCitation" : "(Thomson and Monje 2015)", "previouslyFormattedCitation" : "(Thomson and Monje 2015)" }, "properties" : { "noteIndex" : 10 }, "schema" : "https://github.com/citation-style-language/schema/raw/master/csl-citation.json" }</w:instrText>
      </w:r>
      <w:r w:rsidR="00EE05A6" w:rsidRPr="006704E2">
        <w:rPr>
          <w:rFonts w:ascii="Garamond" w:hAnsi="Garamond"/>
          <w:sz w:val="24"/>
          <w:szCs w:val="24"/>
        </w:rPr>
        <w:fldChar w:fldCharType="separate"/>
      </w:r>
      <w:r w:rsidR="00EE05A6" w:rsidRPr="006704E2">
        <w:rPr>
          <w:rFonts w:ascii="Garamond" w:hAnsi="Garamond"/>
          <w:noProof/>
          <w:sz w:val="24"/>
          <w:szCs w:val="24"/>
        </w:rPr>
        <w:t>(Thomson and Monje 2015)</w:t>
      </w:r>
      <w:r w:rsidR="00EE05A6" w:rsidRPr="006704E2">
        <w:rPr>
          <w:rFonts w:ascii="Garamond" w:hAnsi="Garamond"/>
          <w:sz w:val="24"/>
          <w:szCs w:val="24"/>
        </w:rPr>
        <w:fldChar w:fldCharType="end"/>
      </w:r>
      <w:r w:rsidRPr="006704E2">
        <w:rPr>
          <w:rFonts w:ascii="Garamond" w:hAnsi="Garamond"/>
          <w:sz w:val="24"/>
          <w:szCs w:val="24"/>
        </w:rPr>
        <w:t>:</w:t>
      </w:r>
    </w:p>
    <w:p w14:paraId="16E2AAEA" w14:textId="7406B025" w:rsidR="005D3011" w:rsidRPr="006704E2" w:rsidRDefault="005D0E13" w:rsidP="001F2B9B">
      <w:pPr>
        <w:spacing w:line="480" w:lineRule="auto"/>
        <w:ind w:left="720"/>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VSL</m:t>
              </m:r>
            </m:e>
            <m:sub>
              <m:r>
                <w:rPr>
                  <w:rFonts w:ascii="Cambria Math" w:hAnsi="Cambria Math"/>
                  <w:sz w:val="24"/>
                  <w:szCs w:val="24"/>
                </w:rPr>
                <m:t>year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VSL</m:t>
              </m:r>
            </m:e>
            <m:sub>
              <m:r>
                <w:rPr>
                  <w:rFonts w:ascii="Cambria Math" w:hAnsi="Cambria Math"/>
                  <w:sz w:val="24"/>
                  <w:szCs w:val="24"/>
                </w:rPr>
                <m:t>base</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year</m:t>
                  </m:r>
                </m:sub>
              </m:sSub>
            </m:num>
            <m:den>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base</m:t>
                  </m:r>
                </m:sub>
              </m:sSub>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RI</m:t>
                          </m:r>
                        </m:e>
                        <m:sub>
                          <m:r>
                            <w:rPr>
                              <w:rFonts w:ascii="Cambria Math" w:hAnsi="Cambria Math"/>
                              <w:sz w:val="24"/>
                              <w:szCs w:val="24"/>
                            </w:rPr>
                            <m:t>year</m:t>
                          </m:r>
                        </m:sub>
                      </m:sSub>
                    </m:num>
                    <m:den>
                      <m:sSub>
                        <m:sSubPr>
                          <m:ctrlPr>
                            <w:rPr>
                              <w:rFonts w:ascii="Cambria Math" w:hAnsi="Cambria Math"/>
                              <w:i/>
                              <w:sz w:val="24"/>
                              <w:szCs w:val="24"/>
                            </w:rPr>
                          </m:ctrlPr>
                        </m:sSubPr>
                        <m:e>
                          <m:r>
                            <w:rPr>
                              <w:rFonts w:ascii="Cambria Math" w:hAnsi="Cambria Math"/>
                              <w:sz w:val="24"/>
                              <w:szCs w:val="24"/>
                            </w:rPr>
                            <m:t>RI</m:t>
                          </m:r>
                        </m:e>
                        <m:sub>
                          <m:r>
                            <w:rPr>
                              <w:rFonts w:ascii="Cambria Math" w:hAnsi="Cambria Math"/>
                              <w:sz w:val="24"/>
                              <w:szCs w:val="24"/>
                            </w:rPr>
                            <m:t>base</m:t>
                          </m:r>
                        </m:sub>
                      </m:sSub>
                    </m:den>
                  </m:f>
                </m:e>
              </m:d>
            </m:e>
            <m:sup>
              <m:r>
                <w:rPr>
                  <w:rFonts w:ascii="Cambria Math" w:hAnsi="Cambria Math"/>
                  <w:sz w:val="24"/>
                  <w:szCs w:val="24"/>
                </w:rPr>
                <m:t>η</m:t>
              </m:r>
            </m:sup>
          </m:sSup>
        </m:oMath>
      </m:oMathPara>
    </w:p>
    <w:p w14:paraId="39D70007" w14:textId="356F87CA" w:rsidR="00B86E44" w:rsidRPr="006704E2" w:rsidRDefault="005D3011" w:rsidP="00E95826">
      <w:pPr>
        <w:spacing w:line="480" w:lineRule="auto"/>
        <w:ind w:left="720"/>
        <w:rPr>
          <w:rFonts w:ascii="Garamond" w:hAnsi="Garamond"/>
          <w:sz w:val="24"/>
          <w:szCs w:val="24"/>
        </w:rPr>
      </w:pPr>
      <w:r w:rsidRPr="006704E2">
        <w:rPr>
          <w:rFonts w:ascii="Garamond" w:hAnsi="Garamond"/>
          <w:sz w:val="24"/>
          <w:szCs w:val="24"/>
        </w:rPr>
        <w:t xml:space="preserve">where CPI </w:t>
      </w:r>
      <w:r w:rsidR="00EE05A6" w:rsidRPr="006704E2">
        <w:rPr>
          <w:rFonts w:ascii="Garamond" w:hAnsi="Garamond"/>
          <w:sz w:val="24"/>
          <w:szCs w:val="24"/>
        </w:rPr>
        <w:t>is the Consumer Price Index, RI is</w:t>
      </w:r>
      <w:r w:rsidRPr="006704E2">
        <w:rPr>
          <w:rFonts w:ascii="Garamond" w:hAnsi="Garamond"/>
          <w:sz w:val="24"/>
          <w:szCs w:val="24"/>
        </w:rPr>
        <w:t xml:space="preserve"> Real Income</w:t>
      </w:r>
      <w:r w:rsidR="00EE05A6" w:rsidRPr="006704E2">
        <w:rPr>
          <w:rFonts w:ascii="Garamond" w:hAnsi="Garamond"/>
          <w:sz w:val="24"/>
          <w:szCs w:val="24"/>
        </w:rPr>
        <w:t>, which</w:t>
      </w:r>
      <w:r w:rsidRPr="006704E2">
        <w:rPr>
          <w:rFonts w:ascii="Garamond" w:hAnsi="Garamond"/>
          <w:sz w:val="24"/>
          <w:szCs w:val="24"/>
        </w:rPr>
        <w:t xml:space="preserve"> refers to individual income after adjusting for inflation, and </w:t>
      </w:r>
      <m:oMath>
        <m:r>
          <w:rPr>
            <w:rFonts w:ascii="Cambria Math" w:hAnsi="Cambria Math"/>
            <w:sz w:val="24"/>
            <w:szCs w:val="24"/>
          </w:rPr>
          <m:t>η</m:t>
        </m:r>
      </m:oMath>
      <w:r w:rsidRPr="006704E2">
        <w:rPr>
          <w:rFonts w:ascii="Garamond" w:hAnsi="Garamond"/>
          <w:sz w:val="24"/>
          <w:szCs w:val="24"/>
        </w:rPr>
        <w:t xml:space="preserve"> is the income elasticity based on which societal Willingness to Pay (WTP) increase with Real Income. </w:t>
      </w:r>
      <m:oMath>
        <m:sSub>
          <m:sSubPr>
            <m:ctrlPr>
              <w:rPr>
                <w:rFonts w:ascii="Cambria Math" w:hAnsi="Cambria Math"/>
                <w:i/>
                <w:sz w:val="24"/>
                <w:szCs w:val="24"/>
              </w:rPr>
            </m:ctrlPr>
          </m:sSubPr>
          <m:e>
            <m:r>
              <w:rPr>
                <w:rFonts w:ascii="Cambria Math" w:hAnsi="Cambria Math"/>
                <w:sz w:val="24"/>
                <w:szCs w:val="24"/>
              </w:rPr>
              <m:t>VSL</m:t>
            </m:r>
          </m:e>
          <m:sub>
            <m:r>
              <w:rPr>
                <w:rFonts w:ascii="Cambria Math" w:hAnsi="Cambria Math"/>
                <w:sz w:val="24"/>
                <w:szCs w:val="24"/>
              </w:rPr>
              <m:t>base</m:t>
            </m:r>
          </m:sub>
        </m:sSub>
      </m:oMath>
      <w:r w:rsidRPr="006704E2">
        <w:rPr>
          <w:rFonts w:ascii="Garamond" w:hAnsi="Garamond"/>
          <w:sz w:val="24"/>
          <w:szCs w:val="24"/>
        </w:rPr>
        <w:t xml:space="preserve"> </w:t>
      </w:r>
      <w:r w:rsidR="00EE05A6" w:rsidRPr="006704E2">
        <w:rPr>
          <w:rFonts w:ascii="Garamond" w:hAnsi="Garamond"/>
          <w:sz w:val="24"/>
          <w:szCs w:val="24"/>
        </w:rPr>
        <w:t xml:space="preserve">in the </w:t>
      </w:r>
      <w:r w:rsidRPr="006704E2">
        <w:rPr>
          <w:rFonts w:ascii="Garamond" w:hAnsi="Garamond"/>
          <w:sz w:val="24"/>
          <w:szCs w:val="24"/>
        </w:rPr>
        <w:t>main analysis is from an EPA meta-analysis</w:t>
      </w:r>
      <w:r w:rsidR="00EE05A6" w:rsidRPr="006704E2">
        <w:rPr>
          <w:rFonts w:ascii="Garamond" w:hAnsi="Garamond"/>
          <w:sz w:val="24"/>
          <w:szCs w:val="24"/>
        </w:rPr>
        <w:t xml:space="preserve"> </w:t>
      </w:r>
      <w:r w:rsidR="00EE05A6" w:rsidRPr="006704E2">
        <w:rPr>
          <w:rFonts w:ascii="Garamond" w:hAnsi="Garamond"/>
          <w:sz w:val="24"/>
          <w:szCs w:val="24"/>
        </w:rPr>
        <w:fldChar w:fldCharType="begin" w:fldLock="1"/>
      </w:r>
      <w:r w:rsidR="00EE05A6" w:rsidRPr="006704E2">
        <w:rPr>
          <w:rFonts w:ascii="Garamond" w:hAnsi="Garamond"/>
          <w:sz w:val="24"/>
          <w:szCs w:val="24"/>
        </w:rPr>
        <w:instrText>ADDIN CSL_CITATION { "citationItems" : [ { "id" : "ITEM-1", "itemData" : { "abstract" : "Section 812 of the Clean Air Act Amendments of 1990 requires the Environmental Protection Agency (EPA) to periodically assess the effect of the Clean Air Act on the \" public health, economy, and environment of the United States, \" and to report the findings and results of its assessments to the Congress. Section 812 further directs EPA to evaluate the benefits and costs of the Clean Air Act's implementation, taking into consideration the Act's effects on public health, economic growth, the environment, employment, productivity, and the economy as a whole. This EPA Report to Congress presents the results and conclusions of the first section 812 assess\u00ad ment, a retrospective analysis of the benefits and costs of the Clean Air Act from 1970 to 1990. Future reports will detail the findings of prospective analyses of the benefits and costs of the Clean Air Act Amendments of 1990, as required by section 812. This retrospective analysis evaluates the benefits and costs of emissions controls imposed by the Clean Air Act and associated regulations. The focus is primarily on the criteria pollutants sulfur dioxide, nitrogen oxides, carbon monoxide, particulate matter, ozone, and lead since essential data were lacking for air toxics. To deter-mine the range and magnitude of effects of these pollutant emission reductions, EPA compared and contrasted two regulatory scenarios. The \" control scenario \" reflects the actual conditions resulting from the historical implementation of the 1970 and 1977 Clean Air Acts. In contrast, the \" no-control \" scenario reflects expected conditions under the assumption that, absent the passage of the 1970 Clean Air Act, the scope, form, and stringency of air pollution control programs would have remained as they were in 1970. The no-control scenario represents a hypothesized \" baseline \" against which to measure the effects of the Clean Air Act. The differences between the public health, air quality, and economic and environmental conditions resulting from these two scenarios represent the benefits and costs of the Act's implementation from 1970 to 1990.", "author" : [ { "dropping-particle" : "", "family" : "U.S. EPA", "given" : "", "non-dropping-particle" : "", "parse-names" : false, "suffix" : "" } ], "id" : "ITEM-1", "issued" : { "date-parts" : [ [ "1997" ] ] }, "title" : "The Benefits and Costs of the Clean Air Act, 1970 to 1990", "type" : "report" }, "uris" : [ "http://www.mendeley.com/documents/?uuid=e1584cd0-f46f-394e-a8d6-ba36a42f46c6" ] } ], "mendeley" : { "formattedCitation" : "(U.S. EPA 1997)", "plainTextFormattedCitation" : "(U.S. EPA 1997)", "previouslyFormattedCitation" : "(U.S. EPA 1997)" }, "properties" : { "noteIndex" : 10 }, "schema" : "https://github.com/citation-style-language/schema/raw/master/csl-citation.json" }</w:instrText>
      </w:r>
      <w:r w:rsidR="00EE05A6" w:rsidRPr="006704E2">
        <w:rPr>
          <w:rFonts w:ascii="Garamond" w:hAnsi="Garamond"/>
          <w:sz w:val="24"/>
          <w:szCs w:val="24"/>
        </w:rPr>
        <w:fldChar w:fldCharType="separate"/>
      </w:r>
      <w:r w:rsidR="00EE05A6" w:rsidRPr="006704E2">
        <w:rPr>
          <w:rFonts w:ascii="Garamond" w:hAnsi="Garamond"/>
          <w:noProof/>
          <w:sz w:val="24"/>
          <w:szCs w:val="24"/>
        </w:rPr>
        <w:t>(U.S. EPA 1997)</w:t>
      </w:r>
      <w:r w:rsidR="00EE05A6" w:rsidRPr="006704E2">
        <w:rPr>
          <w:rFonts w:ascii="Garamond" w:hAnsi="Garamond"/>
          <w:sz w:val="24"/>
          <w:szCs w:val="24"/>
        </w:rPr>
        <w:fldChar w:fldCharType="end"/>
      </w:r>
      <w:r w:rsidRPr="006704E2">
        <w:rPr>
          <w:rFonts w:ascii="Garamond" w:hAnsi="Garamond"/>
          <w:sz w:val="24"/>
          <w:szCs w:val="24"/>
        </w:rPr>
        <w:t xml:space="preserve"> although various other, updated VSL estimates are also used to check the results. It is not yet certain how VSL changes by age groups</w:t>
      </w:r>
      <w:r w:rsidR="00EE05A6" w:rsidRPr="006704E2">
        <w:rPr>
          <w:rFonts w:ascii="Garamond" w:hAnsi="Garamond"/>
          <w:sz w:val="24"/>
          <w:szCs w:val="24"/>
        </w:rPr>
        <w:t xml:space="preserve"> </w:t>
      </w:r>
      <w:r w:rsidR="00EE05A6" w:rsidRPr="006704E2">
        <w:rPr>
          <w:rFonts w:ascii="Garamond" w:hAnsi="Garamond"/>
          <w:sz w:val="24"/>
          <w:szCs w:val="24"/>
        </w:rPr>
        <w:fldChar w:fldCharType="begin" w:fldLock="1"/>
      </w:r>
      <w:r w:rsidR="00970C2A" w:rsidRPr="006704E2">
        <w:rPr>
          <w:rFonts w:ascii="Garamond" w:hAnsi="Garamond"/>
          <w:sz w:val="24"/>
          <w:szCs w:val="24"/>
        </w:rPr>
        <w:instrText>ADDIN CSL_CITATION { "citationItems" : [ { "id" : "ITEM-1", "itemData" : { "abstract" : "Section 812 of the 1990 Clean Air Act Amendments requires the U.S. Environmental Protection Agency to develop periodic reports that estimate the benefits and costs of the Clean Air Act. The main goal of these reports is to provide Congress and the public with comprehensive, up-to-date, peer-reviewed information on the Clean Air Act's social benefits and costs, including improvements in human health, welfare, and ecological resources, as well as the impact of the Act's provisions on the US economy. This report is the third in the Section 812 series, and is the result of EPA's Second Prospective analysis of the 1990 Amendments. The Clean Air Act Amendments (CAAA) of 1990 augmented the significant progress made in improving the nation's air quality through the original Clean Air Act of 1970 and its 1977 amendments. The amendments built off the existing structure of the original Clean Air Act, but went beyond those requirements to tighten and clarify implementation goals and timing, increase the stringency of some federal requirements, revamp the hazardous air pollutant regulatory program, refine and streamline permitting requirements, and introduce new programs for the control of acid rain and stratospheric ozone depleters. The main purpose of this report is to document the costs and benefits of the 1990 CAAA provisions incremental to those costs and benefits achieved from implementing the original 1970 Clean Air Act and the 1977 amendments.", "author" : [ { "dropping-particle" : "", "family" : "US EPA Office of Air and Radiation", "given" : "", "non-dropping-particle" : "", "parse-names" : false, "suffix" : "" } ], "id" : "ITEM-1", "issue" : "April", "issued" : { "date-parts" : [ [ "2011" ] ] }, "title" : "The Benefits and Costs of the Clean Air Act from 1990 to 2020, Final Report, Revision A, April 2011", "type" : "article-journal" }, "uris" : [ "http://www.mendeley.com/documents/?uuid=ff84e870-8983-4b2a-af53-ceee4f69171c" ] } ], "mendeley" : { "formattedCitation" : "(US EPA Office of Air and Radiation 2011)", "manualFormatting" : "(U.S. EPA Office of Air and Radiation 2011)", "plainTextFormattedCitation" : "(US EPA Office of Air and Radiation 2011)", "previouslyFormattedCitation" : "(US EPA Office of Air and Radiation 2011)" }, "properties" : { "noteIndex" : 10 }, "schema" : "https://github.com/citation-style-language/schema/raw/master/csl-citation.json" }</w:instrText>
      </w:r>
      <w:r w:rsidR="00EE05A6" w:rsidRPr="006704E2">
        <w:rPr>
          <w:rFonts w:ascii="Garamond" w:hAnsi="Garamond"/>
          <w:sz w:val="24"/>
          <w:szCs w:val="24"/>
        </w:rPr>
        <w:fldChar w:fldCharType="separate"/>
      </w:r>
      <w:r w:rsidR="00EE05A6" w:rsidRPr="006704E2">
        <w:rPr>
          <w:rFonts w:ascii="Garamond" w:hAnsi="Garamond"/>
          <w:noProof/>
          <w:sz w:val="24"/>
          <w:szCs w:val="24"/>
        </w:rPr>
        <w:t>(U.S. EPA Office of Air and Radiation 2011)</w:t>
      </w:r>
      <w:r w:rsidR="00EE05A6" w:rsidRPr="006704E2">
        <w:rPr>
          <w:rFonts w:ascii="Garamond" w:hAnsi="Garamond"/>
          <w:sz w:val="24"/>
          <w:szCs w:val="24"/>
        </w:rPr>
        <w:fldChar w:fldCharType="end"/>
      </w:r>
      <w:r w:rsidRPr="006704E2">
        <w:rPr>
          <w:rFonts w:ascii="Garamond" w:hAnsi="Garamond"/>
          <w:sz w:val="24"/>
          <w:szCs w:val="24"/>
        </w:rPr>
        <w:t>. The VSL for elderly, for instance, have been shown to be</w:t>
      </w:r>
      <w:r w:rsidR="00EE05A6" w:rsidRPr="006704E2">
        <w:rPr>
          <w:rFonts w:ascii="Garamond" w:hAnsi="Garamond"/>
          <w:sz w:val="24"/>
          <w:szCs w:val="24"/>
        </w:rPr>
        <w:t xml:space="preserve"> both</w:t>
      </w:r>
      <w:r w:rsidRPr="006704E2">
        <w:rPr>
          <w:rFonts w:ascii="Garamond" w:hAnsi="Garamond"/>
          <w:sz w:val="24"/>
          <w:szCs w:val="24"/>
        </w:rPr>
        <w:t xml:space="preserve"> lower and higher than population average</w:t>
      </w:r>
      <w:r w:rsidR="00970C2A" w:rsidRPr="006704E2">
        <w:rPr>
          <w:rFonts w:ascii="Garamond" w:hAnsi="Garamond"/>
          <w:sz w:val="24"/>
          <w:szCs w:val="24"/>
        </w:rPr>
        <w:t xml:space="preserve"> </w:t>
      </w:r>
      <w:r w:rsidR="00970C2A" w:rsidRPr="006704E2">
        <w:rPr>
          <w:rFonts w:ascii="Garamond" w:hAnsi="Garamond"/>
          <w:sz w:val="24"/>
          <w:szCs w:val="24"/>
        </w:rPr>
        <w:fldChar w:fldCharType="begin" w:fldLock="1"/>
      </w:r>
      <w:r w:rsidR="00B86E44" w:rsidRPr="006704E2">
        <w:rPr>
          <w:rFonts w:ascii="Garamond" w:hAnsi="Garamond"/>
          <w:sz w:val="24"/>
          <w:szCs w:val="24"/>
        </w:rPr>
        <w:instrText>ADDIN CSL_CITATION { "citationItems" : [ { "id" : "ITEM-1", "itemData" : { "DOI" : "10.1093/reep/rem015", "ISBN" : "1750-6816", "ISSN" : "1750-6816", "abstract" : "This paper provides theoretical background for a symposium on whether the monetary value of changes in mortality risk resulting from environmental policy is best summarized in terms of a value per statistical life' (VSL) or value per statistical life-year' (VSLY). The relationship between VSL and VSLY may be clarified by recognizing that any change in an individual's mortality risk can be described by a corresponding shift in her survival curve, which can be summarized by the expected number of lives saved (as a function of time or within a specified time period) or by the expected number of life-years saved. An individual's willingness to pay (WTP) for a shift in her survival curve can be summarized by her average VSL or VSLY for that change. Economic theory suggests that both VSL and VSLY may depend on the individual's initial survival curve, characteristics of the shift, and individual characteristics such as health and income. Neither VSL nor VSLY is likely to be constant across changes in mortality risk. Hence, accurate valuation requires the use of scenario-specific values. The choice between VSL and VSLY summary measures is largely one of convenience.", "author" : [ { "dropping-particle" : "", "family" : "Hammitt", "given" : "J. K.", "non-dropping-particle" : "", "parse-names" : false, "suffix" : "" } ], "container-title" : "Review of Environmental Economics and Policy", "id" : "ITEM-1", "issue" : "2", "issued" : { "date-parts" : [ [ "2007" ] ] }, "page" : "228-240", "title" : "Valuing Changes in Mortality Risk: Lives Saved Versus Life Years Saved", "type" : "article-journal", "volume" : "1" }, "uris" : [ "http://www.mendeley.com/documents/?uuid=537c15ea-1971-371a-8825-55d5a5e59244" ] }, { "id" : "ITEM-2", "itemData" : { "abstract" : "The value of preventing a fatality or (saving) a statistical life is an important question in health economics as well as environmental economics. This paper adds new insights to several of the issues discussed in the literature. It is shown that the conventional way of measuring the value of a statistical life yields a biased estimate, in general. The major exception is the case where the estimate can be based on an infinitely short drop in the hazard rate. This is so in both life cycle models with and without actuarially fair annuities. Moreover, the claim that there are strong theoretical reasons for believing that the value of statistical life declines with age is shown to be wrong.", "author" : [ { "dropping-particle" : "", "family" : "Johansson", "given" : "P O", "non-dropping-particle" : "", "parse-names" : false, "suffix" : "" } ], "container-title" : "University of Milan.Fifth Milan European Economy Workshop", "id" : "ITEM-2", "issued" : { "date-parts" : [ [ "2006" ] ] }, "page" : "251-263", "title" : "On the Definition and Estimation of the Value of a 'statistical life'. Working paper.", "type" : "article-journal" }, "uris" : [ "http://www.mendeley.com/documents/?uuid=bbed166a-abd3-3a7f-93fa-3df6f84a7cf9" ] }, { "id" : "ITEM-3", "itemData" : { "DOI" : "10.1093/reep/rem014", "ISBN" : "2029393460", "ISSN" : "1750-6816", "abstract" : "Revealed preference evidence, especially based on wage-risk tradeoffs in the labor market, provides the primary empirical basis for analyses of the value of statistical life (VSL). This market evidence also provides guidance on how VSL varies with age. While labor market studies have generated conflicting evidence--some showing that VSL rises with age and others showing that VSL declines with age--more refined estimates that take into account the age variation in job fatality risks or life-cycle patterns of consumption show an inverted U relation between the VSL and age. The value of a statistical life-year shows a similar pattern and is not time-invariant. Applying estimates of the VSL-age relationship to an analysis of the Clear Skies initiative illustrates the implications of recognizing the age-VSL relationship.", "author" : [ { "dropping-particle" : "", "family" : "Aldy", "given" : "J. E.", "non-dropping-particle" : "", "parse-names" : false, "suffix" : "" }, { "dropping-particle" : "", "family" : "Viscusi", "given" : "W. K.", "non-dropping-particle" : "", "parse-names" : false, "suffix" : "" } ], "container-title" : "Review of Environmental Economics and Policy", "id" : "ITEM-3", "issue" : "2", "issued" : { "date-parts" : [ [ "2007" ] ] }, "page" : "241-260", "title" : "Age Differences in the Value of Statistical Life: Revealed Preference Evidence", "type" : "article-journal", "volume" : "1" }, "uris" : [ "http://www.mendeley.com/documents/?uuid=e12cbda6-2363-3550-967f-2938e5ba9fba" ] } ], "mendeley" : { "formattedCitation" : "(Aldy and Viscusi 2007; Hammitt 2007; Johansson 2006)", "plainTextFormattedCitation" : "(Aldy and Viscusi 2007; Hammitt 2007; Johansson 2006)", "previouslyFormattedCitation" : "(Aldy and Viscusi 2007; Hammitt 2007; Johansson 2006)" }, "properties" : { "noteIndex" : 10 }, "schema" : "https://github.com/citation-style-language/schema/raw/master/csl-citation.json" }</w:instrText>
      </w:r>
      <w:r w:rsidR="00970C2A" w:rsidRPr="006704E2">
        <w:rPr>
          <w:rFonts w:ascii="Garamond" w:hAnsi="Garamond"/>
          <w:sz w:val="24"/>
          <w:szCs w:val="24"/>
        </w:rPr>
        <w:fldChar w:fldCharType="separate"/>
      </w:r>
      <w:r w:rsidR="00970C2A" w:rsidRPr="006704E2">
        <w:rPr>
          <w:rFonts w:ascii="Garamond" w:hAnsi="Garamond"/>
          <w:noProof/>
          <w:sz w:val="24"/>
          <w:szCs w:val="24"/>
        </w:rPr>
        <w:t>(Aldy and Viscusi 2007; Hammitt 2007; Johansson 2006)</w:t>
      </w:r>
      <w:r w:rsidR="00970C2A" w:rsidRPr="006704E2">
        <w:rPr>
          <w:rFonts w:ascii="Garamond" w:hAnsi="Garamond"/>
          <w:sz w:val="24"/>
          <w:szCs w:val="24"/>
        </w:rPr>
        <w:fldChar w:fldCharType="end"/>
      </w:r>
      <w:r w:rsidRPr="006704E2">
        <w:rPr>
          <w:rFonts w:ascii="Garamond" w:hAnsi="Garamond"/>
          <w:sz w:val="24"/>
          <w:szCs w:val="24"/>
        </w:rPr>
        <w:t xml:space="preserve">. </w:t>
      </w:r>
      <w:r w:rsidR="00EE05A6" w:rsidRPr="006704E2">
        <w:rPr>
          <w:rFonts w:ascii="Garamond" w:hAnsi="Garamond"/>
          <w:sz w:val="24"/>
          <w:szCs w:val="24"/>
        </w:rPr>
        <w:t>In this study</w:t>
      </w:r>
      <w:r w:rsidRPr="006704E2">
        <w:rPr>
          <w:rFonts w:ascii="Garamond" w:hAnsi="Garamond"/>
          <w:sz w:val="24"/>
          <w:szCs w:val="24"/>
        </w:rPr>
        <w:t xml:space="preserve">, VSL does not </w:t>
      </w:r>
      <w:r w:rsidR="00EE05A6" w:rsidRPr="006704E2">
        <w:rPr>
          <w:rFonts w:ascii="Garamond" w:hAnsi="Garamond"/>
          <w:sz w:val="24"/>
          <w:szCs w:val="24"/>
        </w:rPr>
        <w:t>vary by age</w:t>
      </w:r>
      <w:r w:rsidRPr="006704E2">
        <w:rPr>
          <w:rFonts w:ascii="Garamond" w:hAnsi="Garamond"/>
          <w:sz w:val="24"/>
          <w:szCs w:val="24"/>
        </w:rPr>
        <w:t xml:space="preserve">. The </w:t>
      </w:r>
      <w:proofErr w:type="spellStart"/>
      <w:r w:rsidRPr="006704E2">
        <w:rPr>
          <w:rFonts w:ascii="Garamond" w:hAnsi="Garamond"/>
          <w:sz w:val="24"/>
          <w:szCs w:val="24"/>
        </w:rPr>
        <w:t>BenMAP</w:t>
      </w:r>
      <w:proofErr w:type="spellEnd"/>
      <w:r w:rsidRPr="006704E2">
        <w:rPr>
          <w:rFonts w:ascii="Garamond" w:hAnsi="Garamond"/>
          <w:sz w:val="24"/>
          <w:szCs w:val="24"/>
        </w:rPr>
        <w:t xml:space="preserve"> (Environmental benefits Mapping and Analysis Program - Community Edition) uses an </w:t>
      </w:r>
      <m:oMath>
        <m:r>
          <w:rPr>
            <w:rFonts w:ascii="Cambria Math" w:hAnsi="Cambria Math"/>
            <w:sz w:val="24"/>
            <w:szCs w:val="24"/>
          </w:rPr>
          <m:t>η</m:t>
        </m:r>
      </m:oMath>
      <w:r w:rsidR="00DD560B" w:rsidRPr="006704E2">
        <w:rPr>
          <w:rFonts w:ascii="Garamond" w:hAnsi="Garamond"/>
          <w:sz w:val="24"/>
          <w:szCs w:val="24"/>
        </w:rPr>
        <w:t xml:space="preserve"> </w:t>
      </w:r>
      <w:r w:rsidRPr="006704E2">
        <w:rPr>
          <w:rFonts w:ascii="Garamond" w:hAnsi="Garamond"/>
          <w:sz w:val="24"/>
          <w:szCs w:val="24"/>
        </w:rPr>
        <w:t>with central estimate of 0.4 for Premature Mortality</w:t>
      </w:r>
      <w:r w:rsidR="00970C2A" w:rsidRPr="006704E2">
        <w:rPr>
          <w:rFonts w:ascii="Garamond" w:hAnsi="Garamond"/>
          <w:sz w:val="24"/>
          <w:szCs w:val="24"/>
        </w:rPr>
        <w:t xml:space="preserve"> </w:t>
      </w:r>
      <w:r w:rsidR="00970C2A" w:rsidRPr="006704E2">
        <w:rPr>
          <w:rFonts w:ascii="Garamond" w:hAnsi="Garamond"/>
          <w:sz w:val="24"/>
          <w:szCs w:val="24"/>
        </w:rPr>
        <w:fldChar w:fldCharType="begin" w:fldLock="1"/>
      </w:r>
      <w:r w:rsidR="00B86E44" w:rsidRPr="006704E2">
        <w:rPr>
          <w:rFonts w:ascii="Garamond" w:hAnsi="Garamond"/>
          <w:sz w:val="24"/>
          <w:szCs w:val="24"/>
        </w:rPr>
        <w:instrText>ADDIN CSL_CITATION { "citationItems" : [ { "id" : "ITEM-1", "itemData" : { "abstract" : "Information on the Environmental Benefits Mapping and Analysis Program (BenMAP)", "author" : [ { "dropping-particle" : "", "family" : "RTI International", "given" : "", "non-dropping-particle" : "", "parse-names" : false, "suffix" : "" } ], "container-title" : "User Manual prepared for the Office of Air Quality Planning and Standards", "id" : "ITEM-1", "issue" : "March", "issued" : { "date-parts" : [ [ "2015" ] ] }, "number-of-pages" : "213", "title" : "Environmental Benefits Mapping and Analysis Program - Community Edition.", "type" : "book" }, "uris" : [ "http://www.mendeley.com/documents/?uuid=b7b421aa-c763-389c-b71c-5d50729e3196" ] } ], "mendeley" : { "formattedCitation" : "(RTI International 2015)", "plainTextFormattedCitation" : "(RTI International 2015)", "previouslyFormattedCitation" : "(RTI International 2015)" }, "properties" : { "noteIndex" : 10 }, "schema" : "https://github.com/citation-style-language/schema/raw/master/csl-citation.json" }</w:instrText>
      </w:r>
      <w:r w:rsidR="00970C2A" w:rsidRPr="006704E2">
        <w:rPr>
          <w:rFonts w:ascii="Garamond" w:hAnsi="Garamond"/>
          <w:sz w:val="24"/>
          <w:szCs w:val="24"/>
        </w:rPr>
        <w:fldChar w:fldCharType="separate"/>
      </w:r>
      <w:r w:rsidR="00970C2A" w:rsidRPr="006704E2">
        <w:rPr>
          <w:rFonts w:ascii="Garamond" w:hAnsi="Garamond"/>
          <w:noProof/>
          <w:sz w:val="24"/>
          <w:szCs w:val="24"/>
        </w:rPr>
        <w:t>(RTI International 2015)</w:t>
      </w:r>
      <w:r w:rsidR="00970C2A" w:rsidRPr="006704E2">
        <w:rPr>
          <w:rFonts w:ascii="Garamond" w:hAnsi="Garamond"/>
          <w:sz w:val="24"/>
          <w:szCs w:val="24"/>
        </w:rPr>
        <w:fldChar w:fldCharType="end"/>
      </w:r>
      <w:r w:rsidRPr="006704E2">
        <w:rPr>
          <w:rFonts w:ascii="Garamond" w:hAnsi="Garamond"/>
          <w:sz w:val="24"/>
          <w:szCs w:val="24"/>
        </w:rPr>
        <w:t>. Thi</w:t>
      </w:r>
      <w:r w:rsidR="00B86E44" w:rsidRPr="006704E2">
        <w:rPr>
          <w:rFonts w:ascii="Garamond" w:hAnsi="Garamond"/>
          <w:sz w:val="24"/>
          <w:szCs w:val="24"/>
        </w:rPr>
        <w:t>s value is adopted by our study since we believe</w:t>
      </w:r>
      <w:r w:rsidRPr="006704E2">
        <w:rPr>
          <w:rFonts w:ascii="Garamond" w:hAnsi="Garamond"/>
          <w:sz w:val="24"/>
          <w:szCs w:val="24"/>
        </w:rPr>
        <w:t xml:space="preserve"> a Statistical Life is a normal good - an increase in income will lead to a rise in demand. However, we are also aware that some recent studies have provided drastic different estimations </w:t>
      </w:r>
      <w:r w:rsidR="00DD560B" w:rsidRPr="006704E2">
        <w:rPr>
          <w:rFonts w:ascii="Garamond" w:hAnsi="Garamond"/>
          <w:sz w:val="24"/>
          <w:szCs w:val="24"/>
        </w:rPr>
        <w:t xml:space="preserve">for </w:t>
      </w:r>
      <m:oMath>
        <m:r>
          <w:rPr>
            <w:rFonts w:ascii="Cambria Math" w:hAnsi="Cambria Math"/>
            <w:sz w:val="24"/>
            <w:szCs w:val="24"/>
          </w:rPr>
          <m:t>η</m:t>
        </m:r>
      </m:oMath>
      <w:r w:rsidR="00DD560B" w:rsidRPr="006704E2">
        <w:rPr>
          <w:rFonts w:ascii="Garamond" w:hAnsi="Garamond"/>
          <w:sz w:val="24"/>
          <w:szCs w:val="24"/>
        </w:rPr>
        <w:t xml:space="preserve">. </w:t>
      </w:r>
      <w:r w:rsidRPr="006704E2">
        <w:rPr>
          <w:rFonts w:ascii="Garamond" w:hAnsi="Garamond"/>
          <w:sz w:val="24"/>
          <w:szCs w:val="24"/>
        </w:rPr>
        <w:t xml:space="preserve">For instance, </w:t>
      </w:r>
      <w:r w:rsidR="00B86E44" w:rsidRPr="006704E2">
        <w:rPr>
          <w:rFonts w:ascii="Garamond" w:hAnsi="Garamond"/>
          <w:sz w:val="24"/>
          <w:szCs w:val="24"/>
        </w:rPr>
        <w:fldChar w:fldCharType="begin" w:fldLock="1"/>
      </w:r>
      <w:r w:rsidR="00481A40" w:rsidRPr="006704E2">
        <w:rPr>
          <w:rFonts w:ascii="Garamond" w:hAnsi="Garamond"/>
          <w:sz w:val="24"/>
          <w:szCs w:val="24"/>
        </w:rPr>
        <w:instrText>ADDIN CSL_CITATION { "citationItems" : [ { "id" : "ITEM-1", "itemData" : { "DOI" : "10.1007/s11166-009-9084-y", "ISSN" : "08955646", "abstract" : "We examine differences in the value of statistical life (VSL) across potential wage levels in panel data using quantile regressions with intercept heterogeneity. Latent heterogeneity is econometrically important and affects the estimated VSL. Our findings indicate that a reasonable average cost per expected life saved cut-off for health and safety regulations is $7 million to $8 million per life saved, but the VSL varies considerably across the labor force. Our results reconcile the previous discrepancies between hedonic VSL estimates and the values implied by theories linked to the coefficient of relative risk aversion. Because the VSL varies elastically with income, regulatory agencies should regularly update the VSL used in benefit assessments, increasing the VSL proportionally with changes in income over time.", "author" : [ { "dropping-particle" : "", "family" : "Kniesner", "given" : "Thomas J", "non-dropping-particle" : "", "parse-names" : false, "suffix" : "" }, { "dropping-particle" : "", "family" : "Viscusi", "given" : "W Kip", "non-dropping-particle" : "", "parse-names" : false, "suffix" : "" }, { "dropping-particle" : "", "family" : "Ziliak", "given" : "James P", "non-dropping-particle" : "", "parse-names" : false, "suffix" : "" } ], "container-title" : "Journal of Risk and Uncertainty", "id" : "ITEM-1", "issue" : "1", "issued" : { "date-parts" : [ [ "2010" ] ] }, "page" : "15-31", "title" : "Policy relevant heterogeneity in the value of statistical life: New evidence from panel data quantile regressions", "type" : "article-journal", "volume" : "40" }, "uris" : [ "http://www.mendeley.com/documents/?uuid=7fccf869-d085-3dbd-a7f2-857ff4485ef3" ] } ], "mendeley" : { "formattedCitation" : "(Kniesner et al. 2010)", "manualFormatting" : "Kniesner et al. (2010)", "plainTextFormattedCitation" : "(Kniesner et al. 2010)", "previouslyFormattedCitation" : "(Kniesner et al. 2010)" }, "properties" : { "noteIndex" : 10 }, "schema" : "https://github.com/citation-style-language/schema/raw/master/csl-citation.json" }</w:instrText>
      </w:r>
      <w:r w:rsidR="00B86E44" w:rsidRPr="006704E2">
        <w:rPr>
          <w:rFonts w:ascii="Garamond" w:hAnsi="Garamond"/>
          <w:sz w:val="24"/>
          <w:szCs w:val="24"/>
        </w:rPr>
        <w:fldChar w:fldCharType="separate"/>
      </w:r>
      <w:r w:rsidR="00B86E44" w:rsidRPr="006704E2">
        <w:rPr>
          <w:rFonts w:ascii="Garamond" w:hAnsi="Garamond"/>
          <w:noProof/>
          <w:sz w:val="24"/>
          <w:szCs w:val="24"/>
        </w:rPr>
        <w:t>Kniesner et al. (2010)</w:t>
      </w:r>
      <w:r w:rsidR="00B86E44" w:rsidRPr="006704E2">
        <w:rPr>
          <w:rFonts w:ascii="Garamond" w:hAnsi="Garamond"/>
          <w:sz w:val="24"/>
          <w:szCs w:val="24"/>
        </w:rPr>
        <w:fldChar w:fldCharType="end"/>
      </w:r>
      <w:r w:rsidRPr="006704E2">
        <w:rPr>
          <w:rFonts w:ascii="Garamond" w:hAnsi="Garamond"/>
          <w:sz w:val="24"/>
          <w:szCs w:val="24"/>
        </w:rPr>
        <w:t xml:space="preserve"> has shown income </w:t>
      </w:r>
      <w:r w:rsidRPr="006704E2">
        <w:rPr>
          <w:rFonts w:ascii="Garamond" w:hAnsi="Garamond"/>
          <w:sz w:val="24"/>
          <w:szCs w:val="24"/>
        </w:rPr>
        <w:lastRenderedPageBreak/>
        <w:t xml:space="preserve">elasticity ranging from 2.24 at low incomes to 1.23 at high incomes. With values greater than 1, studies like this </w:t>
      </w:r>
      <w:r w:rsidR="00B86E44" w:rsidRPr="006704E2">
        <w:rPr>
          <w:rFonts w:ascii="Garamond" w:hAnsi="Garamond"/>
          <w:sz w:val="24"/>
          <w:szCs w:val="24"/>
        </w:rPr>
        <w:t>have shown that</w:t>
      </w:r>
      <w:r w:rsidRPr="006704E2">
        <w:rPr>
          <w:rFonts w:ascii="Garamond" w:hAnsi="Garamond"/>
          <w:sz w:val="24"/>
          <w:szCs w:val="24"/>
        </w:rPr>
        <w:t xml:space="preserve"> statistical life </w:t>
      </w:r>
      <w:r w:rsidR="00B86E44" w:rsidRPr="006704E2">
        <w:rPr>
          <w:rFonts w:ascii="Garamond" w:hAnsi="Garamond"/>
          <w:sz w:val="24"/>
          <w:szCs w:val="24"/>
        </w:rPr>
        <w:t>could</w:t>
      </w:r>
      <w:r w:rsidRPr="006704E2">
        <w:rPr>
          <w:rFonts w:ascii="Garamond" w:hAnsi="Garamond"/>
          <w:sz w:val="24"/>
          <w:szCs w:val="24"/>
        </w:rPr>
        <w:t xml:space="preserve"> be considered a luxury good.</w:t>
      </w:r>
    </w:p>
    <w:p w14:paraId="43DA2FC9" w14:textId="00B35562" w:rsidR="00B86E44" w:rsidRPr="006704E2" w:rsidRDefault="00B86E44" w:rsidP="00E95826">
      <w:pPr>
        <w:spacing w:line="480" w:lineRule="auto"/>
        <w:ind w:left="720"/>
        <w:rPr>
          <w:rFonts w:ascii="Garamond" w:hAnsi="Garamond"/>
          <w:sz w:val="24"/>
          <w:szCs w:val="24"/>
        </w:rPr>
      </w:pPr>
      <w:r w:rsidRPr="006704E2">
        <w:rPr>
          <w:rFonts w:ascii="Garamond" w:hAnsi="Garamond"/>
          <w:sz w:val="24"/>
          <w:szCs w:val="24"/>
        </w:rPr>
        <w:tab/>
        <w:t>Using the parameters discussed, the following sections estimate the VSL in the context of this study, and then provide the mortality costs estimates based on EPA as well as updated VSL values.</w:t>
      </w:r>
    </w:p>
    <w:p w14:paraId="13B506BD" w14:textId="6715A14F" w:rsidR="001F2B9B" w:rsidRPr="006704E2" w:rsidRDefault="00B86E44" w:rsidP="00B86E44">
      <w:pPr>
        <w:rPr>
          <w:rFonts w:ascii="Garamond" w:hAnsi="Garamond"/>
          <w:sz w:val="24"/>
          <w:szCs w:val="24"/>
        </w:rPr>
      </w:pPr>
      <w:r w:rsidRPr="006704E2">
        <w:rPr>
          <w:rFonts w:ascii="Garamond" w:hAnsi="Garamond"/>
          <w:sz w:val="24"/>
          <w:szCs w:val="24"/>
        </w:rPr>
        <w:br w:type="page"/>
      </w:r>
    </w:p>
    <w:p w14:paraId="0828DEBE" w14:textId="77777777" w:rsidR="001F2B9B" w:rsidRPr="006704E2" w:rsidRDefault="001F2B9B" w:rsidP="00597B56">
      <w:pPr>
        <w:pStyle w:val="Heading3"/>
        <w:numPr>
          <w:ilvl w:val="2"/>
          <w:numId w:val="17"/>
        </w:numPr>
        <w:ind w:firstLine="0"/>
        <w:rPr>
          <w:rFonts w:ascii="Garamond" w:hAnsi="Garamond"/>
          <w:color w:val="auto"/>
        </w:rPr>
      </w:pPr>
      <w:bookmarkStart w:id="12" w:name="_Toc392863188"/>
      <w:r w:rsidRPr="006704E2">
        <w:rPr>
          <w:rFonts w:ascii="Garamond" w:hAnsi="Garamond"/>
          <w:color w:val="auto"/>
        </w:rPr>
        <w:lastRenderedPageBreak/>
        <w:t>Consumer Price Index</w:t>
      </w:r>
      <w:bookmarkEnd w:id="12"/>
    </w:p>
    <w:tbl>
      <w:tblPr>
        <w:tblW w:w="2023" w:type="dxa"/>
        <w:jc w:val="center"/>
        <w:tblLook w:val="04A0" w:firstRow="1" w:lastRow="0" w:firstColumn="1" w:lastColumn="0" w:noHBand="0" w:noVBand="1"/>
      </w:tblPr>
      <w:tblGrid>
        <w:gridCol w:w="960"/>
        <w:gridCol w:w="1063"/>
      </w:tblGrid>
      <w:tr w:rsidR="001F2B9B" w:rsidRPr="006704E2" w14:paraId="1D5456D6" w14:textId="77777777" w:rsidTr="005944A0">
        <w:trPr>
          <w:trHeight w:val="300"/>
          <w:jc w:val="center"/>
        </w:trPr>
        <w:tc>
          <w:tcPr>
            <w:tcW w:w="960" w:type="dxa"/>
            <w:tcBorders>
              <w:top w:val="nil"/>
              <w:left w:val="nil"/>
              <w:bottom w:val="single" w:sz="4" w:space="0" w:color="auto"/>
              <w:right w:val="nil"/>
            </w:tcBorders>
            <w:shd w:val="clear" w:color="auto" w:fill="auto"/>
            <w:noWrap/>
            <w:vAlign w:val="center"/>
            <w:hideMark/>
          </w:tcPr>
          <w:p w14:paraId="22F5DC77"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Year</w:t>
            </w:r>
          </w:p>
        </w:tc>
        <w:tc>
          <w:tcPr>
            <w:tcW w:w="1063" w:type="dxa"/>
            <w:tcBorders>
              <w:top w:val="nil"/>
              <w:left w:val="nil"/>
              <w:bottom w:val="single" w:sz="4" w:space="0" w:color="auto"/>
              <w:right w:val="nil"/>
            </w:tcBorders>
            <w:shd w:val="clear" w:color="auto" w:fill="auto"/>
            <w:noWrap/>
            <w:vAlign w:val="center"/>
            <w:hideMark/>
          </w:tcPr>
          <w:p w14:paraId="4D1798F9"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CPI</w:t>
            </w:r>
          </w:p>
        </w:tc>
      </w:tr>
      <w:tr w:rsidR="001F2B9B" w:rsidRPr="006704E2" w14:paraId="71A6980F" w14:textId="77777777" w:rsidTr="005944A0">
        <w:trPr>
          <w:trHeight w:val="300"/>
          <w:jc w:val="center"/>
        </w:trPr>
        <w:tc>
          <w:tcPr>
            <w:tcW w:w="960" w:type="dxa"/>
            <w:tcBorders>
              <w:top w:val="single" w:sz="4" w:space="0" w:color="auto"/>
              <w:left w:val="nil"/>
              <w:bottom w:val="nil"/>
              <w:right w:val="nil"/>
            </w:tcBorders>
            <w:shd w:val="clear" w:color="auto" w:fill="auto"/>
            <w:noWrap/>
            <w:vAlign w:val="center"/>
            <w:hideMark/>
          </w:tcPr>
          <w:p w14:paraId="47940311"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1990</w:t>
            </w:r>
          </w:p>
        </w:tc>
        <w:tc>
          <w:tcPr>
            <w:tcW w:w="1063" w:type="dxa"/>
            <w:tcBorders>
              <w:top w:val="single" w:sz="4" w:space="0" w:color="auto"/>
              <w:left w:val="nil"/>
              <w:bottom w:val="nil"/>
              <w:right w:val="nil"/>
            </w:tcBorders>
            <w:shd w:val="clear" w:color="auto" w:fill="auto"/>
            <w:noWrap/>
            <w:vAlign w:val="center"/>
            <w:hideMark/>
          </w:tcPr>
          <w:p w14:paraId="14468D47"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127</w:t>
            </w:r>
          </w:p>
        </w:tc>
      </w:tr>
      <w:tr w:rsidR="001F2B9B" w:rsidRPr="006704E2" w14:paraId="2B0949C7"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1F246B4A"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1991</w:t>
            </w:r>
          </w:p>
        </w:tc>
        <w:tc>
          <w:tcPr>
            <w:tcW w:w="1063" w:type="dxa"/>
            <w:tcBorders>
              <w:top w:val="nil"/>
              <w:left w:val="nil"/>
              <w:bottom w:val="nil"/>
              <w:right w:val="nil"/>
            </w:tcBorders>
            <w:shd w:val="clear" w:color="auto" w:fill="auto"/>
            <w:noWrap/>
            <w:vAlign w:val="center"/>
            <w:hideMark/>
          </w:tcPr>
          <w:p w14:paraId="5334C8D4"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130.4</w:t>
            </w:r>
          </w:p>
        </w:tc>
      </w:tr>
      <w:tr w:rsidR="001F2B9B" w:rsidRPr="006704E2" w14:paraId="17D7EDCA"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1E602C30"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1992</w:t>
            </w:r>
          </w:p>
        </w:tc>
        <w:tc>
          <w:tcPr>
            <w:tcW w:w="1063" w:type="dxa"/>
            <w:tcBorders>
              <w:top w:val="nil"/>
              <w:left w:val="nil"/>
              <w:bottom w:val="nil"/>
              <w:right w:val="nil"/>
            </w:tcBorders>
            <w:shd w:val="clear" w:color="auto" w:fill="auto"/>
            <w:noWrap/>
            <w:vAlign w:val="center"/>
            <w:hideMark/>
          </w:tcPr>
          <w:p w14:paraId="6A8BFF8E"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135</w:t>
            </w:r>
          </w:p>
        </w:tc>
      </w:tr>
      <w:tr w:rsidR="001F2B9B" w:rsidRPr="006704E2" w14:paraId="7D3D29A7"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51CA13E1"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1993</w:t>
            </w:r>
          </w:p>
        </w:tc>
        <w:tc>
          <w:tcPr>
            <w:tcW w:w="1063" w:type="dxa"/>
            <w:tcBorders>
              <w:top w:val="nil"/>
              <w:left w:val="nil"/>
              <w:bottom w:val="nil"/>
              <w:right w:val="nil"/>
            </w:tcBorders>
            <w:shd w:val="clear" w:color="auto" w:fill="auto"/>
            <w:noWrap/>
            <w:vAlign w:val="center"/>
            <w:hideMark/>
          </w:tcPr>
          <w:p w14:paraId="5069931A"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139.2</w:t>
            </w:r>
          </w:p>
        </w:tc>
      </w:tr>
      <w:tr w:rsidR="001F2B9B" w:rsidRPr="006704E2" w14:paraId="1CDFFC06"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2E73EA60"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1994</w:t>
            </w:r>
          </w:p>
        </w:tc>
        <w:tc>
          <w:tcPr>
            <w:tcW w:w="1063" w:type="dxa"/>
            <w:tcBorders>
              <w:top w:val="nil"/>
              <w:left w:val="nil"/>
              <w:bottom w:val="nil"/>
              <w:right w:val="nil"/>
            </w:tcBorders>
            <w:shd w:val="clear" w:color="auto" w:fill="auto"/>
            <w:noWrap/>
            <w:vAlign w:val="center"/>
            <w:hideMark/>
          </w:tcPr>
          <w:p w14:paraId="2FF31E59"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143.6</w:t>
            </w:r>
          </w:p>
        </w:tc>
      </w:tr>
      <w:tr w:rsidR="001F2B9B" w:rsidRPr="006704E2" w14:paraId="4F1AB3B2"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57D434CA"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1995</w:t>
            </w:r>
          </w:p>
        </w:tc>
        <w:tc>
          <w:tcPr>
            <w:tcW w:w="1063" w:type="dxa"/>
            <w:tcBorders>
              <w:top w:val="nil"/>
              <w:left w:val="nil"/>
              <w:bottom w:val="nil"/>
              <w:right w:val="nil"/>
            </w:tcBorders>
            <w:shd w:val="clear" w:color="auto" w:fill="auto"/>
            <w:noWrap/>
            <w:vAlign w:val="center"/>
            <w:hideMark/>
          </w:tcPr>
          <w:p w14:paraId="02FA1595"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147</w:t>
            </w:r>
          </w:p>
        </w:tc>
      </w:tr>
      <w:tr w:rsidR="001F2B9B" w:rsidRPr="006704E2" w14:paraId="5CBD74EF"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4E6C80D8"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1996</w:t>
            </w:r>
          </w:p>
        </w:tc>
        <w:tc>
          <w:tcPr>
            <w:tcW w:w="1063" w:type="dxa"/>
            <w:tcBorders>
              <w:top w:val="nil"/>
              <w:left w:val="nil"/>
              <w:bottom w:val="nil"/>
              <w:right w:val="nil"/>
            </w:tcBorders>
            <w:shd w:val="clear" w:color="auto" w:fill="auto"/>
            <w:noWrap/>
            <w:vAlign w:val="center"/>
            <w:hideMark/>
          </w:tcPr>
          <w:p w14:paraId="3397AC65"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151.9</w:t>
            </w:r>
          </w:p>
        </w:tc>
      </w:tr>
      <w:tr w:rsidR="001F2B9B" w:rsidRPr="006704E2" w14:paraId="45D3CC99"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6B3BD149"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1997</w:t>
            </w:r>
          </w:p>
        </w:tc>
        <w:tc>
          <w:tcPr>
            <w:tcW w:w="1063" w:type="dxa"/>
            <w:tcBorders>
              <w:top w:val="nil"/>
              <w:left w:val="nil"/>
              <w:bottom w:val="nil"/>
              <w:right w:val="nil"/>
            </w:tcBorders>
            <w:shd w:val="clear" w:color="auto" w:fill="auto"/>
            <w:noWrap/>
            <w:vAlign w:val="center"/>
            <w:hideMark/>
          </w:tcPr>
          <w:p w14:paraId="70D8BCE7"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155.4</w:t>
            </w:r>
          </w:p>
        </w:tc>
      </w:tr>
      <w:tr w:rsidR="001F2B9B" w:rsidRPr="006704E2" w14:paraId="08990036"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695CEBF6"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1998</w:t>
            </w:r>
          </w:p>
        </w:tc>
        <w:tc>
          <w:tcPr>
            <w:tcW w:w="1063" w:type="dxa"/>
            <w:tcBorders>
              <w:top w:val="nil"/>
              <w:left w:val="nil"/>
              <w:bottom w:val="nil"/>
              <w:right w:val="nil"/>
            </w:tcBorders>
            <w:shd w:val="clear" w:color="auto" w:fill="auto"/>
            <w:noWrap/>
            <w:vAlign w:val="center"/>
            <w:hideMark/>
          </w:tcPr>
          <w:p w14:paraId="2CD5292A"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158.3</w:t>
            </w:r>
          </w:p>
        </w:tc>
      </w:tr>
      <w:tr w:rsidR="001F2B9B" w:rsidRPr="006704E2" w14:paraId="5C4F9B66"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70A9C3D2"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1999</w:t>
            </w:r>
          </w:p>
        </w:tc>
        <w:tc>
          <w:tcPr>
            <w:tcW w:w="1063" w:type="dxa"/>
            <w:tcBorders>
              <w:top w:val="nil"/>
              <w:left w:val="nil"/>
              <w:bottom w:val="nil"/>
              <w:right w:val="nil"/>
            </w:tcBorders>
            <w:shd w:val="clear" w:color="auto" w:fill="auto"/>
            <w:noWrap/>
            <w:vAlign w:val="center"/>
            <w:hideMark/>
          </w:tcPr>
          <w:p w14:paraId="3BCA55F0"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163.3</w:t>
            </w:r>
          </w:p>
        </w:tc>
      </w:tr>
      <w:tr w:rsidR="001F2B9B" w:rsidRPr="006704E2" w14:paraId="128F9094"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75096F45"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2000</w:t>
            </w:r>
          </w:p>
        </w:tc>
        <w:tc>
          <w:tcPr>
            <w:tcW w:w="1063" w:type="dxa"/>
            <w:tcBorders>
              <w:top w:val="nil"/>
              <w:left w:val="nil"/>
              <w:bottom w:val="nil"/>
              <w:right w:val="nil"/>
            </w:tcBorders>
            <w:shd w:val="clear" w:color="auto" w:fill="auto"/>
            <w:noWrap/>
            <w:vAlign w:val="center"/>
            <w:hideMark/>
          </w:tcPr>
          <w:p w14:paraId="05FE9465"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170.1</w:t>
            </w:r>
          </w:p>
        </w:tc>
      </w:tr>
      <w:tr w:rsidR="001F2B9B" w:rsidRPr="006704E2" w14:paraId="52B5BC7C"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28AA45D9"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2001</w:t>
            </w:r>
          </w:p>
        </w:tc>
        <w:tc>
          <w:tcPr>
            <w:tcW w:w="1063" w:type="dxa"/>
            <w:tcBorders>
              <w:top w:val="nil"/>
              <w:left w:val="nil"/>
              <w:bottom w:val="nil"/>
              <w:right w:val="nil"/>
            </w:tcBorders>
            <w:shd w:val="clear" w:color="auto" w:fill="auto"/>
            <w:noWrap/>
            <w:vAlign w:val="center"/>
            <w:hideMark/>
          </w:tcPr>
          <w:p w14:paraId="274665A2"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176.5</w:t>
            </w:r>
          </w:p>
        </w:tc>
      </w:tr>
      <w:tr w:rsidR="001F2B9B" w:rsidRPr="006704E2" w14:paraId="7B12F2AC"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210CC993"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2002</w:t>
            </w:r>
          </w:p>
        </w:tc>
        <w:tc>
          <w:tcPr>
            <w:tcW w:w="1063" w:type="dxa"/>
            <w:tcBorders>
              <w:top w:val="nil"/>
              <w:left w:val="nil"/>
              <w:bottom w:val="nil"/>
              <w:right w:val="nil"/>
            </w:tcBorders>
            <w:shd w:val="clear" w:color="auto" w:fill="auto"/>
            <w:noWrap/>
            <w:vAlign w:val="center"/>
            <w:hideMark/>
          </w:tcPr>
          <w:p w14:paraId="029DCECB"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179.6</w:t>
            </w:r>
          </w:p>
        </w:tc>
      </w:tr>
      <w:tr w:rsidR="001F2B9B" w:rsidRPr="006704E2" w14:paraId="6A6E3EFC"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20F4A1C8"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2003</w:t>
            </w:r>
          </w:p>
        </w:tc>
        <w:tc>
          <w:tcPr>
            <w:tcW w:w="1063" w:type="dxa"/>
            <w:tcBorders>
              <w:top w:val="nil"/>
              <w:left w:val="nil"/>
              <w:bottom w:val="nil"/>
              <w:right w:val="nil"/>
            </w:tcBorders>
            <w:shd w:val="clear" w:color="auto" w:fill="auto"/>
            <w:noWrap/>
            <w:vAlign w:val="center"/>
            <w:hideMark/>
          </w:tcPr>
          <w:p w14:paraId="63EF326C"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182.7</w:t>
            </w:r>
          </w:p>
        </w:tc>
      </w:tr>
      <w:tr w:rsidR="001F2B9B" w:rsidRPr="006704E2" w14:paraId="0B49E337"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22733D03"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2004</w:t>
            </w:r>
          </w:p>
        </w:tc>
        <w:tc>
          <w:tcPr>
            <w:tcW w:w="1063" w:type="dxa"/>
            <w:tcBorders>
              <w:top w:val="nil"/>
              <w:left w:val="nil"/>
              <w:bottom w:val="nil"/>
              <w:right w:val="nil"/>
            </w:tcBorders>
            <w:shd w:val="clear" w:color="auto" w:fill="auto"/>
            <w:noWrap/>
            <w:vAlign w:val="center"/>
            <w:hideMark/>
          </w:tcPr>
          <w:p w14:paraId="39F87268"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187.9</w:t>
            </w:r>
          </w:p>
        </w:tc>
      </w:tr>
      <w:tr w:rsidR="001F2B9B" w:rsidRPr="006704E2" w14:paraId="38D7CDA9"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2C9E69E2"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2005</w:t>
            </w:r>
          </w:p>
        </w:tc>
        <w:tc>
          <w:tcPr>
            <w:tcW w:w="1063" w:type="dxa"/>
            <w:tcBorders>
              <w:top w:val="nil"/>
              <w:left w:val="nil"/>
              <w:bottom w:val="nil"/>
              <w:right w:val="nil"/>
            </w:tcBorders>
            <w:shd w:val="clear" w:color="auto" w:fill="auto"/>
            <w:noWrap/>
            <w:vAlign w:val="center"/>
            <w:hideMark/>
          </w:tcPr>
          <w:p w14:paraId="5450BFB8"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193.1</w:t>
            </w:r>
          </w:p>
        </w:tc>
      </w:tr>
      <w:tr w:rsidR="001F2B9B" w:rsidRPr="006704E2" w14:paraId="14D58C8C"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49F9A1BD"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2006</w:t>
            </w:r>
          </w:p>
        </w:tc>
        <w:tc>
          <w:tcPr>
            <w:tcW w:w="1063" w:type="dxa"/>
            <w:tcBorders>
              <w:top w:val="nil"/>
              <w:left w:val="nil"/>
              <w:bottom w:val="nil"/>
              <w:right w:val="nil"/>
            </w:tcBorders>
            <w:shd w:val="clear" w:color="auto" w:fill="auto"/>
            <w:noWrap/>
            <w:vAlign w:val="center"/>
            <w:hideMark/>
          </w:tcPr>
          <w:p w14:paraId="08BEA53B"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196.2</w:t>
            </w:r>
          </w:p>
        </w:tc>
      </w:tr>
      <w:tr w:rsidR="001F2B9B" w:rsidRPr="006704E2" w14:paraId="705F3C2A"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5F7D8E9B"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2007</w:t>
            </w:r>
          </w:p>
        </w:tc>
        <w:tc>
          <w:tcPr>
            <w:tcW w:w="1063" w:type="dxa"/>
            <w:tcBorders>
              <w:top w:val="nil"/>
              <w:left w:val="nil"/>
              <w:bottom w:val="nil"/>
              <w:right w:val="nil"/>
            </w:tcBorders>
            <w:shd w:val="clear" w:color="auto" w:fill="auto"/>
            <w:noWrap/>
            <w:vAlign w:val="center"/>
            <w:hideMark/>
          </w:tcPr>
          <w:p w14:paraId="6ED4AF8A"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201.247</w:t>
            </w:r>
          </w:p>
        </w:tc>
      </w:tr>
      <w:tr w:rsidR="001F2B9B" w:rsidRPr="006704E2" w14:paraId="4DF4C7F1"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1093FAFE"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2008</w:t>
            </w:r>
          </w:p>
        </w:tc>
        <w:tc>
          <w:tcPr>
            <w:tcW w:w="1063" w:type="dxa"/>
            <w:tcBorders>
              <w:top w:val="nil"/>
              <w:left w:val="nil"/>
              <w:bottom w:val="nil"/>
              <w:right w:val="nil"/>
            </w:tcBorders>
            <w:shd w:val="clear" w:color="auto" w:fill="auto"/>
            <w:noWrap/>
            <w:vAlign w:val="center"/>
            <w:hideMark/>
          </w:tcPr>
          <w:p w14:paraId="18108CC3"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208.958</w:t>
            </w:r>
          </w:p>
        </w:tc>
      </w:tr>
      <w:tr w:rsidR="001F2B9B" w:rsidRPr="006704E2" w14:paraId="6EB9DC2A"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42A73DBF"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2009</w:t>
            </w:r>
          </w:p>
        </w:tc>
        <w:tc>
          <w:tcPr>
            <w:tcW w:w="1063" w:type="dxa"/>
            <w:tcBorders>
              <w:top w:val="nil"/>
              <w:left w:val="nil"/>
              <w:bottom w:val="nil"/>
              <w:right w:val="nil"/>
            </w:tcBorders>
            <w:shd w:val="clear" w:color="auto" w:fill="auto"/>
            <w:noWrap/>
            <w:vAlign w:val="center"/>
            <w:hideMark/>
          </w:tcPr>
          <w:p w14:paraId="24F89005"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207.889</w:t>
            </w:r>
          </w:p>
        </w:tc>
      </w:tr>
      <w:tr w:rsidR="001F2B9B" w:rsidRPr="006704E2" w14:paraId="622F6733"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6B403AFB"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2010</w:t>
            </w:r>
          </w:p>
        </w:tc>
        <w:tc>
          <w:tcPr>
            <w:tcW w:w="1063" w:type="dxa"/>
            <w:tcBorders>
              <w:top w:val="nil"/>
              <w:left w:val="nil"/>
              <w:bottom w:val="nil"/>
              <w:right w:val="nil"/>
            </w:tcBorders>
            <w:shd w:val="clear" w:color="auto" w:fill="auto"/>
            <w:noWrap/>
            <w:vAlign w:val="center"/>
            <w:hideMark/>
          </w:tcPr>
          <w:p w14:paraId="1A23959D"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211.728</w:t>
            </w:r>
          </w:p>
        </w:tc>
      </w:tr>
      <w:tr w:rsidR="001F2B9B" w:rsidRPr="006704E2" w14:paraId="54123CCA"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4F96EE16"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2011</w:t>
            </w:r>
          </w:p>
        </w:tc>
        <w:tc>
          <w:tcPr>
            <w:tcW w:w="1063" w:type="dxa"/>
            <w:tcBorders>
              <w:top w:val="nil"/>
              <w:left w:val="nil"/>
              <w:bottom w:val="nil"/>
              <w:right w:val="nil"/>
            </w:tcBorders>
            <w:shd w:val="clear" w:color="auto" w:fill="auto"/>
            <w:noWrap/>
            <w:vAlign w:val="center"/>
            <w:hideMark/>
          </w:tcPr>
          <w:p w14:paraId="6C38A4AC"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219.339</w:t>
            </w:r>
          </w:p>
        </w:tc>
      </w:tr>
      <w:tr w:rsidR="001F2B9B" w:rsidRPr="006704E2" w14:paraId="2C818023"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5AB2F736"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2012</w:t>
            </w:r>
          </w:p>
        </w:tc>
        <w:tc>
          <w:tcPr>
            <w:tcW w:w="1063" w:type="dxa"/>
            <w:tcBorders>
              <w:top w:val="nil"/>
              <w:left w:val="nil"/>
              <w:bottom w:val="nil"/>
              <w:right w:val="nil"/>
            </w:tcBorders>
            <w:shd w:val="clear" w:color="auto" w:fill="auto"/>
            <w:noWrap/>
            <w:vAlign w:val="center"/>
            <w:hideMark/>
          </w:tcPr>
          <w:p w14:paraId="1EC2A6B0"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224.459</w:t>
            </w:r>
          </w:p>
        </w:tc>
      </w:tr>
      <w:tr w:rsidR="001F2B9B" w:rsidRPr="006704E2" w14:paraId="536565E1"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7F1D7C27"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2013</w:t>
            </w:r>
          </w:p>
        </w:tc>
        <w:tc>
          <w:tcPr>
            <w:tcW w:w="1063" w:type="dxa"/>
            <w:tcBorders>
              <w:top w:val="nil"/>
              <w:left w:val="nil"/>
              <w:bottom w:val="nil"/>
              <w:right w:val="nil"/>
            </w:tcBorders>
            <w:shd w:val="clear" w:color="auto" w:fill="auto"/>
            <w:noWrap/>
            <w:vAlign w:val="center"/>
            <w:hideMark/>
          </w:tcPr>
          <w:p w14:paraId="2930E246"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228.811</w:t>
            </w:r>
          </w:p>
        </w:tc>
      </w:tr>
      <w:tr w:rsidR="001F2B9B" w:rsidRPr="006704E2" w14:paraId="5A35BB33"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74024965"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2014</w:t>
            </w:r>
          </w:p>
        </w:tc>
        <w:tc>
          <w:tcPr>
            <w:tcW w:w="1063" w:type="dxa"/>
            <w:tcBorders>
              <w:top w:val="nil"/>
              <w:left w:val="nil"/>
              <w:bottom w:val="nil"/>
              <w:right w:val="nil"/>
            </w:tcBorders>
            <w:shd w:val="clear" w:color="auto" w:fill="auto"/>
            <w:noWrap/>
            <w:vAlign w:val="center"/>
            <w:hideMark/>
          </w:tcPr>
          <w:p w14:paraId="16C68DAC"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232.013</w:t>
            </w:r>
          </w:p>
        </w:tc>
      </w:tr>
      <w:tr w:rsidR="001F2B9B" w:rsidRPr="006704E2" w14:paraId="009660B7"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5A5B8AD0"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2015</w:t>
            </w:r>
          </w:p>
        </w:tc>
        <w:tc>
          <w:tcPr>
            <w:tcW w:w="1063" w:type="dxa"/>
            <w:tcBorders>
              <w:top w:val="nil"/>
              <w:left w:val="nil"/>
              <w:bottom w:val="nil"/>
              <w:right w:val="nil"/>
            </w:tcBorders>
            <w:shd w:val="clear" w:color="auto" w:fill="auto"/>
            <w:noWrap/>
            <w:vAlign w:val="center"/>
            <w:hideMark/>
          </w:tcPr>
          <w:p w14:paraId="04E92E00"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230.567</w:t>
            </w:r>
          </w:p>
        </w:tc>
      </w:tr>
      <w:tr w:rsidR="001F2B9B" w:rsidRPr="006704E2" w14:paraId="0131FEC4" w14:textId="77777777" w:rsidTr="005944A0">
        <w:trPr>
          <w:trHeight w:val="300"/>
          <w:jc w:val="center"/>
        </w:trPr>
        <w:tc>
          <w:tcPr>
            <w:tcW w:w="960" w:type="dxa"/>
            <w:tcBorders>
              <w:top w:val="nil"/>
              <w:left w:val="nil"/>
              <w:bottom w:val="nil"/>
              <w:right w:val="nil"/>
            </w:tcBorders>
            <w:shd w:val="clear" w:color="auto" w:fill="auto"/>
            <w:noWrap/>
            <w:vAlign w:val="center"/>
            <w:hideMark/>
          </w:tcPr>
          <w:p w14:paraId="2408EE20"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2016</w:t>
            </w:r>
          </w:p>
        </w:tc>
        <w:tc>
          <w:tcPr>
            <w:tcW w:w="1063" w:type="dxa"/>
            <w:tcBorders>
              <w:top w:val="nil"/>
              <w:left w:val="nil"/>
              <w:bottom w:val="nil"/>
              <w:right w:val="nil"/>
            </w:tcBorders>
            <w:shd w:val="clear" w:color="auto" w:fill="auto"/>
            <w:noWrap/>
            <w:vAlign w:val="center"/>
            <w:hideMark/>
          </w:tcPr>
          <w:p w14:paraId="05A40A76" w14:textId="77777777" w:rsidR="001F2B9B" w:rsidRPr="006704E2" w:rsidRDefault="001F2B9B" w:rsidP="001F2B9B">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234.145</w:t>
            </w:r>
          </w:p>
        </w:tc>
      </w:tr>
    </w:tbl>
    <w:p w14:paraId="76074F46" w14:textId="77777777" w:rsidR="005944A0" w:rsidRPr="006704E2" w:rsidRDefault="005944A0" w:rsidP="005944A0">
      <w:pPr>
        <w:pStyle w:val="ListParagraph"/>
        <w:spacing w:line="480" w:lineRule="auto"/>
        <w:rPr>
          <w:rFonts w:ascii="Garamond" w:hAnsi="Garamond"/>
          <w:sz w:val="24"/>
          <w:szCs w:val="24"/>
        </w:rPr>
      </w:pPr>
    </w:p>
    <w:p w14:paraId="6E5EC5B6" w14:textId="180DD824" w:rsidR="00E20007" w:rsidRPr="006704E2" w:rsidRDefault="005944A0" w:rsidP="00E95826">
      <w:pPr>
        <w:pStyle w:val="ListParagraph"/>
        <w:spacing w:line="480" w:lineRule="auto"/>
        <w:rPr>
          <w:rFonts w:ascii="Garamond" w:hAnsi="Garamond"/>
          <w:sz w:val="24"/>
          <w:szCs w:val="24"/>
        </w:rPr>
      </w:pPr>
      <w:r w:rsidRPr="006704E2">
        <w:rPr>
          <w:rFonts w:ascii="Garamond" w:hAnsi="Garamond"/>
          <w:sz w:val="24"/>
          <w:szCs w:val="24"/>
        </w:rPr>
        <w:t xml:space="preserve">The Consumer Price Index (CPI) </w:t>
      </w:r>
      <w:r w:rsidR="00432AA3" w:rsidRPr="006704E2">
        <w:rPr>
          <w:rFonts w:ascii="Garamond" w:hAnsi="Garamond"/>
          <w:sz w:val="24"/>
          <w:szCs w:val="24"/>
        </w:rPr>
        <w:t xml:space="preserve">for all urban consumers </w:t>
      </w:r>
      <w:r w:rsidRPr="006704E2">
        <w:rPr>
          <w:rFonts w:ascii="Garamond" w:hAnsi="Garamond"/>
          <w:sz w:val="24"/>
          <w:szCs w:val="24"/>
        </w:rPr>
        <w:t>is used in this study to capture inflation. Data is obtained through the U.S. Department of Labor, Bureau of Labor Statistics</w:t>
      </w:r>
      <w:r w:rsidR="00984C05" w:rsidRPr="006704E2">
        <w:rPr>
          <w:rFonts w:ascii="Garamond" w:hAnsi="Garamond"/>
          <w:sz w:val="24"/>
          <w:szCs w:val="24"/>
        </w:rPr>
        <w:t xml:space="preserve"> </w:t>
      </w:r>
      <w:r w:rsidR="00984C05" w:rsidRPr="006704E2">
        <w:rPr>
          <w:rFonts w:ascii="Garamond" w:hAnsi="Garamond"/>
          <w:sz w:val="24"/>
          <w:szCs w:val="24"/>
        </w:rPr>
        <w:fldChar w:fldCharType="begin" w:fldLock="1"/>
      </w:r>
      <w:r w:rsidR="00C90DF1" w:rsidRPr="006704E2">
        <w:rPr>
          <w:rFonts w:ascii="Garamond" w:hAnsi="Garamond"/>
          <w:sz w:val="24"/>
          <w:szCs w:val="24"/>
        </w:rPr>
        <w:instrText>ADDIN CSL_CITATION { "citationItems" : [ { "id" : "ITEM-1", "itemData" : { "author" : [ { "dropping-particle" : "", "family" : "U.S. Bureau of Labor Statistics", "given" : "", "non-dropping-particle" : "", "parse-names" : false, "suffix" : "" } ], "id" : "ITEM-1", "issued" : { "date-parts" : [ [ "2017" ] ] }, "publisher-place" : "Washington, DC", "title" : "Consumer Price Index Historical Table, Minneapolis-St. Paul", "type" : "report" }, "uris" : [ "http://www.mendeley.com/documents/?uuid=8e7c2db8-c6ce-31d9-9655-f61bf46c9e9e" ] } ], "mendeley" : { "formattedCitation" : "(U.S. Bureau of Labor Statistics 2017)", "plainTextFormattedCitation" : "(U.S. Bureau of Labor Statistics 2017)", "previouslyFormattedCitation" : "(U.S. Bureau of Labor Statistics 2017)" }, "properties" : { "noteIndex" : 12 }, "schema" : "https://github.com/citation-style-language/schema/raw/master/csl-citation.json" }</w:instrText>
      </w:r>
      <w:r w:rsidR="00984C05" w:rsidRPr="006704E2">
        <w:rPr>
          <w:rFonts w:ascii="Garamond" w:hAnsi="Garamond"/>
          <w:sz w:val="24"/>
          <w:szCs w:val="24"/>
        </w:rPr>
        <w:fldChar w:fldCharType="separate"/>
      </w:r>
      <w:r w:rsidR="00984C05" w:rsidRPr="006704E2">
        <w:rPr>
          <w:rFonts w:ascii="Garamond" w:hAnsi="Garamond"/>
          <w:noProof/>
          <w:sz w:val="24"/>
          <w:szCs w:val="24"/>
        </w:rPr>
        <w:t>(U.S. Bureau of Labor Statistics 2017)</w:t>
      </w:r>
      <w:r w:rsidR="00984C05" w:rsidRPr="006704E2">
        <w:rPr>
          <w:rFonts w:ascii="Garamond" w:hAnsi="Garamond"/>
          <w:sz w:val="24"/>
          <w:szCs w:val="24"/>
        </w:rPr>
        <w:fldChar w:fldCharType="end"/>
      </w:r>
      <w:r w:rsidRPr="006704E2">
        <w:rPr>
          <w:rFonts w:ascii="Garamond" w:hAnsi="Garamond"/>
          <w:sz w:val="24"/>
          <w:szCs w:val="24"/>
        </w:rPr>
        <w:t xml:space="preserve">. This data </w:t>
      </w:r>
      <w:r w:rsidR="00BF3130" w:rsidRPr="006704E2">
        <w:rPr>
          <w:rFonts w:ascii="Garamond" w:hAnsi="Garamond"/>
          <w:sz w:val="24"/>
          <w:szCs w:val="24"/>
        </w:rPr>
        <w:t xml:space="preserve">is specific to </w:t>
      </w:r>
      <w:r w:rsidR="00984C05" w:rsidRPr="006704E2">
        <w:rPr>
          <w:rFonts w:ascii="Garamond" w:hAnsi="Garamond"/>
          <w:sz w:val="24"/>
          <w:szCs w:val="24"/>
        </w:rPr>
        <w:t>the</w:t>
      </w:r>
      <w:r w:rsidRPr="006704E2">
        <w:rPr>
          <w:rFonts w:ascii="Garamond" w:hAnsi="Garamond"/>
          <w:sz w:val="24"/>
          <w:szCs w:val="24"/>
        </w:rPr>
        <w:t xml:space="preserve"> Minneapolis-St. Paul MN-WI Combined Statistical Area for all items. The reference period (during which CPI = 100) is 1982-84.</w:t>
      </w:r>
    </w:p>
    <w:p w14:paraId="07AA361F" w14:textId="610DC195" w:rsidR="003D1CDC" w:rsidRPr="006704E2" w:rsidRDefault="00E20007" w:rsidP="00E20007">
      <w:pPr>
        <w:rPr>
          <w:rFonts w:ascii="Garamond" w:hAnsi="Garamond"/>
          <w:sz w:val="24"/>
          <w:szCs w:val="24"/>
        </w:rPr>
      </w:pPr>
      <w:r w:rsidRPr="006704E2">
        <w:rPr>
          <w:rFonts w:ascii="Garamond" w:hAnsi="Garamond"/>
          <w:sz w:val="24"/>
          <w:szCs w:val="24"/>
        </w:rPr>
        <w:br w:type="page"/>
      </w:r>
    </w:p>
    <w:p w14:paraId="44D3D1B3" w14:textId="77777777" w:rsidR="005D3011" w:rsidRPr="006704E2" w:rsidRDefault="00BF3130" w:rsidP="00597B56">
      <w:pPr>
        <w:pStyle w:val="Heading3"/>
        <w:numPr>
          <w:ilvl w:val="2"/>
          <w:numId w:val="17"/>
        </w:numPr>
        <w:ind w:firstLine="0"/>
        <w:rPr>
          <w:rFonts w:ascii="Garamond" w:hAnsi="Garamond"/>
          <w:color w:val="auto"/>
        </w:rPr>
      </w:pPr>
      <w:bookmarkStart w:id="13" w:name="_Toc392863189"/>
      <w:r w:rsidRPr="006704E2">
        <w:rPr>
          <w:rFonts w:ascii="Garamond" w:hAnsi="Garamond"/>
          <w:color w:val="auto"/>
        </w:rPr>
        <w:lastRenderedPageBreak/>
        <w:t>Income-Based Willing to Pay Adjustments</w:t>
      </w:r>
      <w:bookmarkEnd w:id="13"/>
    </w:p>
    <w:tbl>
      <w:tblPr>
        <w:tblW w:w="4548" w:type="dxa"/>
        <w:jc w:val="center"/>
        <w:tblLook w:val="04A0" w:firstRow="1" w:lastRow="0" w:firstColumn="1" w:lastColumn="0" w:noHBand="0" w:noVBand="1"/>
      </w:tblPr>
      <w:tblGrid>
        <w:gridCol w:w="960"/>
        <w:gridCol w:w="1196"/>
        <w:gridCol w:w="1196"/>
        <w:gridCol w:w="1196"/>
      </w:tblGrid>
      <w:tr w:rsidR="0077562E" w:rsidRPr="006704E2" w14:paraId="1D60E9F0" w14:textId="77777777" w:rsidTr="007F1956">
        <w:trPr>
          <w:trHeight w:val="300"/>
          <w:jc w:val="center"/>
        </w:trPr>
        <w:tc>
          <w:tcPr>
            <w:tcW w:w="960" w:type="dxa"/>
            <w:tcBorders>
              <w:top w:val="nil"/>
              <w:left w:val="nil"/>
              <w:bottom w:val="single" w:sz="4" w:space="0" w:color="auto"/>
              <w:right w:val="nil"/>
            </w:tcBorders>
            <w:shd w:val="clear" w:color="auto" w:fill="auto"/>
            <w:noWrap/>
            <w:vAlign w:val="center"/>
            <w:hideMark/>
          </w:tcPr>
          <w:p w14:paraId="0D20A02A"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Year</w:t>
            </w:r>
          </w:p>
        </w:tc>
        <w:tc>
          <w:tcPr>
            <w:tcW w:w="1196" w:type="dxa"/>
            <w:tcBorders>
              <w:top w:val="nil"/>
              <w:left w:val="nil"/>
              <w:bottom w:val="single" w:sz="4" w:space="0" w:color="auto"/>
              <w:right w:val="nil"/>
            </w:tcBorders>
            <w:shd w:val="clear" w:color="auto" w:fill="auto"/>
            <w:noWrap/>
            <w:vAlign w:val="center"/>
            <w:hideMark/>
          </w:tcPr>
          <w:p w14:paraId="37AD2075"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Low</w:t>
            </w:r>
          </w:p>
        </w:tc>
        <w:tc>
          <w:tcPr>
            <w:tcW w:w="1196" w:type="dxa"/>
            <w:tcBorders>
              <w:top w:val="nil"/>
              <w:left w:val="nil"/>
              <w:bottom w:val="single" w:sz="4" w:space="0" w:color="auto"/>
              <w:right w:val="nil"/>
            </w:tcBorders>
            <w:shd w:val="clear" w:color="auto" w:fill="auto"/>
            <w:noWrap/>
            <w:vAlign w:val="center"/>
            <w:hideMark/>
          </w:tcPr>
          <w:p w14:paraId="07C300FF"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Center</w:t>
            </w:r>
          </w:p>
        </w:tc>
        <w:tc>
          <w:tcPr>
            <w:tcW w:w="1196" w:type="dxa"/>
            <w:tcBorders>
              <w:top w:val="nil"/>
              <w:left w:val="nil"/>
              <w:bottom w:val="single" w:sz="4" w:space="0" w:color="auto"/>
              <w:right w:val="nil"/>
            </w:tcBorders>
            <w:shd w:val="clear" w:color="auto" w:fill="auto"/>
            <w:noWrap/>
            <w:vAlign w:val="center"/>
            <w:hideMark/>
          </w:tcPr>
          <w:p w14:paraId="5F09FDF8"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High</w:t>
            </w:r>
          </w:p>
        </w:tc>
      </w:tr>
      <w:tr w:rsidR="0077562E" w:rsidRPr="006704E2" w14:paraId="278E5E03" w14:textId="77777777" w:rsidTr="007F1956">
        <w:trPr>
          <w:trHeight w:val="300"/>
          <w:jc w:val="center"/>
        </w:trPr>
        <w:tc>
          <w:tcPr>
            <w:tcW w:w="960" w:type="dxa"/>
            <w:tcBorders>
              <w:top w:val="single" w:sz="4" w:space="0" w:color="auto"/>
              <w:left w:val="nil"/>
              <w:bottom w:val="nil"/>
              <w:right w:val="nil"/>
            </w:tcBorders>
            <w:shd w:val="clear" w:color="auto" w:fill="auto"/>
            <w:noWrap/>
            <w:vAlign w:val="center"/>
            <w:hideMark/>
          </w:tcPr>
          <w:p w14:paraId="29FB63AC"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1997</w:t>
            </w:r>
          </w:p>
        </w:tc>
        <w:tc>
          <w:tcPr>
            <w:tcW w:w="1196" w:type="dxa"/>
            <w:tcBorders>
              <w:top w:val="single" w:sz="4" w:space="0" w:color="auto"/>
              <w:left w:val="nil"/>
              <w:bottom w:val="nil"/>
              <w:right w:val="nil"/>
            </w:tcBorders>
            <w:shd w:val="clear" w:color="auto" w:fill="auto"/>
            <w:noWrap/>
            <w:vAlign w:val="center"/>
            <w:hideMark/>
          </w:tcPr>
          <w:p w14:paraId="2C2B7BE7"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1.009685</w:t>
            </w:r>
          </w:p>
        </w:tc>
        <w:tc>
          <w:tcPr>
            <w:tcW w:w="1196" w:type="dxa"/>
            <w:tcBorders>
              <w:top w:val="single" w:sz="4" w:space="0" w:color="auto"/>
              <w:left w:val="nil"/>
              <w:bottom w:val="nil"/>
              <w:right w:val="nil"/>
            </w:tcBorders>
            <w:shd w:val="clear" w:color="auto" w:fill="auto"/>
            <w:noWrap/>
            <w:vAlign w:val="center"/>
            <w:hideMark/>
          </w:tcPr>
          <w:p w14:paraId="1B3D0C2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1.049381</w:t>
            </w:r>
          </w:p>
        </w:tc>
        <w:tc>
          <w:tcPr>
            <w:tcW w:w="1196" w:type="dxa"/>
            <w:tcBorders>
              <w:top w:val="single" w:sz="4" w:space="0" w:color="auto"/>
              <w:left w:val="nil"/>
              <w:bottom w:val="nil"/>
              <w:right w:val="nil"/>
            </w:tcBorders>
            <w:shd w:val="clear" w:color="auto" w:fill="auto"/>
            <w:noWrap/>
            <w:vAlign w:val="center"/>
            <w:hideMark/>
          </w:tcPr>
          <w:p w14:paraId="10084010"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1.128201</w:t>
            </w:r>
          </w:p>
        </w:tc>
      </w:tr>
      <w:tr w:rsidR="0077562E" w:rsidRPr="006704E2" w14:paraId="512D6D9E"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1BB9556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1998</w:t>
            </w:r>
          </w:p>
        </w:tc>
        <w:tc>
          <w:tcPr>
            <w:tcW w:w="1196" w:type="dxa"/>
            <w:tcBorders>
              <w:top w:val="nil"/>
              <w:left w:val="nil"/>
              <w:bottom w:val="nil"/>
              <w:right w:val="nil"/>
            </w:tcBorders>
            <w:shd w:val="clear" w:color="auto" w:fill="auto"/>
            <w:noWrap/>
            <w:vAlign w:val="center"/>
            <w:hideMark/>
          </w:tcPr>
          <w:p w14:paraId="300E5917"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1.012248</w:t>
            </w:r>
          </w:p>
        </w:tc>
        <w:tc>
          <w:tcPr>
            <w:tcW w:w="1196" w:type="dxa"/>
            <w:tcBorders>
              <w:top w:val="nil"/>
              <w:left w:val="nil"/>
              <w:bottom w:val="nil"/>
              <w:right w:val="nil"/>
            </w:tcBorders>
            <w:shd w:val="clear" w:color="auto" w:fill="auto"/>
            <w:noWrap/>
            <w:vAlign w:val="center"/>
            <w:hideMark/>
          </w:tcPr>
          <w:p w14:paraId="317C86D2"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1.062778</w:t>
            </w:r>
          </w:p>
        </w:tc>
        <w:tc>
          <w:tcPr>
            <w:tcW w:w="1196" w:type="dxa"/>
            <w:tcBorders>
              <w:top w:val="nil"/>
              <w:left w:val="nil"/>
              <w:bottom w:val="nil"/>
              <w:right w:val="nil"/>
            </w:tcBorders>
            <w:shd w:val="clear" w:color="auto" w:fill="auto"/>
            <w:noWrap/>
            <w:vAlign w:val="center"/>
            <w:hideMark/>
          </w:tcPr>
          <w:p w14:paraId="114CFA5D"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1.1647</w:t>
            </w:r>
          </w:p>
        </w:tc>
      </w:tr>
      <w:tr w:rsidR="0077562E" w:rsidRPr="006704E2" w14:paraId="445FCF51"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56D32A34"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1999</w:t>
            </w:r>
          </w:p>
        </w:tc>
        <w:tc>
          <w:tcPr>
            <w:tcW w:w="1196" w:type="dxa"/>
            <w:tcBorders>
              <w:top w:val="nil"/>
              <w:left w:val="nil"/>
              <w:bottom w:val="nil"/>
              <w:right w:val="nil"/>
            </w:tcBorders>
            <w:shd w:val="clear" w:color="auto" w:fill="auto"/>
            <w:noWrap/>
            <w:vAlign w:val="center"/>
            <w:hideMark/>
          </w:tcPr>
          <w:p w14:paraId="7E06E4A1"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1.01501</w:t>
            </w:r>
          </w:p>
        </w:tc>
        <w:tc>
          <w:tcPr>
            <w:tcW w:w="1196" w:type="dxa"/>
            <w:tcBorders>
              <w:top w:val="nil"/>
              <w:left w:val="nil"/>
              <w:bottom w:val="nil"/>
              <w:right w:val="nil"/>
            </w:tcBorders>
            <w:shd w:val="clear" w:color="auto" w:fill="auto"/>
            <w:noWrap/>
            <w:vAlign w:val="center"/>
            <w:hideMark/>
          </w:tcPr>
          <w:p w14:paraId="697DE93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1.077372</w:t>
            </w:r>
          </w:p>
        </w:tc>
        <w:tc>
          <w:tcPr>
            <w:tcW w:w="1196" w:type="dxa"/>
            <w:tcBorders>
              <w:top w:val="nil"/>
              <w:left w:val="nil"/>
              <w:bottom w:val="nil"/>
              <w:right w:val="nil"/>
            </w:tcBorders>
            <w:shd w:val="clear" w:color="auto" w:fill="auto"/>
            <w:noWrap/>
            <w:vAlign w:val="center"/>
            <w:hideMark/>
          </w:tcPr>
          <w:p w14:paraId="1E692FE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1.205346</w:t>
            </w:r>
          </w:p>
        </w:tc>
      </w:tr>
      <w:tr w:rsidR="0077562E" w:rsidRPr="006704E2" w14:paraId="2B130600"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2AA12FD1"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2000</w:t>
            </w:r>
          </w:p>
        </w:tc>
        <w:tc>
          <w:tcPr>
            <w:tcW w:w="1196" w:type="dxa"/>
            <w:tcBorders>
              <w:top w:val="nil"/>
              <w:left w:val="nil"/>
              <w:bottom w:val="nil"/>
              <w:right w:val="nil"/>
            </w:tcBorders>
            <w:shd w:val="clear" w:color="auto" w:fill="auto"/>
            <w:noWrap/>
            <w:vAlign w:val="center"/>
            <w:hideMark/>
          </w:tcPr>
          <w:p w14:paraId="04B43328"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1.017342</w:t>
            </w:r>
          </w:p>
        </w:tc>
        <w:tc>
          <w:tcPr>
            <w:tcW w:w="1196" w:type="dxa"/>
            <w:tcBorders>
              <w:top w:val="nil"/>
              <w:left w:val="nil"/>
              <w:bottom w:val="nil"/>
              <w:right w:val="nil"/>
            </w:tcBorders>
            <w:shd w:val="clear" w:color="auto" w:fill="auto"/>
            <w:noWrap/>
            <w:vAlign w:val="center"/>
            <w:hideMark/>
          </w:tcPr>
          <w:p w14:paraId="101B2AEC"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1.089828</w:t>
            </w:r>
          </w:p>
        </w:tc>
        <w:tc>
          <w:tcPr>
            <w:tcW w:w="1196" w:type="dxa"/>
            <w:tcBorders>
              <w:top w:val="nil"/>
              <w:left w:val="nil"/>
              <w:bottom w:val="nil"/>
              <w:right w:val="nil"/>
            </w:tcBorders>
            <w:shd w:val="clear" w:color="auto" w:fill="auto"/>
            <w:noWrap/>
            <w:vAlign w:val="center"/>
            <w:hideMark/>
          </w:tcPr>
          <w:p w14:paraId="7D4A6BB5"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1.240791</w:t>
            </w:r>
          </w:p>
        </w:tc>
      </w:tr>
      <w:tr w:rsidR="0077562E" w:rsidRPr="006704E2" w14:paraId="4CE15265"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13DA029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2001</w:t>
            </w:r>
          </w:p>
        </w:tc>
        <w:tc>
          <w:tcPr>
            <w:tcW w:w="1196" w:type="dxa"/>
            <w:tcBorders>
              <w:top w:val="nil"/>
              <w:left w:val="nil"/>
              <w:bottom w:val="nil"/>
              <w:right w:val="nil"/>
            </w:tcBorders>
            <w:shd w:val="clear" w:color="auto" w:fill="auto"/>
            <w:noWrap/>
            <w:vAlign w:val="center"/>
            <w:hideMark/>
          </w:tcPr>
          <w:p w14:paraId="2DA25DD5"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1.017327</w:t>
            </w:r>
          </w:p>
        </w:tc>
        <w:tc>
          <w:tcPr>
            <w:tcW w:w="1196" w:type="dxa"/>
            <w:tcBorders>
              <w:top w:val="nil"/>
              <w:left w:val="nil"/>
              <w:bottom w:val="nil"/>
              <w:right w:val="nil"/>
            </w:tcBorders>
            <w:shd w:val="clear" w:color="auto" w:fill="auto"/>
            <w:noWrap/>
            <w:vAlign w:val="center"/>
            <w:hideMark/>
          </w:tcPr>
          <w:p w14:paraId="48F67B56"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1.089745</w:t>
            </w:r>
          </w:p>
        </w:tc>
        <w:tc>
          <w:tcPr>
            <w:tcW w:w="1196" w:type="dxa"/>
            <w:tcBorders>
              <w:top w:val="nil"/>
              <w:left w:val="nil"/>
              <w:bottom w:val="nil"/>
              <w:right w:val="nil"/>
            </w:tcBorders>
            <w:shd w:val="clear" w:color="auto" w:fill="auto"/>
            <w:noWrap/>
            <w:vAlign w:val="center"/>
            <w:hideMark/>
          </w:tcPr>
          <w:p w14:paraId="32E66C9B"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1.240554</w:t>
            </w:r>
          </w:p>
        </w:tc>
      </w:tr>
      <w:tr w:rsidR="0077562E" w:rsidRPr="006704E2" w14:paraId="0AE55CC6"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7B22CF98"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2002</w:t>
            </w:r>
          </w:p>
        </w:tc>
        <w:tc>
          <w:tcPr>
            <w:tcW w:w="1196" w:type="dxa"/>
            <w:tcBorders>
              <w:top w:val="nil"/>
              <w:left w:val="nil"/>
              <w:bottom w:val="nil"/>
              <w:right w:val="nil"/>
            </w:tcBorders>
            <w:shd w:val="clear" w:color="auto" w:fill="auto"/>
            <w:noWrap/>
            <w:vAlign w:val="center"/>
            <w:hideMark/>
          </w:tcPr>
          <w:p w14:paraId="0182F16F"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1.018005</w:t>
            </w:r>
          </w:p>
        </w:tc>
        <w:tc>
          <w:tcPr>
            <w:tcW w:w="1196" w:type="dxa"/>
            <w:tcBorders>
              <w:top w:val="nil"/>
              <w:left w:val="nil"/>
              <w:bottom w:val="nil"/>
              <w:right w:val="nil"/>
            </w:tcBorders>
            <w:shd w:val="clear" w:color="auto" w:fill="auto"/>
            <w:noWrap/>
            <w:vAlign w:val="center"/>
            <w:hideMark/>
          </w:tcPr>
          <w:p w14:paraId="1774E281"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1.09339</w:t>
            </w:r>
          </w:p>
        </w:tc>
        <w:tc>
          <w:tcPr>
            <w:tcW w:w="1196" w:type="dxa"/>
            <w:tcBorders>
              <w:top w:val="nil"/>
              <w:left w:val="nil"/>
              <w:bottom w:val="nil"/>
              <w:right w:val="nil"/>
            </w:tcBorders>
            <w:shd w:val="clear" w:color="auto" w:fill="auto"/>
            <w:noWrap/>
            <w:vAlign w:val="center"/>
            <w:hideMark/>
          </w:tcPr>
          <w:p w14:paraId="7A2224A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1.251059</w:t>
            </w:r>
          </w:p>
        </w:tc>
      </w:tr>
      <w:tr w:rsidR="0077562E" w:rsidRPr="006704E2" w14:paraId="5B07B8B8"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1C24CD0E"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2003</w:t>
            </w:r>
          </w:p>
        </w:tc>
        <w:tc>
          <w:tcPr>
            <w:tcW w:w="1196" w:type="dxa"/>
            <w:tcBorders>
              <w:top w:val="nil"/>
              <w:left w:val="nil"/>
              <w:bottom w:val="nil"/>
              <w:right w:val="nil"/>
            </w:tcBorders>
            <w:shd w:val="clear" w:color="auto" w:fill="auto"/>
            <w:noWrap/>
            <w:vAlign w:val="center"/>
            <w:hideMark/>
          </w:tcPr>
          <w:p w14:paraId="4ADB639C"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1.01954</w:t>
            </w:r>
          </w:p>
        </w:tc>
        <w:tc>
          <w:tcPr>
            <w:tcW w:w="1196" w:type="dxa"/>
            <w:tcBorders>
              <w:top w:val="nil"/>
              <w:left w:val="nil"/>
              <w:bottom w:val="nil"/>
              <w:right w:val="nil"/>
            </w:tcBorders>
            <w:shd w:val="clear" w:color="auto" w:fill="auto"/>
            <w:noWrap/>
            <w:vAlign w:val="center"/>
            <w:hideMark/>
          </w:tcPr>
          <w:p w14:paraId="5D892320"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1.101673</w:t>
            </w:r>
          </w:p>
        </w:tc>
        <w:tc>
          <w:tcPr>
            <w:tcW w:w="1196" w:type="dxa"/>
            <w:tcBorders>
              <w:top w:val="nil"/>
              <w:left w:val="nil"/>
              <w:bottom w:val="nil"/>
              <w:right w:val="nil"/>
            </w:tcBorders>
            <w:shd w:val="clear" w:color="auto" w:fill="auto"/>
            <w:noWrap/>
            <w:vAlign w:val="center"/>
            <w:hideMark/>
          </w:tcPr>
          <w:p w14:paraId="71155917"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1.275164</w:t>
            </w:r>
          </w:p>
        </w:tc>
      </w:tr>
      <w:tr w:rsidR="0077562E" w:rsidRPr="006704E2" w14:paraId="53DAB028"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5246644D"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2004</w:t>
            </w:r>
          </w:p>
        </w:tc>
        <w:tc>
          <w:tcPr>
            <w:tcW w:w="1196" w:type="dxa"/>
            <w:tcBorders>
              <w:top w:val="nil"/>
              <w:left w:val="nil"/>
              <w:bottom w:val="nil"/>
              <w:right w:val="nil"/>
            </w:tcBorders>
            <w:shd w:val="clear" w:color="auto" w:fill="auto"/>
            <w:noWrap/>
            <w:vAlign w:val="center"/>
            <w:hideMark/>
          </w:tcPr>
          <w:p w14:paraId="7182C8AB"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1.021781</w:t>
            </w:r>
          </w:p>
        </w:tc>
        <w:tc>
          <w:tcPr>
            <w:tcW w:w="1196" w:type="dxa"/>
            <w:tcBorders>
              <w:top w:val="nil"/>
              <w:left w:val="nil"/>
              <w:bottom w:val="nil"/>
              <w:right w:val="nil"/>
            </w:tcBorders>
            <w:shd w:val="clear" w:color="auto" w:fill="auto"/>
            <w:noWrap/>
            <w:vAlign w:val="center"/>
            <w:hideMark/>
          </w:tcPr>
          <w:p w14:paraId="41593B23"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1.113866</w:t>
            </w:r>
          </w:p>
        </w:tc>
        <w:tc>
          <w:tcPr>
            <w:tcW w:w="1196" w:type="dxa"/>
            <w:tcBorders>
              <w:top w:val="nil"/>
              <w:left w:val="nil"/>
              <w:bottom w:val="nil"/>
              <w:right w:val="nil"/>
            </w:tcBorders>
            <w:shd w:val="clear" w:color="auto" w:fill="auto"/>
            <w:noWrap/>
            <w:vAlign w:val="center"/>
            <w:hideMark/>
          </w:tcPr>
          <w:p w14:paraId="173E80AA"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1.311246</w:t>
            </w:r>
          </w:p>
        </w:tc>
      </w:tr>
      <w:tr w:rsidR="0077562E" w:rsidRPr="006704E2" w14:paraId="186296E8"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07A4C36E"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2005</w:t>
            </w:r>
          </w:p>
        </w:tc>
        <w:tc>
          <w:tcPr>
            <w:tcW w:w="1196" w:type="dxa"/>
            <w:tcBorders>
              <w:top w:val="nil"/>
              <w:left w:val="nil"/>
              <w:bottom w:val="nil"/>
              <w:right w:val="nil"/>
            </w:tcBorders>
            <w:shd w:val="clear" w:color="auto" w:fill="auto"/>
            <w:noWrap/>
            <w:vAlign w:val="center"/>
            <w:hideMark/>
          </w:tcPr>
          <w:p w14:paraId="56E9FEB8"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1.023681</w:t>
            </w:r>
          </w:p>
        </w:tc>
        <w:tc>
          <w:tcPr>
            <w:tcW w:w="1196" w:type="dxa"/>
            <w:tcBorders>
              <w:top w:val="nil"/>
              <w:left w:val="nil"/>
              <w:bottom w:val="nil"/>
              <w:right w:val="nil"/>
            </w:tcBorders>
            <w:shd w:val="clear" w:color="auto" w:fill="auto"/>
            <w:noWrap/>
            <w:vAlign w:val="center"/>
            <w:hideMark/>
          </w:tcPr>
          <w:p w14:paraId="69DDB5AD"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1.124291</w:t>
            </w:r>
          </w:p>
        </w:tc>
        <w:tc>
          <w:tcPr>
            <w:tcW w:w="1196" w:type="dxa"/>
            <w:tcBorders>
              <w:top w:val="nil"/>
              <w:left w:val="nil"/>
              <w:bottom w:val="nil"/>
              <w:right w:val="nil"/>
            </w:tcBorders>
            <w:shd w:val="clear" w:color="auto" w:fill="auto"/>
            <w:noWrap/>
            <w:vAlign w:val="center"/>
            <w:hideMark/>
          </w:tcPr>
          <w:p w14:paraId="798FB012"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1.342672</w:t>
            </w:r>
          </w:p>
        </w:tc>
      </w:tr>
      <w:tr w:rsidR="0077562E" w:rsidRPr="006704E2" w14:paraId="12D7B30F"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1943F935"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2006</w:t>
            </w:r>
          </w:p>
        </w:tc>
        <w:tc>
          <w:tcPr>
            <w:tcW w:w="1196" w:type="dxa"/>
            <w:tcBorders>
              <w:top w:val="nil"/>
              <w:left w:val="nil"/>
              <w:bottom w:val="nil"/>
              <w:right w:val="nil"/>
            </w:tcBorders>
            <w:shd w:val="clear" w:color="auto" w:fill="auto"/>
            <w:noWrap/>
            <w:vAlign w:val="center"/>
            <w:hideMark/>
          </w:tcPr>
          <w:p w14:paraId="5FBC1F33"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1.025017</w:t>
            </w:r>
          </w:p>
        </w:tc>
        <w:tc>
          <w:tcPr>
            <w:tcW w:w="1196" w:type="dxa"/>
            <w:tcBorders>
              <w:top w:val="nil"/>
              <w:left w:val="nil"/>
              <w:bottom w:val="nil"/>
              <w:right w:val="nil"/>
            </w:tcBorders>
            <w:shd w:val="clear" w:color="auto" w:fill="auto"/>
            <w:noWrap/>
            <w:vAlign w:val="center"/>
            <w:hideMark/>
          </w:tcPr>
          <w:p w14:paraId="4F05C32A"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1.131672</w:t>
            </w:r>
          </w:p>
        </w:tc>
        <w:tc>
          <w:tcPr>
            <w:tcW w:w="1196" w:type="dxa"/>
            <w:tcBorders>
              <w:top w:val="nil"/>
              <w:left w:val="nil"/>
              <w:bottom w:val="nil"/>
              <w:right w:val="nil"/>
            </w:tcBorders>
            <w:shd w:val="clear" w:color="auto" w:fill="auto"/>
            <w:noWrap/>
            <w:vAlign w:val="center"/>
            <w:hideMark/>
          </w:tcPr>
          <w:p w14:paraId="2B1D01B8"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1.36525</w:t>
            </w:r>
          </w:p>
        </w:tc>
      </w:tr>
      <w:tr w:rsidR="0077562E" w:rsidRPr="006704E2" w14:paraId="50D3AC29"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77FCF74D"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2007</w:t>
            </w:r>
          </w:p>
        </w:tc>
        <w:tc>
          <w:tcPr>
            <w:tcW w:w="1196" w:type="dxa"/>
            <w:tcBorders>
              <w:top w:val="nil"/>
              <w:left w:val="nil"/>
              <w:bottom w:val="nil"/>
              <w:right w:val="nil"/>
            </w:tcBorders>
            <w:shd w:val="clear" w:color="auto" w:fill="auto"/>
            <w:noWrap/>
            <w:vAlign w:val="center"/>
            <w:hideMark/>
          </w:tcPr>
          <w:p w14:paraId="3EA82F4C"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1.025666</w:t>
            </w:r>
          </w:p>
        </w:tc>
        <w:tc>
          <w:tcPr>
            <w:tcW w:w="1196" w:type="dxa"/>
            <w:tcBorders>
              <w:top w:val="nil"/>
              <w:left w:val="nil"/>
              <w:bottom w:val="nil"/>
              <w:right w:val="nil"/>
            </w:tcBorders>
            <w:shd w:val="clear" w:color="auto" w:fill="auto"/>
            <w:noWrap/>
            <w:vAlign w:val="center"/>
            <w:hideMark/>
          </w:tcPr>
          <w:p w14:paraId="552B46DB"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1.135277</w:t>
            </w:r>
          </w:p>
        </w:tc>
        <w:tc>
          <w:tcPr>
            <w:tcW w:w="1196" w:type="dxa"/>
            <w:tcBorders>
              <w:top w:val="nil"/>
              <w:left w:val="nil"/>
              <w:bottom w:val="nil"/>
              <w:right w:val="nil"/>
            </w:tcBorders>
            <w:shd w:val="clear" w:color="auto" w:fill="auto"/>
            <w:noWrap/>
            <w:vAlign w:val="center"/>
            <w:hideMark/>
          </w:tcPr>
          <w:p w14:paraId="784A2E00"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1.376378</w:t>
            </w:r>
          </w:p>
        </w:tc>
      </w:tr>
      <w:tr w:rsidR="0077562E" w:rsidRPr="006704E2" w14:paraId="579BA50D"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63808BF7"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2008</w:t>
            </w:r>
          </w:p>
        </w:tc>
        <w:tc>
          <w:tcPr>
            <w:tcW w:w="1196" w:type="dxa"/>
            <w:tcBorders>
              <w:top w:val="nil"/>
              <w:left w:val="nil"/>
              <w:bottom w:val="nil"/>
              <w:right w:val="nil"/>
            </w:tcBorders>
            <w:shd w:val="clear" w:color="auto" w:fill="auto"/>
            <w:noWrap/>
            <w:vAlign w:val="center"/>
            <w:hideMark/>
          </w:tcPr>
          <w:p w14:paraId="5586723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1.024676</w:t>
            </w:r>
          </w:p>
        </w:tc>
        <w:tc>
          <w:tcPr>
            <w:tcW w:w="1196" w:type="dxa"/>
            <w:tcBorders>
              <w:top w:val="nil"/>
              <w:left w:val="nil"/>
              <w:bottom w:val="nil"/>
              <w:right w:val="nil"/>
            </w:tcBorders>
            <w:shd w:val="clear" w:color="auto" w:fill="auto"/>
            <w:noWrap/>
            <w:vAlign w:val="center"/>
            <w:hideMark/>
          </w:tcPr>
          <w:p w14:paraId="21D8D957"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1.129785</w:t>
            </w:r>
          </w:p>
        </w:tc>
        <w:tc>
          <w:tcPr>
            <w:tcW w:w="1196" w:type="dxa"/>
            <w:tcBorders>
              <w:top w:val="nil"/>
              <w:left w:val="nil"/>
              <w:bottom w:val="nil"/>
              <w:right w:val="nil"/>
            </w:tcBorders>
            <w:shd w:val="clear" w:color="auto" w:fill="auto"/>
            <w:noWrap/>
            <w:vAlign w:val="center"/>
            <w:hideMark/>
          </w:tcPr>
          <w:p w14:paraId="17168FE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1.359452</w:t>
            </w:r>
          </w:p>
        </w:tc>
      </w:tr>
      <w:tr w:rsidR="0077562E" w:rsidRPr="006704E2" w14:paraId="734D578E"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0917C18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2009</w:t>
            </w:r>
          </w:p>
        </w:tc>
        <w:tc>
          <w:tcPr>
            <w:tcW w:w="1196" w:type="dxa"/>
            <w:tcBorders>
              <w:top w:val="nil"/>
              <w:left w:val="nil"/>
              <w:bottom w:val="nil"/>
              <w:right w:val="nil"/>
            </w:tcBorders>
            <w:shd w:val="clear" w:color="auto" w:fill="auto"/>
            <w:noWrap/>
            <w:vAlign w:val="center"/>
            <w:hideMark/>
          </w:tcPr>
          <w:p w14:paraId="6F686821"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1.021716</w:t>
            </w:r>
          </w:p>
        </w:tc>
        <w:tc>
          <w:tcPr>
            <w:tcW w:w="1196" w:type="dxa"/>
            <w:tcBorders>
              <w:top w:val="nil"/>
              <w:left w:val="nil"/>
              <w:bottom w:val="nil"/>
              <w:right w:val="nil"/>
            </w:tcBorders>
            <w:shd w:val="clear" w:color="auto" w:fill="auto"/>
            <w:noWrap/>
            <w:vAlign w:val="center"/>
            <w:hideMark/>
          </w:tcPr>
          <w:p w14:paraId="136F9F25"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1.113508</w:t>
            </w:r>
          </w:p>
        </w:tc>
        <w:tc>
          <w:tcPr>
            <w:tcW w:w="1196" w:type="dxa"/>
            <w:tcBorders>
              <w:top w:val="nil"/>
              <w:left w:val="nil"/>
              <w:bottom w:val="nil"/>
              <w:right w:val="nil"/>
            </w:tcBorders>
            <w:shd w:val="clear" w:color="auto" w:fill="auto"/>
            <w:noWrap/>
            <w:vAlign w:val="center"/>
            <w:hideMark/>
          </w:tcPr>
          <w:p w14:paraId="3C390A4F"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1.310176</w:t>
            </w:r>
          </w:p>
        </w:tc>
      </w:tr>
      <w:tr w:rsidR="0077562E" w:rsidRPr="006704E2" w14:paraId="6CB0F396"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7924E123"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2010</w:t>
            </w:r>
          </w:p>
        </w:tc>
        <w:tc>
          <w:tcPr>
            <w:tcW w:w="1196" w:type="dxa"/>
            <w:tcBorders>
              <w:top w:val="nil"/>
              <w:left w:val="nil"/>
              <w:bottom w:val="nil"/>
              <w:right w:val="nil"/>
            </w:tcBorders>
            <w:shd w:val="clear" w:color="auto" w:fill="auto"/>
            <w:noWrap/>
            <w:vAlign w:val="center"/>
            <w:hideMark/>
          </w:tcPr>
          <w:p w14:paraId="16DDF3FA"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1.023051</w:t>
            </w:r>
          </w:p>
        </w:tc>
        <w:tc>
          <w:tcPr>
            <w:tcW w:w="1196" w:type="dxa"/>
            <w:tcBorders>
              <w:top w:val="nil"/>
              <w:left w:val="nil"/>
              <w:bottom w:val="nil"/>
              <w:right w:val="nil"/>
            </w:tcBorders>
            <w:shd w:val="clear" w:color="auto" w:fill="auto"/>
            <w:noWrap/>
            <w:vAlign w:val="center"/>
            <w:hideMark/>
          </w:tcPr>
          <w:p w14:paraId="5BE585D3"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1.120826</w:t>
            </w:r>
          </w:p>
        </w:tc>
        <w:tc>
          <w:tcPr>
            <w:tcW w:w="1196" w:type="dxa"/>
            <w:tcBorders>
              <w:top w:val="nil"/>
              <w:left w:val="nil"/>
              <w:bottom w:val="nil"/>
              <w:right w:val="nil"/>
            </w:tcBorders>
            <w:shd w:val="clear" w:color="auto" w:fill="auto"/>
            <w:noWrap/>
            <w:vAlign w:val="center"/>
            <w:hideMark/>
          </w:tcPr>
          <w:p w14:paraId="0F4BDED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1.332167</w:t>
            </w:r>
          </w:p>
        </w:tc>
      </w:tr>
      <w:tr w:rsidR="0077562E" w:rsidRPr="006704E2" w14:paraId="611E61B7"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5B7DA9A4"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2011</w:t>
            </w:r>
          </w:p>
        </w:tc>
        <w:tc>
          <w:tcPr>
            <w:tcW w:w="1196" w:type="dxa"/>
            <w:tcBorders>
              <w:top w:val="nil"/>
              <w:left w:val="nil"/>
              <w:bottom w:val="nil"/>
              <w:right w:val="nil"/>
            </w:tcBorders>
            <w:shd w:val="clear" w:color="auto" w:fill="auto"/>
            <w:noWrap/>
            <w:vAlign w:val="center"/>
            <w:hideMark/>
          </w:tcPr>
          <w:p w14:paraId="7EE1E4FF"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1.023712</w:t>
            </w:r>
          </w:p>
        </w:tc>
        <w:tc>
          <w:tcPr>
            <w:tcW w:w="1196" w:type="dxa"/>
            <w:tcBorders>
              <w:top w:val="nil"/>
              <w:left w:val="nil"/>
              <w:bottom w:val="nil"/>
              <w:right w:val="nil"/>
            </w:tcBorders>
            <w:shd w:val="clear" w:color="auto" w:fill="auto"/>
            <w:noWrap/>
            <w:vAlign w:val="center"/>
            <w:hideMark/>
          </w:tcPr>
          <w:p w14:paraId="3B1B047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1.124463</w:t>
            </w:r>
          </w:p>
        </w:tc>
        <w:tc>
          <w:tcPr>
            <w:tcW w:w="1196" w:type="dxa"/>
            <w:tcBorders>
              <w:top w:val="nil"/>
              <w:left w:val="nil"/>
              <w:bottom w:val="nil"/>
              <w:right w:val="nil"/>
            </w:tcBorders>
            <w:shd w:val="clear" w:color="auto" w:fill="auto"/>
            <w:noWrap/>
            <w:vAlign w:val="center"/>
            <w:hideMark/>
          </w:tcPr>
          <w:p w14:paraId="168756EC"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1.343195</w:t>
            </w:r>
          </w:p>
        </w:tc>
      </w:tr>
      <w:tr w:rsidR="0077562E" w:rsidRPr="006704E2" w14:paraId="6FF57FE3"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65979C58"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2012</w:t>
            </w:r>
          </w:p>
        </w:tc>
        <w:tc>
          <w:tcPr>
            <w:tcW w:w="1196" w:type="dxa"/>
            <w:tcBorders>
              <w:top w:val="nil"/>
              <w:left w:val="nil"/>
              <w:bottom w:val="nil"/>
              <w:right w:val="nil"/>
            </w:tcBorders>
            <w:shd w:val="clear" w:color="auto" w:fill="auto"/>
            <w:noWrap/>
            <w:vAlign w:val="center"/>
            <w:hideMark/>
          </w:tcPr>
          <w:p w14:paraId="0455C745"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1.024862</w:t>
            </w:r>
          </w:p>
        </w:tc>
        <w:tc>
          <w:tcPr>
            <w:tcW w:w="1196" w:type="dxa"/>
            <w:tcBorders>
              <w:top w:val="nil"/>
              <w:left w:val="nil"/>
              <w:bottom w:val="nil"/>
              <w:right w:val="nil"/>
            </w:tcBorders>
            <w:shd w:val="clear" w:color="auto" w:fill="auto"/>
            <w:noWrap/>
            <w:vAlign w:val="center"/>
            <w:hideMark/>
          </w:tcPr>
          <w:p w14:paraId="69CA59BC"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1.130815</w:t>
            </w:r>
          </w:p>
        </w:tc>
        <w:tc>
          <w:tcPr>
            <w:tcW w:w="1196" w:type="dxa"/>
            <w:tcBorders>
              <w:top w:val="nil"/>
              <w:left w:val="nil"/>
              <w:bottom w:val="nil"/>
              <w:right w:val="nil"/>
            </w:tcBorders>
            <w:shd w:val="clear" w:color="auto" w:fill="auto"/>
            <w:noWrap/>
            <w:vAlign w:val="center"/>
            <w:hideMark/>
          </w:tcPr>
          <w:p w14:paraId="12E17FEE"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1.362613</w:t>
            </w:r>
          </w:p>
        </w:tc>
      </w:tr>
      <w:tr w:rsidR="0077562E" w:rsidRPr="006704E2" w14:paraId="6BDCEA80"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38380AAC"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2013</w:t>
            </w:r>
          </w:p>
        </w:tc>
        <w:tc>
          <w:tcPr>
            <w:tcW w:w="1196" w:type="dxa"/>
            <w:tcBorders>
              <w:top w:val="nil"/>
              <w:left w:val="nil"/>
              <w:bottom w:val="nil"/>
              <w:right w:val="nil"/>
            </w:tcBorders>
            <w:shd w:val="clear" w:color="auto" w:fill="auto"/>
            <w:noWrap/>
            <w:vAlign w:val="center"/>
            <w:hideMark/>
          </w:tcPr>
          <w:p w14:paraId="58FE2ED7"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1.025588</w:t>
            </w:r>
          </w:p>
        </w:tc>
        <w:tc>
          <w:tcPr>
            <w:tcW w:w="1196" w:type="dxa"/>
            <w:tcBorders>
              <w:top w:val="nil"/>
              <w:left w:val="nil"/>
              <w:bottom w:val="nil"/>
              <w:right w:val="nil"/>
            </w:tcBorders>
            <w:shd w:val="clear" w:color="auto" w:fill="auto"/>
            <w:noWrap/>
            <w:vAlign w:val="center"/>
            <w:hideMark/>
          </w:tcPr>
          <w:p w14:paraId="2A57DD73"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1.134841</w:t>
            </w:r>
          </w:p>
        </w:tc>
        <w:tc>
          <w:tcPr>
            <w:tcW w:w="1196" w:type="dxa"/>
            <w:tcBorders>
              <w:top w:val="nil"/>
              <w:left w:val="nil"/>
              <w:bottom w:val="nil"/>
              <w:right w:val="nil"/>
            </w:tcBorders>
            <w:shd w:val="clear" w:color="auto" w:fill="auto"/>
            <w:noWrap/>
            <w:vAlign w:val="center"/>
            <w:hideMark/>
          </w:tcPr>
          <w:p w14:paraId="07D75B7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1.375031</w:t>
            </w:r>
          </w:p>
        </w:tc>
      </w:tr>
      <w:tr w:rsidR="0077562E" w:rsidRPr="006704E2" w14:paraId="4EB66F64" w14:textId="77777777" w:rsidTr="007F1956">
        <w:trPr>
          <w:trHeight w:val="300"/>
          <w:jc w:val="center"/>
        </w:trPr>
        <w:tc>
          <w:tcPr>
            <w:tcW w:w="960" w:type="dxa"/>
            <w:tcBorders>
              <w:top w:val="nil"/>
              <w:left w:val="nil"/>
              <w:bottom w:val="nil"/>
              <w:right w:val="nil"/>
            </w:tcBorders>
            <w:shd w:val="clear" w:color="auto" w:fill="auto"/>
            <w:noWrap/>
            <w:vAlign w:val="center"/>
            <w:hideMark/>
          </w:tcPr>
          <w:p w14:paraId="151D1D86"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2014</w:t>
            </w:r>
          </w:p>
        </w:tc>
        <w:tc>
          <w:tcPr>
            <w:tcW w:w="1196" w:type="dxa"/>
            <w:tcBorders>
              <w:top w:val="nil"/>
              <w:left w:val="nil"/>
              <w:bottom w:val="nil"/>
              <w:right w:val="nil"/>
            </w:tcBorders>
            <w:shd w:val="clear" w:color="auto" w:fill="auto"/>
            <w:noWrap/>
            <w:vAlign w:val="center"/>
            <w:hideMark/>
          </w:tcPr>
          <w:p w14:paraId="19025C3F"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1.026868</w:t>
            </w:r>
          </w:p>
        </w:tc>
        <w:tc>
          <w:tcPr>
            <w:tcW w:w="1196" w:type="dxa"/>
            <w:tcBorders>
              <w:top w:val="nil"/>
              <w:left w:val="nil"/>
              <w:bottom w:val="nil"/>
              <w:right w:val="nil"/>
            </w:tcBorders>
            <w:shd w:val="clear" w:color="auto" w:fill="auto"/>
            <w:noWrap/>
            <w:vAlign w:val="center"/>
            <w:hideMark/>
          </w:tcPr>
          <w:p w14:paraId="0A99AA11"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1.141967</w:t>
            </w:r>
          </w:p>
        </w:tc>
        <w:tc>
          <w:tcPr>
            <w:tcW w:w="1196" w:type="dxa"/>
            <w:tcBorders>
              <w:top w:val="nil"/>
              <w:left w:val="nil"/>
              <w:bottom w:val="nil"/>
              <w:right w:val="nil"/>
            </w:tcBorders>
            <w:shd w:val="clear" w:color="auto" w:fill="auto"/>
            <w:noWrap/>
            <w:vAlign w:val="center"/>
            <w:hideMark/>
          </w:tcPr>
          <w:p w14:paraId="441E0519" w14:textId="77777777" w:rsidR="0077562E" w:rsidRPr="006704E2" w:rsidRDefault="0077562E" w:rsidP="0077562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1.397211</w:t>
            </w:r>
          </w:p>
        </w:tc>
      </w:tr>
    </w:tbl>
    <w:p w14:paraId="47DC2AF7" w14:textId="77777777" w:rsidR="007F1956" w:rsidRPr="006704E2" w:rsidRDefault="007F1956" w:rsidP="007F1956">
      <w:pPr>
        <w:pStyle w:val="ListParagraph"/>
        <w:rPr>
          <w:rFonts w:ascii="Garamond" w:hAnsi="Garamond"/>
          <w:sz w:val="24"/>
          <w:szCs w:val="24"/>
        </w:rPr>
      </w:pPr>
    </w:p>
    <w:p w14:paraId="64692530" w14:textId="63916B5F" w:rsidR="007F1956" w:rsidRPr="006704E2" w:rsidRDefault="007F1956" w:rsidP="009E4810">
      <w:pPr>
        <w:pStyle w:val="ListParagraph"/>
        <w:spacing w:line="480" w:lineRule="auto"/>
        <w:rPr>
          <w:rFonts w:ascii="Garamond" w:hAnsi="Garamond"/>
          <w:sz w:val="24"/>
          <w:szCs w:val="24"/>
        </w:rPr>
      </w:pPr>
      <w:r w:rsidRPr="006704E2">
        <w:rPr>
          <w:rFonts w:ascii="Garamond" w:hAnsi="Garamond"/>
          <w:sz w:val="24"/>
          <w:szCs w:val="24"/>
        </w:rPr>
        <w:t>The Income-Based Willingness to Pay (WTP) Adjustments is obtained from the Environmental Benefits Mapping and Analysis Program - Community Edition (</w:t>
      </w:r>
      <w:proofErr w:type="spellStart"/>
      <w:r w:rsidRPr="006704E2">
        <w:rPr>
          <w:rFonts w:ascii="Garamond" w:hAnsi="Garamond"/>
          <w:sz w:val="24"/>
          <w:szCs w:val="24"/>
        </w:rPr>
        <w:t>BenMAP</w:t>
      </w:r>
      <w:proofErr w:type="spellEnd"/>
      <w:r w:rsidRPr="006704E2">
        <w:rPr>
          <w:rFonts w:ascii="Garamond" w:hAnsi="Garamond"/>
          <w:sz w:val="24"/>
          <w:szCs w:val="24"/>
        </w:rPr>
        <w:t xml:space="preserve"> - CE) user’s manual (p.113)</w:t>
      </w:r>
      <w:r w:rsidR="00C90DF1" w:rsidRPr="006704E2">
        <w:rPr>
          <w:rFonts w:ascii="Garamond" w:hAnsi="Garamond"/>
          <w:sz w:val="24"/>
          <w:szCs w:val="24"/>
        </w:rPr>
        <w:t xml:space="preserve"> </w:t>
      </w:r>
      <w:r w:rsidR="00C90DF1" w:rsidRPr="006704E2">
        <w:rPr>
          <w:rFonts w:ascii="Garamond" w:hAnsi="Garamond"/>
          <w:sz w:val="24"/>
          <w:szCs w:val="24"/>
        </w:rPr>
        <w:fldChar w:fldCharType="begin" w:fldLock="1"/>
      </w:r>
      <w:r w:rsidR="00C10993" w:rsidRPr="006704E2">
        <w:rPr>
          <w:rFonts w:ascii="Garamond" w:hAnsi="Garamond"/>
          <w:sz w:val="24"/>
          <w:szCs w:val="24"/>
        </w:rPr>
        <w:instrText>ADDIN CSL_CITATION { "citationItems" : [ { "id" : "ITEM-1", "itemData" : { "abstract" : "Information on the Environmental Benefits Mapping and Analysis Program (BenMAP)", "author" : [ { "dropping-particle" : "", "family" : "RTI International", "given" : "", "non-dropping-particle" : "", "parse-names" : false, "suffix" : "" } ], "container-title" : "User Manual prepared for the Office of Air Quality Planning and Standards", "id" : "ITEM-1", "issue" : "March", "issued" : { "date-parts" : [ [ "2015" ] ] }, "number-of-pages" : "213", "title" : "Environmental Benefits Mapping and Analysis Program - Community Edition.", "type" : "book" }, "uris" : [ "http://www.mendeley.com/documents/?uuid=b7b421aa-c763-389c-b71c-5d50729e3196" ] } ], "mendeley" : { "formattedCitation" : "(RTI International 2015)", "plainTextFormattedCitation" : "(RTI International 2015)", "previouslyFormattedCitation" : "(RTI International 2015)" }, "properties" : { "noteIndex" : 13 }, "schema" : "https://github.com/citation-style-language/schema/raw/master/csl-citation.json" }</w:instrText>
      </w:r>
      <w:r w:rsidR="00C90DF1" w:rsidRPr="006704E2">
        <w:rPr>
          <w:rFonts w:ascii="Garamond" w:hAnsi="Garamond"/>
          <w:sz w:val="24"/>
          <w:szCs w:val="24"/>
        </w:rPr>
        <w:fldChar w:fldCharType="separate"/>
      </w:r>
      <w:r w:rsidR="00C90DF1" w:rsidRPr="006704E2">
        <w:rPr>
          <w:rFonts w:ascii="Garamond" w:hAnsi="Garamond"/>
          <w:noProof/>
          <w:sz w:val="24"/>
          <w:szCs w:val="24"/>
        </w:rPr>
        <w:t>(RTI International 2015)</w:t>
      </w:r>
      <w:r w:rsidR="00C90DF1" w:rsidRPr="006704E2">
        <w:rPr>
          <w:rFonts w:ascii="Garamond" w:hAnsi="Garamond"/>
          <w:sz w:val="24"/>
          <w:szCs w:val="24"/>
        </w:rPr>
        <w:fldChar w:fldCharType="end"/>
      </w:r>
      <w:r w:rsidRPr="006704E2">
        <w:rPr>
          <w:rFonts w:ascii="Garamond" w:hAnsi="Garamond"/>
          <w:sz w:val="24"/>
          <w:szCs w:val="24"/>
        </w:rPr>
        <w:t xml:space="preserve">. The values in this table is calculated as the following: </w:t>
      </w:r>
    </w:p>
    <w:p w14:paraId="30C48C03" w14:textId="7F734BCA" w:rsidR="007F1956" w:rsidRPr="006704E2" w:rsidRDefault="005D0E13" w:rsidP="009E4810">
      <w:pPr>
        <w:pStyle w:val="ListParagraph"/>
        <w:spacing w:line="480" w:lineRule="auto"/>
        <w:rPr>
          <w:rFonts w:ascii="Garamond" w:hAnsi="Garamond"/>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RI</m:t>
                          </m:r>
                        </m:e>
                        <m:sub>
                          <m:r>
                            <w:rPr>
                              <w:rFonts w:ascii="Cambria Math" w:hAnsi="Cambria Math"/>
                              <w:sz w:val="24"/>
                              <w:szCs w:val="24"/>
                            </w:rPr>
                            <m:t>year</m:t>
                          </m:r>
                        </m:sub>
                      </m:sSub>
                    </m:num>
                    <m:den>
                      <m:sSub>
                        <m:sSubPr>
                          <m:ctrlPr>
                            <w:rPr>
                              <w:rFonts w:ascii="Cambria Math" w:hAnsi="Cambria Math"/>
                              <w:i/>
                              <w:sz w:val="24"/>
                              <w:szCs w:val="24"/>
                            </w:rPr>
                          </m:ctrlPr>
                        </m:sSubPr>
                        <m:e>
                          <m:r>
                            <w:rPr>
                              <w:rFonts w:ascii="Cambria Math" w:hAnsi="Cambria Math"/>
                              <w:sz w:val="24"/>
                              <w:szCs w:val="24"/>
                            </w:rPr>
                            <m:t>RI</m:t>
                          </m:r>
                        </m:e>
                        <m:sub>
                          <m:r>
                            <w:rPr>
                              <w:rFonts w:ascii="Cambria Math" w:hAnsi="Cambria Math"/>
                              <w:sz w:val="24"/>
                              <w:szCs w:val="24"/>
                            </w:rPr>
                            <m:t>1990</m:t>
                          </m:r>
                        </m:sub>
                      </m:sSub>
                    </m:den>
                  </m:f>
                </m:e>
              </m:d>
            </m:e>
            <m:sup>
              <m:r>
                <w:rPr>
                  <w:rFonts w:ascii="Cambria Math" w:hAnsi="Cambria Math"/>
                  <w:sz w:val="24"/>
                  <w:szCs w:val="24"/>
                </w:rPr>
                <m:t>η</m:t>
              </m:r>
            </m:sup>
          </m:sSup>
        </m:oMath>
      </m:oMathPara>
    </w:p>
    <w:p w14:paraId="7F3C264E" w14:textId="16EF1D6C" w:rsidR="004F24F1" w:rsidRPr="006704E2" w:rsidRDefault="007F1956" w:rsidP="009E4810">
      <w:pPr>
        <w:pStyle w:val="ListParagraph"/>
        <w:spacing w:line="480" w:lineRule="auto"/>
        <w:rPr>
          <w:rFonts w:ascii="Garamond" w:hAnsi="Garamond"/>
          <w:sz w:val="24"/>
          <w:szCs w:val="24"/>
        </w:rPr>
      </w:pPr>
      <w:r w:rsidRPr="006704E2">
        <w:rPr>
          <w:rFonts w:ascii="Garamond" w:hAnsi="Garamond"/>
          <w:sz w:val="24"/>
          <w:szCs w:val="24"/>
        </w:rPr>
        <w:t>where Real Income</w:t>
      </w:r>
      <w:r w:rsidR="00C90DF1" w:rsidRPr="006704E2">
        <w:rPr>
          <w:rFonts w:ascii="Garamond" w:hAnsi="Garamond"/>
          <w:sz w:val="24"/>
          <w:szCs w:val="24"/>
        </w:rPr>
        <w:t xml:space="preserve"> (RI)</w:t>
      </w:r>
      <w:r w:rsidRPr="006704E2">
        <w:rPr>
          <w:rFonts w:ascii="Garamond" w:hAnsi="Garamond"/>
          <w:sz w:val="24"/>
          <w:szCs w:val="24"/>
        </w:rPr>
        <w:t xml:space="preserve"> essentially is income after taking into consideration inflation on purchasing power. The reference period (when Income-based WTP adjustments = 1) is 1990. The low, center, high estimations are a result of different income elasticity (</w:t>
      </w:r>
      <m:oMath>
        <m:r>
          <w:rPr>
            <w:rFonts w:ascii="Cambria Math" w:hAnsi="Cambria Math"/>
            <w:sz w:val="24"/>
            <w:szCs w:val="24"/>
          </w:rPr>
          <m:t>η</m:t>
        </m:r>
      </m:oMath>
      <w:r w:rsidRPr="006704E2">
        <w:rPr>
          <w:rFonts w:ascii="Garamond" w:hAnsi="Garamond"/>
          <w:sz w:val="24"/>
          <w:szCs w:val="24"/>
        </w:rPr>
        <w:t>) approximations of 0.08, 0.4, 1</w:t>
      </w:r>
      <w:r w:rsidR="00C3427E" w:rsidRPr="006704E2">
        <w:rPr>
          <w:rFonts w:ascii="Garamond" w:hAnsi="Garamond"/>
          <w:sz w:val="24"/>
          <w:szCs w:val="24"/>
        </w:rPr>
        <w:t xml:space="preserve"> although in this study we fix </w:t>
      </w:r>
      <m:oMath>
        <m:r>
          <w:rPr>
            <w:rFonts w:ascii="Cambria Math" w:hAnsi="Cambria Math"/>
            <w:sz w:val="24"/>
            <w:szCs w:val="24"/>
          </w:rPr>
          <m:t>η at 0.4</m:t>
        </m:r>
      </m:oMath>
      <w:r w:rsidRPr="006704E2">
        <w:rPr>
          <w:rFonts w:ascii="Garamond" w:hAnsi="Garamond"/>
          <w:sz w:val="24"/>
          <w:szCs w:val="24"/>
        </w:rPr>
        <w:t>.</w:t>
      </w:r>
    </w:p>
    <w:p w14:paraId="419668A9" w14:textId="77777777" w:rsidR="004F24F1" w:rsidRPr="006704E2" w:rsidRDefault="004F24F1">
      <w:pPr>
        <w:rPr>
          <w:rFonts w:ascii="Garamond" w:hAnsi="Garamond"/>
          <w:sz w:val="24"/>
          <w:szCs w:val="24"/>
        </w:rPr>
      </w:pPr>
      <w:r w:rsidRPr="006704E2">
        <w:rPr>
          <w:rFonts w:ascii="Garamond" w:hAnsi="Garamond"/>
          <w:sz w:val="24"/>
          <w:szCs w:val="24"/>
        </w:rPr>
        <w:br w:type="page"/>
      </w:r>
    </w:p>
    <w:p w14:paraId="4239EBA5" w14:textId="659736EF" w:rsidR="00BF3130" w:rsidRPr="006704E2" w:rsidRDefault="00B54153" w:rsidP="00597B56">
      <w:pPr>
        <w:pStyle w:val="Heading3"/>
        <w:numPr>
          <w:ilvl w:val="2"/>
          <w:numId w:val="17"/>
        </w:numPr>
        <w:ind w:firstLine="0"/>
        <w:rPr>
          <w:rFonts w:ascii="Garamond" w:hAnsi="Garamond"/>
          <w:color w:val="auto"/>
        </w:rPr>
      </w:pPr>
      <w:bookmarkStart w:id="14" w:name="_Toc392863190"/>
      <w:r w:rsidRPr="006704E2">
        <w:rPr>
          <w:rFonts w:ascii="Garamond" w:hAnsi="Garamond"/>
          <w:color w:val="auto"/>
        </w:rPr>
        <w:lastRenderedPageBreak/>
        <w:t xml:space="preserve">VSL </w:t>
      </w:r>
      <w:r w:rsidR="004F24F1" w:rsidRPr="006704E2">
        <w:rPr>
          <w:rFonts w:ascii="Garamond" w:hAnsi="Garamond"/>
          <w:color w:val="auto"/>
        </w:rPr>
        <w:t>Results</w:t>
      </w:r>
      <w:bookmarkEnd w:id="14"/>
    </w:p>
    <w:p w14:paraId="53A2E275" w14:textId="77777777" w:rsidR="00B54153" w:rsidRPr="006704E2" w:rsidRDefault="00B54153" w:rsidP="00B54153">
      <w:pPr>
        <w:rPr>
          <w:rFonts w:ascii="Garamond" w:hAnsi="Garamond"/>
          <w:sz w:val="24"/>
          <w:szCs w:val="24"/>
        </w:rPr>
      </w:pPr>
    </w:p>
    <w:tbl>
      <w:tblPr>
        <w:tblW w:w="0" w:type="auto"/>
        <w:jc w:val="center"/>
        <w:tblCellMar>
          <w:left w:w="0" w:type="dxa"/>
          <w:right w:w="0" w:type="dxa"/>
        </w:tblCellMar>
        <w:tblLook w:val="04A0" w:firstRow="1" w:lastRow="0" w:firstColumn="1" w:lastColumn="0" w:noHBand="0" w:noVBand="1"/>
      </w:tblPr>
      <w:tblGrid>
        <w:gridCol w:w="622"/>
        <w:gridCol w:w="671"/>
        <w:gridCol w:w="480"/>
        <w:gridCol w:w="480"/>
        <w:gridCol w:w="593"/>
        <w:gridCol w:w="593"/>
        <w:gridCol w:w="593"/>
        <w:gridCol w:w="480"/>
        <w:gridCol w:w="593"/>
        <w:gridCol w:w="480"/>
        <w:gridCol w:w="480"/>
        <w:gridCol w:w="671"/>
      </w:tblGrid>
      <w:tr w:rsidR="00353A1B" w:rsidRPr="006704E2" w14:paraId="37B886EB" w14:textId="77777777" w:rsidTr="001726FB">
        <w:trPr>
          <w:trHeight w:val="315"/>
          <w:jc w:val="center"/>
        </w:trPr>
        <w:tc>
          <w:tcPr>
            <w:tcW w:w="622" w:type="dxa"/>
            <w:tcBorders>
              <w:right w:val="single" w:sz="4" w:space="0" w:color="auto"/>
            </w:tcBorders>
            <w:tcMar>
              <w:top w:w="30" w:type="dxa"/>
              <w:left w:w="45" w:type="dxa"/>
              <w:bottom w:w="30" w:type="dxa"/>
              <w:right w:w="45" w:type="dxa"/>
            </w:tcMar>
            <w:vAlign w:val="center"/>
          </w:tcPr>
          <w:p w14:paraId="6AD8B94C" w14:textId="77777777" w:rsidR="00353A1B" w:rsidRPr="006704E2" w:rsidRDefault="00353A1B" w:rsidP="002C1A1A">
            <w:pPr>
              <w:spacing w:after="0" w:line="240" w:lineRule="auto"/>
              <w:jc w:val="center"/>
              <w:rPr>
                <w:rFonts w:ascii="Garamond" w:eastAsia="Times New Roman" w:hAnsi="Garamond" w:cs="Times New Roman"/>
                <w:sz w:val="24"/>
                <w:szCs w:val="24"/>
              </w:rPr>
            </w:pPr>
          </w:p>
        </w:tc>
        <w:tc>
          <w:tcPr>
            <w:tcW w:w="6114" w:type="dxa"/>
            <w:gridSpan w:val="11"/>
            <w:tcBorders>
              <w:left w:val="single" w:sz="4" w:space="0" w:color="auto"/>
            </w:tcBorders>
            <w:noWrap/>
            <w:tcMar>
              <w:top w:w="30" w:type="dxa"/>
              <w:left w:w="45" w:type="dxa"/>
              <w:bottom w:w="30" w:type="dxa"/>
              <w:right w:w="45" w:type="dxa"/>
            </w:tcMar>
            <w:vAlign w:val="center"/>
          </w:tcPr>
          <w:p w14:paraId="09C723E4" w14:textId="63B452C4" w:rsidR="00353A1B" w:rsidRPr="006704E2" w:rsidRDefault="00C01DE8" w:rsidP="00353A1B">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VSL Estimates (m</w:t>
            </w:r>
            <w:r w:rsidR="00353A1B" w:rsidRPr="006704E2">
              <w:rPr>
                <w:rFonts w:ascii="Garamond" w:eastAsia="Times New Roman" w:hAnsi="Garamond" w:cs="Arial"/>
                <w:b/>
                <w:sz w:val="24"/>
                <w:szCs w:val="24"/>
              </w:rPr>
              <w:t>illion 2016</w:t>
            </w:r>
            <w:r w:rsidR="00593998">
              <w:rPr>
                <w:rFonts w:ascii="Garamond" w:eastAsia="Times New Roman" w:hAnsi="Garamond" w:cs="Arial"/>
                <w:b/>
                <w:sz w:val="24"/>
                <w:szCs w:val="24"/>
              </w:rPr>
              <w:t xml:space="preserve"> USD</w:t>
            </w:r>
            <w:r w:rsidR="00353A1B" w:rsidRPr="006704E2">
              <w:rPr>
                <w:rFonts w:ascii="Garamond" w:eastAsia="Times New Roman" w:hAnsi="Garamond" w:cs="Arial"/>
                <w:b/>
                <w:sz w:val="24"/>
                <w:szCs w:val="24"/>
              </w:rPr>
              <w:t>)</w:t>
            </w:r>
          </w:p>
        </w:tc>
      </w:tr>
      <w:tr w:rsidR="002C1A1A" w:rsidRPr="006704E2" w14:paraId="3F958396" w14:textId="77777777" w:rsidTr="001726FB">
        <w:trPr>
          <w:trHeight w:val="315"/>
          <w:jc w:val="center"/>
        </w:trPr>
        <w:tc>
          <w:tcPr>
            <w:tcW w:w="622" w:type="dxa"/>
            <w:tcBorders>
              <w:bottom w:val="single" w:sz="4" w:space="0" w:color="auto"/>
              <w:right w:val="single" w:sz="4" w:space="0" w:color="auto"/>
            </w:tcBorders>
            <w:tcMar>
              <w:top w:w="30" w:type="dxa"/>
              <w:left w:w="45" w:type="dxa"/>
              <w:bottom w:w="30" w:type="dxa"/>
              <w:right w:w="45" w:type="dxa"/>
            </w:tcMar>
            <w:vAlign w:val="center"/>
            <w:hideMark/>
          </w:tcPr>
          <w:p w14:paraId="4311E106" w14:textId="77777777" w:rsidR="002C1A1A" w:rsidRPr="006704E2" w:rsidRDefault="002C1A1A" w:rsidP="002C1A1A">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Year</w:t>
            </w:r>
          </w:p>
        </w:tc>
        <w:tc>
          <w:tcPr>
            <w:tcW w:w="671" w:type="dxa"/>
            <w:tcBorders>
              <w:left w:val="single" w:sz="4" w:space="0" w:color="auto"/>
              <w:bottom w:val="single" w:sz="4" w:space="0" w:color="auto"/>
            </w:tcBorders>
            <w:noWrap/>
            <w:tcMar>
              <w:top w:w="30" w:type="dxa"/>
              <w:left w:w="45" w:type="dxa"/>
              <w:bottom w:w="30" w:type="dxa"/>
              <w:right w:w="45" w:type="dxa"/>
            </w:tcMar>
            <w:vAlign w:val="center"/>
            <w:hideMark/>
          </w:tcPr>
          <w:p w14:paraId="1FF272F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A</w:t>
            </w:r>
          </w:p>
        </w:tc>
        <w:tc>
          <w:tcPr>
            <w:tcW w:w="0" w:type="auto"/>
            <w:tcBorders>
              <w:bottom w:val="single" w:sz="4" w:space="0" w:color="auto"/>
            </w:tcBorders>
            <w:noWrap/>
            <w:tcMar>
              <w:top w:w="30" w:type="dxa"/>
              <w:left w:w="45" w:type="dxa"/>
              <w:bottom w:w="30" w:type="dxa"/>
              <w:right w:w="45" w:type="dxa"/>
            </w:tcMar>
            <w:vAlign w:val="center"/>
            <w:hideMark/>
          </w:tcPr>
          <w:p w14:paraId="3331CBD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B</w:t>
            </w:r>
          </w:p>
        </w:tc>
        <w:tc>
          <w:tcPr>
            <w:tcW w:w="0" w:type="auto"/>
            <w:tcBorders>
              <w:bottom w:val="single" w:sz="4" w:space="0" w:color="auto"/>
            </w:tcBorders>
            <w:noWrap/>
            <w:tcMar>
              <w:top w:w="30" w:type="dxa"/>
              <w:left w:w="45" w:type="dxa"/>
              <w:bottom w:w="30" w:type="dxa"/>
              <w:right w:w="45" w:type="dxa"/>
            </w:tcMar>
            <w:vAlign w:val="center"/>
            <w:hideMark/>
          </w:tcPr>
          <w:p w14:paraId="1864F97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C</w:t>
            </w:r>
          </w:p>
        </w:tc>
        <w:tc>
          <w:tcPr>
            <w:tcW w:w="0" w:type="auto"/>
            <w:tcBorders>
              <w:bottom w:val="single" w:sz="4" w:space="0" w:color="auto"/>
            </w:tcBorders>
            <w:noWrap/>
            <w:tcMar>
              <w:top w:w="30" w:type="dxa"/>
              <w:left w:w="45" w:type="dxa"/>
              <w:bottom w:w="30" w:type="dxa"/>
              <w:right w:w="45" w:type="dxa"/>
            </w:tcMar>
            <w:vAlign w:val="center"/>
            <w:hideMark/>
          </w:tcPr>
          <w:p w14:paraId="74C2998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D</w:t>
            </w:r>
          </w:p>
        </w:tc>
        <w:tc>
          <w:tcPr>
            <w:tcW w:w="0" w:type="auto"/>
            <w:tcBorders>
              <w:bottom w:val="single" w:sz="4" w:space="0" w:color="auto"/>
            </w:tcBorders>
            <w:noWrap/>
            <w:tcMar>
              <w:top w:w="30" w:type="dxa"/>
              <w:left w:w="45" w:type="dxa"/>
              <w:bottom w:w="30" w:type="dxa"/>
              <w:right w:w="45" w:type="dxa"/>
            </w:tcMar>
            <w:vAlign w:val="center"/>
            <w:hideMark/>
          </w:tcPr>
          <w:p w14:paraId="6888A75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E</w:t>
            </w:r>
          </w:p>
        </w:tc>
        <w:tc>
          <w:tcPr>
            <w:tcW w:w="0" w:type="auto"/>
            <w:tcBorders>
              <w:bottom w:val="single" w:sz="4" w:space="0" w:color="auto"/>
            </w:tcBorders>
            <w:noWrap/>
            <w:tcMar>
              <w:top w:w="30" w:type="dxa"/>
              <w:left w:w="45" w:type="dxa"/>
              <w:bottom w:w="30" w:type="dxa"/>
              <w:right w:w="45" w:type="dxa"/>
            </w:tcMar>
            <w:vAlign w:val="center"/>
            <w:hideMark/>
          </w:tcPr>
          <w:p w14:paraId="5D88593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F</w:t>
            </w:r>
          </w:p>
        </w:tc>
        <w:tc>
          <w:tcPr>
            <w:tcW w:w="0" w:type="auto"/>
            <w:tcBorders>
              <w:bottom w:val="single" w:sz="4" w:space="0" w:color="auto"/>
            </w:tcBorders>
            <w:noWrap/>
            <w:tcMar>
              <w:top w:w="30" w:type="dxa"/>
              <w:left w:w="45" w:type="dxa"/>
              <w:bottom w:w="30" w:type="dxa"/>
              <w:right w:w="45" w:type="dxa"/>
            </w:tcMar>
            <w:vAlign w:val="center"/>
            <w:hideMark/>
          </w:tcPr>
          <w:p w14:paraId="52D498E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G</w:t>
            </w:r>
          </w:p>
        </w:tc>
        <w:tc>
          <w:tcPr>
            <w:tcW w:w="0" w:type="auto"/>
            <w:tcBorders>
              <w:bottom w:val="single" w:sz="4" w:space="0" w:color="auto"/>
            </w:tcBorders>
            <w:noWrap/>
            <w:tcMar>
              <w:top w:w="30" w:type="dxa"/>
              <w:left w:w="45" w:type="dxa"/>
              <w:bottom w:w="30" w:type="dxa"/>
              <w:right w:w="45" w:type="dxa"/>
            </w:tcMar>
            <w:vAlign w:val="center"/>
            <w:hideMark/>
          </w:tcPr>
          <w:p w14:paraId="40FAE00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H</w:t>
            </w:r>
          </w:p>
        </w:tc>
        <w:tc>
          <w:tcPr>
            <w:tcW w:w="0" w:type="auto"/>
            <w:tcBorders>
              <w:bottom w:val="single" w:sz="4" w:space="0" w:color="auto"/>
            </w:tcBorders>
            <w:noWrap/>
            <w:tcMar>
              <w:top w:w="30" w:type="dxa"/>
              <w:left w:w="45" w:type="dxa"/>
              <w:bottom w:w="30" w:type="dxa"/>
              <w:right w:w="45" w:type="dxa"/>
            </w:tcMar>
            <w:vAlign w:val="center"/>
            <w:hideMark/>
          </w:tcPr>
          <w:p w14:paraId="7370A3D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I</w:t>
            </w:r>
          </w:p>
        </w:tc>
        <w:tc>
          <w:tcPr>
            <w:tcW w:w="0" w:type="auto"/>
            <w:tcBorders>
              <w:bottom w:val="single" w:sz="4" w:space="0" w:color="auto"/>
            </w:tcBorders>
            <w:noWrap/>
            <w:tcMar>
              <w:top w:w="30" w:type="dxa"/>
              <w:left w:w="45" w:type="dxa"/>
              <w:bottom w:w="30" w:type="dxa"/>
              <w:right w:w="45" w:type="dxa"/>
            </w:tcMar>
            <w:vAlign w:val="center"/>
            <w:hideMark/>
          </w:tcPr>
          <w:p w14:paraId="434B27C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J</w:t>
            </w:r>
          </w:p>
        </w:tc>
        <w:tc>
          <w:tcPr>
            <w:tcW w:w="671" w:type="dxa"/>
            <w:tcBorders>
              <w:bottom w:val="single" w:sz="4" w:space="0" w:color="auto"/>
            </w:tcBorders>
            <w:noWrap/>
            <w:tcMar>
              <w:top w:w="30" w:type="dxa"/>
              <w:left w:w="45" w:type="dxa"/>
              <w:bottom w:w="30" w:type="dxa"/>
              <w:right w:w="45" w:type="dxa"/>
            </w:tcMar>
            <w:vAlign w:val="center"/>
            <w:hideMark/>
          </w:tcPr>
          <w:p w14:paraId="3541FD0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K</w:t>
            </w:r>
          </w:p>
        </w:tc>
      </w:tr>
      <w:tr w:rsidR="002C1A1A" w:rsidRPr="006704E2" w14:paraId="09CF209D" w14:textId="77777777" w:rsidTr="001726FB">
        <w:trPr>
          <w:trHeight w:val="315"/>
          <w:jc w:val="center"/>
        </w:trPr>
        <w:tc>
          <w:tcPr>
            <w:tcW w:w="622" w:type="dxa"/>
            <w:tcBorders>
              <w:top w:val="single" w:sz="4" w:space="0" w:color="auto"/>
              <w:right w:val="single" w:sz="4" w:space="0" w:color="auto"/>
            </w:tcBorders>
            <w:noWrap/>
            <w:tcMar>
              <w:top w:w="30" w:type="dxa"/>
              <w:left w:w="45" w:type="dxa"/>
              <w:bottom w:w="30" w:type="dxa"/>
              <w:right w:w="45" w:type="dxa"/>
            </w:tcMar>
            <w:vAlign w:val="center"/>
            <w:hideMark/>
          </w:tcPr>
          <w:p w14:paraId="65E5DD3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1998</w:t>
            </w:r>
          </w:p>
        </w:tc>
        <w:tc>
          <w:tcPr>
            <w:tcW w:w="671" w:type="dxa"/>
            <w:tcBorders>
              <w:top w:val="single" w:sz="4" w:space="0" w:color="auto"/>
              <w:left w:val="single" w:sz="4" w:space="0" w:color="auto"/>
            </w:tcBorders>
            <w:noWrap/>
            <w:tcMar>
              <w:top w:w="30" w:type="dxa"/>
              <w:left w:w="45" w:type="dxa"/>
              <w:bottom w:w="30" w:type="dxa"/>
              <w:right w:w="45" w:type="dxa"/>
            </w:tcMar>
            <w:vAlign w:val="center"/>
            <w:hideMark/>
          </w:tcPr>
          <w:p w14:paraId="3E6585D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9.41</w:t>
            </w:r>
          </w:p>
        </w:tc>
        <w:tc>
          <w:tcPr>
            <w:tcW w:w="0" w:type="auto"/>
            <w:tcBorders>
              <w:top w:val="single" w:sz="4" w:space="0" w:color="auto"/>
            </w:tcBorders>
            <w:noWrap/>
            <w:tcMar>
              <w:top w:w="30" w:type="dxa"/>
              <w:left w:w="45" w:type="dxa"/>
              <w:bottom w:w="30" w:type="dxa"/>
              <w:right w:w="45" w:type="dxa"/>
            </w:tcMar>
            <w:vAlign w:val="center"/>
            <w:hideMark/>
          </w:tcPr>
          <w:p w14:paraId="57CD502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7.17</w:t>
            </w:r>
          </w:p>
        </w:tc>
        <w:tc>
          <w:tcPr>
            <w:tcW w:w="0" w:type="auto"/>
            <w:tcBorders>
              <w:top w:val="single" w:sz="4" w:space="0" w:color="auto"/>
            </w:tcBorders>
            <w:noWrap/>
            <w:tcMar>
              <w:top w:w="30" w:type="dxa"/>
              <w:left w:w="45" w:type="dxa"/>
              <w:bottom w:w="30" w:type="dxa"/>
              <w:right w:w="45" w:type="dxa"/>
            </w:tcMar>
            <w:vAlign w:val="center"/>
            <w:hideMark/>
          </w:tcPr>
          <w:p w14:paraId="7A89562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7.23</w:t>
            </w:r>
          </w:p>
        </w:tc>
        <w:tc>
          <w:tcPr>
            <w:tcW w:w="0" w:type="auto"/>
            <w:tcBorders>
              <w:top w:val="single" w:sz="4" w:space="0" w:color="auto"/>
            </w:tcBorders>
            <w:noWrap/>
            <w:tcMar>
              <w:top w:w="30" w:type="dxa"/>
              <w:left w:w="45" w:type="dxa"/>
              <w:bottom w:w="30" w:type="dxa"/>
              <w:right w:w="45" w:type="dxa"/>
            </w:tcMar>
            <w:vAlign w:val="center"/>
            <w:hideMark/>
          </w:tcPr>
          <w:p w14:paraId="01BA78B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12.89</w:t>
            </w:r>
          </w:p>
        </w:tc>
        <w:tc>
          <w:tcPr>
            <w:tcW w:w="0" w:type="auto"/>
            <w:tcBorders>
              <w:top w:val="single" w:sz="4" w:space="0" w:color="auto"/>
            </w:tcBorders>
            <w:noWrap/>
            <w:tcMar>
              <w:top w:w="30" w:type="dxa"/>
              <w:left w:w="45" w:type="dxa"/>
              <w:bottom w:w="30" w:type="dxa"/>
              <w:right w:w="45" w:type="dxa"/>
            </w:tcMar>
            <w:vAlign w:val="center"/>
            <w:hideMark/>
          </w:tcPr>
          <w:p w14:paraId="69B61C5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9.89</w:t>
            </w:r>
          </w:p>
        </w:tc>
        <w:tc>
          <w:tcPr>
            <w:tcW w:w="0" w:type="auto"/>
            <w:tcBorders>
              <w:top w:val="single" w:sz="4" w:space="0" w:color="auto"/>
            </w:tcBorders>
            <w:noWrap/>
            <w:tcMar>
              <w:top w:w="30" w:type="dxa"/>
              <w:left w:w="45" w:type="dxa"/>
              <w:bottom w:w="30" w:type="dxa"/>
              <w:right w:w="45" w:type="dxa"/>
            </w:tcMar>
            <w:vAlign w:val="center"/>
            <w:hideMark/>
          </w:tcPr>
          <w:p w14:paraId="0A6AD66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9.91</w:t>
            </w:r>
          </w:p>
        </w:tc>
        <w:tc>
          <w:tcPr>
            <w:tcW w:w="0" w:type="auto"/>
            <w:tcBorders>
              <w:top w:val="single" w:sz="4" w:space="0" w:color="auto"/>
            </w:tcBorders>
            <w:noWrap/>
            <w:tcMar>
              <w:top w:w="30" w:type="dxa"/>
              <w:left w:w="45" w:type="dxa"/>
              <w:bottom w:w="30" w:type="dxa"/>
              <w:right w:w="45" w:type="dxa"/>
            </w:tcMar>
            <w:vAlign w:val="center"/>
            <w:hideMark/>
          </w:tcPr>
          <w:p w14:paraId="3FAF39B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8.41</w:t>
            </w:r>
          </w:p>
        </w:tc>
        <w:tc>
          <w:tcPr>
            <w:tcW w:w="0" w:type="auto"/>
            <w:tcBorders>
              <w:top w:val="single" w:sz="4" w:space="0" w:color="auto"/>
            </w:tcBorders>
            <w:noWrap/>
            <w:tcMar>
              <w:top w:w="30" w:type="dxa"/>
              <w:left w:w="45" w:type="dxa"/>
              <w:bottom w:w="30" w:type="dxa"/>
              <w:right w:w="45" w:type="dxa"/>
            </w:tcMar>
            <w:vAlign w:val="center"/>
            <w:hideMark/>
          </w:tcPr>
          <w:p w14:paraId="4046836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9.77</w:t>
            </w:r>
          </w:p>
        </w:tc>
        <w:tc>
          <w:tcPr>
            <w:tcW w:w="0" w:type="auto"/>
            <w:tcBorders>
              <w:top w:val="single" w:sz="4" w:space="0" w:color="auto"/>
            </w:tcBorders>
            <w:noWrap/>
            <w:tcMar>
              <w:top w:w="30" w:type="dxa"/>
              <w:left w:w="45" w:type="dxa"/>
              <w:bottom w:w="30" w:type="dxa"/>
              <w:right w:w="45" w:type="dxa"/>
            </w:tcMar>
            <w:vAlign w:val="center"/>
            <w:hideMark/>
          </w:tcPr>
          <w:p w14:paraId="6C2B5F9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8.04</w:t>
            </w:r>
          </w:p>
        </w:tc>
        <w:tc>
          <w:tcPr>
            <w:tcW w:w="0" w:type="auto"/>
            <w:tcBorders>
              <w:top w:val="single" w:sz="4" w:space="0" w:color="auto"/>
            </w:tcBorders>
            <w:noWrap/>
            <w:tcMar>
              <w:top w:w="30" w:type="dxa"/>
              <w:left w:w="45" w:type="dxa"/>
              <w:bottom w:w="30" w:type="dxa"/>
              <w:right w:w="45" w:type="dxa"/>
            </w:tcMar>
            <w:vAlign w:val="center"/>
            <w:hideMark/>
          </w:tcPr>
          <w:p w14:paraId="56FF93B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5.18</w:t>
            </w:r>
          </w:p>
        </w:tc>
        <w:tc>
          <w:tcPr>
            <w:tcW w:w="671" w:type="dxa"/>
            <w:tcBorders>
              <w:top w:val="single" w:sz="4" w:space="0" w:color="auto"/>
            </w:tcBorders>
            <w:noWrap/>
            <w:tcMar>
              <w:top w:w="30" w:type="dxa"/>
              <w:left w:w="45" w:type="dxa"/>
              <w:bottom w:w="30" w:type="dxa"/>
              <w:right w:w="45" w:type="dxa"/>
            </w:tcMar>
            <w:vAlign w:val="center"/>
            <w:hideMark/>
          </w:tcPr>
          <w:p w14:paraId="25D2248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12.94</w:t>
            </w:r>
          </w:p>
        </w:tc>
      </w:tr>
      <w:tr w:rsidR="002C1A1A" w:rsidRPr="006704E2" w14:paraId="24EDA82D"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6A22DFE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1999</w:t>
            </w:r>
          </w:p>
        </w:tc>
        <w:tc>
          <w:tcPr>
            <w:tcW w:w="671" w:type="dxa"/>
            <w:tcBorders>
              <w:left w:val="single" w:sz="4" w:space="0" w:color="auto"/>
            </w:tcBorders>
            <w:noWrap/>
            <w:tcMar>
              <w:top w:w="30" w:type="dxa"/>
              <w:left w:w="45" w:type="dxa"/>
              <w:bottom w:w="30" w:type="dxa"/>
              <w:right w:w="45" w:type="dxa"/>
            </w:tcMar>
            <w:vAlign w:val="center"/>
            <w:hideMark/>
          </w:tcPr>
          <w:p w14:paraId="56F49BF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9.53</w:t>
            </w:r>
          </w:p>
        </w:tc>
        <w:tc>
          <w:tcPr>
            <w:tcW w:w="0" w:type="auto"/>
            <w:noWrap/>
            <w:tcMar>
              <w:top w:w="30" w:type="dxa"/>
              <w:left w:w="45" w:type="dxa"/>
              <w:bottom w:w="30" w:type="dxa"/>
              <w:right w:w="45" w:type="dxa"/>
            </w:tcMar>
            <w:vAlign w:val="center"/>
            <w:hideMark/>
          </w:tcPr>
          <w:p w14:paraId="010F9CD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7.27</w:t>
            </w:r>
          </w:p>
        </w:tc>
        <w:tc>
          <w:tcPr>
            <w:tcW w:w="0" w:type="auto"/>
            <w:noWrap/>
            <w:tcMar>
              <w:top w:w="30" w:type="dxa"/>
              <w:left w:w="45" w:type="dxa"/>
              <w:bottom w:w="30" w:type="dxa"/>
              <w:right w:w="45" w:type="dxa"/>
            </w:tcMar>
            <w:vAlign w:val="center"/>
            <w:hideMark/>
          </w:tcPr>
          <w:p w14:paraId="4F0166C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7.33</w:t>
            </w:r>
          </w:p>
        </w:tc>
        <w:tc>
          <w:tcPr>
            <w:tcW w:w="0" w:type="auto"/>
            <w:noWrap/>
            <w:tcMar>
              <w:top w:w="30" w:type="dxa"/>
              <w:left w:w="45" w:type="dxa"/>
              <w:bottom w:w="30" w:type="dxa"/>
              <w:right w:w="45" w:type="dxa"/>
            </w:tcMar>
            <w:vAlign w:val="center"/>
            <w:hideMark/>
          </w:tcPr>
          <w:p w14:paraId="03CFFB3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13.06</w:t>
            </w:r>
          </w:p>
        </w:tc>
        <w:tc>
          <w:tcPr>
            <w:tcW w:w="0" w:type="auto"/>
            <w:noWrap/>
            <w:tcMar>
              <w:top w:w="30" w:type="dxa"/>
              <w:left w:w="45" w:type="dxa"/>
              <w:bottom w:w="30" w:type="dxa"/>
              <w:right w:w="45" w:type="dxa"/>
            </w:tcMar>
            <w:vAlign w:val="center"/>
            <w:hideMark/>
          </w:tcPr>
          <w:p w14:paraId="5CE5510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10.03</w:t>
            </w:r>
          </w:p>
        </w:tc>
        <w:tc>
          <w:tcPr>
            <w:tcW w:w="0" w:type="auto"/>
            <w:noWrap/>
            <w:tcMar>
              <w:top w:w="30" w:type="dxa"/>
              <w:left w:w="45" w:type="dxa"/>
              <w:bottom w:w="30" w:type="dxa"/>
              <w:right w:w="45" w:type="dxa"/>
            </w:tcMar>
            <w:vAlign w:val="center"/>
            <w:hideMark/>
          </w:tcPr>
          <w:p w14:paraId="6461A65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10.05</w:t>
            </w:r>
          </w:p>
        </w:tc>
        <w:tc>
          <w:tcPr>
            <w:tcW w:w="0" w:type="auto"/>
            <w:noWrap/>
            <w:tcMar>
              <w:top w:w="30" w:type="dxa"/>
              <w:left w:w="45" w:type="dxa"/>
              <w:bottom w:w="30" w:type="dxa"/>
              <w:right w:w="45" w:type="dxa"/>
            </w:tcMar>
            <w:vAlign w:val="center"/>
            <w:hideMark/>
          </w:tcPr>
          <w:p w14:paraId="113872E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8.52</w:t>
            </w:r>
          </w:p>
        </w:tc>
        <w:tc>
          <w:tcPr>
            <w:tcW w:w="0" w:type="auto"/>
            <w:noWrap/>
            <w:tcMar>
              <w:top w:w="30" w:type="dxa"/>
              <w:left w:w="45" w:type="dxa"/>
              <w:bottom w:w="30" w:type="dxa"/>
              <w:right w:w="45" w:type="dxa"/>
            </w:tcMar>
            <w:vAlign w:val="center"/>
            <w:hideMark/>
          </w:tcPr>
          <w:p w14:paraId="3D9C494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9.90</w:t>
            </w:r>
          </w:p>
        </w:tc>
        <w:tc>
          <w:tcPr>
            <w:tcW w:w="0" w:type="auto"/>
            <w:noWrap/>
            <w:tcMar>
              <w:top w:w="30" w:type="dxa"/>
              <w:left w:w="45" w:type="dxa"/>
              <w:bottom w:w="30" w:type="dxa"/>
              <w:right w:w="45" w:type="dxa"/>
            </w:tcMar>
            <w:vAlign w:val="center"/>
            <w:hideMark/>
          </w:tcPr>
          <w:p w14:paraId="2FB4085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8.15</w:t>
            </w:r>
          </w:p>
        </w:tc>
        <w:tc>
          <w:tcPr>
            <w:tcW w:w="0" w:type="auto"/>
            <w:noWrap/>
            <w:tcMar>
              <w:top w:w="30" w:type="dxa"/>
              <w:left w:w="45" w:type="dxa"/>
              <w:bottom w:w="30" w:type="dxa"/>
              <w:right w:w="45" w:type="dxa"/>
            </w:tcMar>
            <w:vAlign w:val="center"/>
            <w:hideMark/>
          </w:tcPr>
          <w:p w14:paraId="28B048B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5.25</w:t>
            </w:r>
          </w:p>
        </w:tc>
        <w:tc>
          <w:tcPr>
            <w:tcW w:w="671" w:type="dxa"/>
            <w:noWrap/>
            <w:tcMar>
              <w:top w:w="30" w:type="dxa"/>
              <w:left w:w="45" w:type="dxa"/>
              <w:bottom w:w="30" w:type="dxa"/>
              <w:right w:w="45" w:type="dxa"/>
            </w:tcMar>
            <w:vAlign w:val="center"/>
            <w:hideMark/>
          </w:tcPr>
          <w:p w14:paraId="0DE1A7C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13.12</w:t>
            </w:r>
          </w:p>
        </w:tc>
      </w:tr>
      <w:tr w:rsidR="002C1A1A" w:rsidRPr="006704E2" w14:paraId="5FC03D1F"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4C59930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2000</w:t>
            </w:r>
          </w:p>
        </w:tc>
        <w:tc>
          <w:tcPr>
            <w:tcW w:w="671" w:type="dxa"/>
            <w:tcBorders>
              <w:left w:val="single" w:sz="4" w:space="0" w:color="auto"/>
            </w:tcBorders>
            <w:noWrap/>
            <w:tcMar>
              <w:top w:w="30" w:type="dxa"/>
              <w:left w:w="45" w:type="dxa"/>
              <w:bottom w:w="30" w:type="dxa"/>
              <w:right w:w="45" w:type="dxa"/>
            </w:tcMar>
            <w:vAlign w:val="center"/>
            <w:hideMark/>
          </w:tcPr>
          <w:p w14:paraId="236939D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9.64</w:t>
            </w:r>
          </w:p>
        </w:tc>
        <w:tc>
          <w:tcPr>
            <w:tcW w:w="0" w:type="auto"/>
            <w:noWrap/>
            <w:tcMar>
              <w:top w:w="30" w:type="dxa"/>
              <w:left w:w="45" w:type="dxa"/>
              <w:bottom w:w="30" w:type="dxa"/>
              <w:right w:w="45" w:type="dxa"/>
            </w:tcMar>
            <w:vAlign w:val="center"/>
            <w:hideMark/>
          </w:tcPr>
          <w:p w14:paraId="16DDF5C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7.35</w:t>
            </w:r>
          </w:p>
        </w:tc>
        <w:tc>
          <w:tcPr>
            <w:tcW w:w="0" w:type="auto"/>
            <w:noWrap/>
            <w:tcMar>
              <w:top w:w="30" w:type="dxa"/>
              <w:left w:w="45" w:type="dxa"/>
              <w:bottom w:w="30" w:type="dxa"/>
              <w:right w:w="45" w:type="dxa"/>
            </w:tcMar>
            <w:vAlign w:val="center"/>
            <w:hideMark/>
          </w:tcPr>
          <w:p w14:paraId="5C2BB8D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7.42</w:t>
            </w:r>
          </w:p>
        </w:tc>
        <w:tc>
          <w:tcPr>
            <w:tcW w:w="0" w:type="auto"/>
            <w:noWrap/>
            <w:tcMar>
              <w:top w:w="30" w:type="dxa"/>
              <w:left w:w="45" w:type="dxa"/>
              <w:bottom w:w="30" w:type="dxa"/>
              <w:right w:w="45" w:type="dxa"/>
            </w:tcMar>
            <w:vAlign w:val="center"/>
            <w:hideMark/>
          </w:tcPr>
          <w:p w14:paraId="145F54F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13.21</w:t>
            </w:r>
          </w:p>
        </w:tc>
        <w:tc>
          <w:tcPr>
            <w:tcW w:w="0" w:type="auto"/>
            <w:noWrap/>
            <w:tcMar>
              <w:top w:w="30" w:type="dxa"/>
              <w:left w:w="45" w:type="dxa"/>
              <w:bottom w:w="30" w:type="dxa"/>
              <w:right w:w="45" w:type="dxa"/>
            </w:tcMar>
            <w:vAlign w:val="center"/>
            <w:hideMark/>
          </w:tcPr>
          <w:p w14:paraId="284A81E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10.14</w:t>
            </w:r>
          </w:p>
        </w:tc>
        <w:tc>
          <w:tcPr>
            <w:tcW w:w="0" w:type="auto"/>
            <w:noWrap/>
            <w:tcMar>
              <w:top w:w="30" w:type="dxa"/>
              <w:left w:w="45" w:type="dxa"/>
              <w:bottom w:w="30" w:type="dxa"/>
              <w:right w:w="45" w:type="dxa"/>
            </w:tcMar>
            <w:vAlign w:val="center"/>
            <w:hideMark/>
          </w:tcPr>
          <w:p w14:paraId="4D6691C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10.16</w:t>
            </w:r>
          </w:p>
        </w:tc>
        <w:tc>
          <w:tcPr>
            <w:tcW w:w="0" w:type="auto"/>
            <w:noWrap/>
            <w:tcMar>
              <w:top w:w="30" w:type="dxa"/>
              <w:left w:w="45" w:type="dxa"/>
              <w:bottom w:w="30" w:type="dxa"/>
              <w:right w:w="45" w:type="dxa"/>
            </w:tcMar>
            <w:vAlign w:val="center"/>
            <w:hideMark/>
          </w:tcPr>
          <w:p w14:paraId="72F23EE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8.62</w:t>
            </w:r>
          </w:p>
        </w:tc>
        <w:tc>
          <w:tcPr>
            <w:tcW w:w="0" w:type="auto"/>
            <w:noWrap/>
            <w:tcMar>
              <w:top w:w="30" w:type="dxa"/>
              <w:left w:w="45" w:type="dxa"/>
              <w:bottom w:w="30" w:type="dxa"/>
              <w:right w:w="45" w:type="dxa"/>
            </w:tcMar>
            <w:vAlign w:val="center"/>
            <w:hideMark/>
          </w:tcPr>
          <w:p w14:paraId="5263063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10.02</w:t>
            </w:r>
          </w:p>
        </w:tc>
        <w:tc>
          <w:tcPr>
            <w:tcW w:w="0" w:type="auto"/>
            <w:noWrap/>
            <w:tcMar>
              <w:top w:w="30" w:type="dxa"/>
              <w:left w:w="45" w:type="dxa"/>
              <w:bottom w:w="30" w:type="dxa"/>
              <w:right w:w="45" w:type="dxa"/>
            </w:tcMar>
            <w:vAlign w:val="center"/>
            <w:hideMark/>
          </w:tcPr>
          <w:p w14:paraId="3BF1788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8.25</w:t>
            </w:r>
          </w:p>
        </w:tc>
        <w:tc>
          <w:tcPr>
            <w:tcW w:w="0" w:type="auto"/>
            <w:noWrap/>
            <w:tcMar>
              <w:top w:w="30" w:type="dxa"/>
              <w:left w:w="45" w:type="dxa"/>
              <w:bottom w:w="30" w:type="dxa"/>
              <w:right w:w="45" w:type="dxa"/>
            </w:tcMar>
            <w:vAlign w:val="center"/>
            <w:hideMark/>
          </w:tcPr>
          <w:p w14:paraId="39A93D5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5.31</w:t>
            </w:r>
          </w:p>
        </w:tc>
        <w:tc>
          <w:tcPr>
            <w:tcW w:w="671" w:type="dxa"/>
            <w:noWrap/>
            <w:tcMar>
              <w:top w:w="30" w:type="dxa"/>
              <w:left w:w="45" w:type="dxa"/>
              <w:bottom w:w="30" w:type="dxa"/>
              <w:right w:w="45" w:type="dxa"/>
            </w:tcMar>
            <w:vAlign w:val="center"/>
            <w:hideMark/>
          </w:tcPr>
          <w:p w14:paraId="2CA20C5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13.27</w:t>
            </w:r>
          </w:p>
        </w:tc>
      </w:tr>
      <w:tr w:rsidR="002C1A1A" w:rsidRPr="006704E2" w14:paraId="64EAC47B"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6CF5AE1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2001</w:t>
            </w:r>
          </w:p>
        </w:tc>
        <w:tc>
          <w:tcPr>
            <w:tcW w:w="671" w:type="dxa"/>
            <w:tcBorders>
              <w:left w:val="single" w:sz="4" w:space="0" w:color="auto"/>
            </w:tcBorders>
            <w:noWrap/>
            <w:tcMar>
              <w:top w:w="30" w:type="dxa"/>
              <w:left w:w="45" w:type="dxa"/>
              <w:bottom w:w="30" w:type="dxa"/>
              <w:right w:w="45" w:type="dxa"/>
            </w:tcMar>
            <w:vAlign w:val="center"/>
            <w:hideMark/>
          </w:tcPr>
          <w:p w14:paraId="2824B4C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9.64</w:t>
            </w:r>
          </w:p>
        </w:tc>
        <w:tc>
          <w:tcPr>
            <w:tcW w:w="0" w:type="auto"/>
            <w:noWrap/>
            <w:tcMar>
              <w:top w:w="30" w:type="dxa"/>
              <w:left w:w="45" w:type="dxa"/>
              <w:bottom w:w="30" w:type="dxa"/>
              <w:right w:w="45" w:type="dxa"/>
            </w:tcMar>
            <w:vAlign w:val="center"/>
            <w:hideMark/>
          </w:tcPr>
          <w:p w14:paraId="2337D2B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7.35</w:t>
            </w:r>
          </w:p>
        </w:tc>
        <w:tc>
          <w:tcPr>
            <w:tcW w:w="0" w:type="auto"/>
            <w:noWrap/>
            <w:tcMar>
              <w:top w:w="30" w:type="dxa"/>
              <w:left w:w="45" w:type="dxa"/>
              <w:bottom w:w="30" w:type="dxa"/>
              <w:right w:w="45" w:type="dxa"/>
            </w:tcMar>
            <w:vAlign w:val="center"/>
            <w:hideMark/>
          </w:tcPr>
          <w:p w14:paraId="2F9AA41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7.42</w:t>
            </w:r>
          </w:p>
        </w:tc>
        <w:tc>
          <w:tcPr>
            <w:tcW w:w="0" w:type="auto"/>
            <w:noWrap/>
            <w:tcMar>
              <w:top w:w="30" w:type="dxa"/>
              <w:left w:w="45" w:type="dxa"/>
              <w:bottom w:w="30" w:type="dxa"/>
              <w:right w:w="45" w:type="dxa"/>
            </w:tcMar>
            <w:vAlign w:val="center"/>
            <w:hideMark/>
          </w:tcPr>
          <w:p w14:paraId="5A95233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13.21</w:t>
            </w:r>
          </w:p>
        </w:tc>
        <w:tc>
          <w:tcPr>
            <w:tcW w:w="0" w:type="auto"/>
            <w:noWrap/>
            <w:tcMar>
              <w:top w:w="30" w:type="dxa"/>
              <w:left w:w="45" w:type="dxa"/>
              <w:bottom w:w="30" w:type="dxa"/>
              <w:right w:w="45" w:type="dxa"/>
            </w:tcMar>
            <w:vAlign w:val="center"/>
            <w:hideMark/>
          </w:tcPr>
          <w:p w14:paraId="267535F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10.14</w:t>
            </w:r>
          </w:p>
        </w:tc>
        <w:tc>
          <w:tcPr>
            <w:tcW w:w="0" w:type="auto"/>
            <w:noWrap/>
            <w:tcMar>
              <w:top w:w="30" w:type="dxa"/>
              <w:left w:w="45" w:type="dxa"/>
              <w:bottom w:w="30" w:type="dxa"/>
              <w:right w:w="45" w:type="dxa"/>
            </w:tcMar>
            <w:vAlign w:val="center"/>
            <w:hideMark/>
          </w:tcPr>
          <w:p w14:paraId="79A54DE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10.16</w:t>
            </w:r>
          </w:p>
        </w:tc>
        <w:tc>
          <w:tcPr>
            <w:tcW w:w="0" w:type="auto"/>
            <w:noWrap/>
            <w:tcMar>
              <w:top w:w="30" w:type="dxa"/>
              <w:left w:w="45" w:type="dxa"/>
              <w:bottom w:w="30" w:type="dxa"/>
              <w:right w:w="45" w:type="dxa"/>
            </w:tcMar>
            <w:vAlign w:val="center"/>
            <w:hideMark/>
          </w:tcPr>
          <w:p w14:paraId="55A98D3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8.62</w:t>
            </w:r>
          </w:p>
        </w:tc>
        <w:tc>
          <w:tcPr>
            <w:tcW w:w="0" w:type="auto"/>
            <w:noWrap/>
            <w:tcMar>
              <w:top w:w="30" w:type="dxa"/>
              <w:left w:w="45" w:type="dxa"/>
              <w:bottom w:w="30" w:type="dxa"/>
              <w:right w:w="45" w:type="dxa"/>
            </w:tcMar>
            <w:vAlign w:val="center"/>
            <w:hideMark/>
          </w:tcPr>
          <w:p w14:paraId="649ABD0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10.02</w:t>
            </w:r>
          </w:p>
        </w:tc>
        <w:tc>
          <w:tcPr>
            <w:tcW w:w="0" w:type="auto"/>
            <w:noWrap/>
            <w:tcMar>
              <w:top w:w="30" w:type="dxa"/>
              <w:left w:w="45" w:type="dxa"/>
              <w:bottom w:w="30" w:type="dxa"/>
              <w:right w:w="45" w:type="dxa"/>
            </w:tcMar>
            <w:vAlign w:val="center"/>
            <w:hideMark/>
          </w:tcPr>
          <w:p w14:paraId="1F53D8F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8.25</w:t>
            </w:r>
          </w:p>
        </w:tc>
        <w:tc>
          <w:tcPr>
            <w:tcW w:w="0" w:type="auto"/>
            <w:noWrap/>
            <w:tcMar>
              <w:top w:w="30" w:type="dxa"/>
              <w:left w:w="45" w:type="dxa"/>
              <w:bottom w:w="30" w:type="dxa"/>
              <w:right w:w="45" w:type="dxa"/>
            </w:tcMar>
            <w:vAlign w:val="center"/>
            <w:hideMark/>
          </w:tcPr>
          <w:p w14:paraId="6EB85B5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5.31</w:t>
            </w:r>
          </w:p>
        </w:tc>
        <w:tc>
          <w:tcPr>
            <w:tcW w:w="671" w:type="dxa"/>
            <w:noWrap/>
            <w:tcMar>
              <w:top w:w="30" w:type="dxa"/>
              <w:left w:w="45" w:type="dxa"/>
              <w:bottom w:w="30" w:type="dxa"/>
              <w:right w:w="45" w:type="dxa"/>
            </w:tcMar>
            <w:vAlign w:val="center"/>
            <w:hideMark/>
          </w:tcPr>
          <w:p w14:paraId="31960FD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13.27</w:t>
            </w:r>
          </w:p>
        </w:tc>
      </w:tr>
      <w:tr w:rsidR="002C1A1A" w:rsidRPr="006704E2" w14:paraId="66E3566D"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1D809BE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2002</w:t>
            </w:r>
          </w:p>
        </w:tc>
        <w:tc>
          <w:tcPr>
            <w:tcW w:w="671" w:type="dxa"/>
            <w:tcBorders>
              <w:left w:val="single" w:sz="4" w:space="0" w:color="auto"/>
            </w:tcBorders>
            <w:noWrap/>
            <w:tcMar>
              <w:top w:w="30" w:type="dxa"/>
              <w:left w:w="45" w:type="dxa"/>
              <w:bottom w:w="30" w:type="dxa"/>
              <w:right w:w="45" w:type="dxa"/>
            </w:tcMar>
            <w:vAlign w:val="center"/>
            <w:hideMark/>
          </w:tcPr>
          <w:p w14:paraId="69EA5C2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9.68</w:t>
            </w:r>
          </w:p>
        </w:tc>
        <w:tc>
          <w:tcPr>
            <w:tcW w:w="0" w:type="auto"/>
            <w:noWrap/>
            <w:tcMar>
              <w:top w:w="30" w:type="dxa"/>
              <w:left w:w="45" w:type="dxa"/>
              <w:bottom w:w="30" w:type="dxa"/>
              <w:right w:w="45" w:type="dxa"/>
            </w:tcMar>
            <w:vAlign w:val="center"/>
            <w:hideMark/>
          </w:tcPr>
          <w:p w14:paraId="5EDE904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7.38</w:t>
            </w:r>
          </w:p>
        </w:tc>
        <w:tc>
          <w:tcPr>
            <w:tcW w:w="0" w:type="auto"/>
            <w:noWrap/>
            <w:tcMar>
              <w:top w:w="30" w:type="dxa"/>
              <w:left w:w="45" w:type="dxa"/>
              <w:bottom w:w="30" w:type="dxa"/>
              <w:right w:w="45" w:type="dxa"/>
            </w:tcMar>
            <w:vAlign w:val="center"/>
            <w:hideMark/>
          </w:tcPr>
          <w:p w14:paraId="1B519F2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7.44</w:t>
            </w:r>
          </w:p>
        </w:tc>
        <w:tc>
          <w:tcPr>
            <w:tcW w:w="0" w:type="auto"/>
            <w:noWrap/>
            <w:tcMar>
              <w:top w:w="30" w:type="dxa"/>
              <w:left w:w="45" w:type="dxa"/>
              <w:bottom w:w="30" w:type="dxa"/>
              <w:right w:w="45" w:type="dxa"/>
            </w:tcMar>
            <w:vAlign w:val="center"/>
            <w:hideMark/>
          </w:tcPr>
          <w:p w14:paraId="255461B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13.26</w:t>
            </w:r>
          </w:p>
        </w:tc>
        <w:tc>
          <w:tcPr>
            <w:tcW w:w="0" w:type="auto"/>
            <w:noWrap/>
            <w:tcMar>
              <w:top w:w="30" w:type="dxa"/>
              <w:left w:w="45" w:type="dxa"/>
              <w:bottom w:w="30" w:type="dxa"/>
              <w:right w:w="45" w:type="dxa"/>
            </w:tcMar>
            <w:vAlign w:val="center"/>
            <w:hideMark/>
          </w:tcPr>
          <w:p w14:paraId="313526D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10.18</w:t>
            </w:r>
          </w:p>
        </w:tc>
        <w:tc>
          <w:tcPr>
            <w:tcW w:w="0" w:type="auto"/>
            <w:noWrap/>
            <w:tcMar>
              <w:top w:w="30" w:type="dxa"/>
              <w:left w:w="45" w:type="dxa"/>
              <w:bottom w:w="30" w:type="dxa"/>
              <w:right w:w="45" w:type="dxa"/>
            </w:tcMar>
            <w:vAlign w:val="center"/>
            <w:hideMark/>
          </w:tcPr>
          <w:p w14:paraId="5F20920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10.20</w:t>
            </w:r>
          </w:p>
        </w:tc>
        <w:tc>
          <w:tcPr>
            <w:tcW w:w="0" w:type="auto"/>
            <w:noWrap/>
            <w:tcMar>
              <w:top w:w="30" w:type="dxa"/>
              <w:left w:w="45" w:type="dxa"/>
              <w:bottom w:w="30" w:type="dxa"/>
              <w:right w:w="45" w:type="dxa"/>
            </w:tcMar>
            <w:vAlign w:val="center"/>
            <w:hideMark/>
          </w:tcPr>
          <w:p w14:paraId="7F8FC52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8.65</w:t>
            </w:r>
          </w:p>
        </w:tc>
        <w:tc>
          <w:tcPr>
            <w:tcW w:w="0" w:type="auto"/>
            <w:noWrap/>
            <w:tcMar>
              <w:top w:w="30" w:type="dxa"/>
              <w:left w:w="45" w:type="dxa"/>
              <w:bottom w:w="30" w:type="dxa"/>
              <w:right w:w="45" w:type="dxa"/>
            </w:tcMar>
            <w:vAlign w:val="center"/>
            <w:hideMark/>
          </w:tcPr>
          <w:p w14:paraId="498C41F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10.05</w:t>
            </w:r>
          </w:p>
        </w:tc>
        <w:tc>
          <w:tcPr>
            <w:tcW w:w="0" w:type="auto"/>
            <w:noWrap/>
            <w:tcMar>
              <w:top w:w="30" w:type="dxa"/>
              <w:left w:w="45" w:type="dxa"/>
              <w:bottom w:w="30" w:type="dxa"/>
              <w:right w:w="45" w:type="dxa"/>
            </w:tcMar>
            <w:vAlign w:val="center"/>
            <w:hideMark/>
          </w:tcPr>
          <w:p w14:paraId="24CC5D7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8.27</w:t>
            </w:r>
          </w:p>
        </w:tc>
        <w:tc>
          <w:tcPr>
            <w:tcW w:w="0" w:type="auto"/>
            <w:noWrap/>
            <w:tcMar>
              <w:top w:w="30" w:type="dxa"/>
              <w:left w:w="45" w:type="dxa"/>
              <w:bottom w:w="30" w:type="dxa"/>
              <w:right w:w="45" w:type="dxa"/>
            </w:tcMar>
            <w:vAlign w:val="center"/>
            <w:hideMark/>
          </w:tcPr>
          <w:p w14:paraId="4F29FD1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5.32</w:t>
            </w:r>
          </w:p>
        </w:tc>
        <w:tc>
          <w:tcPr>
            <w:tcW w:w="671" w:type="dxa"/>
            <w:noWrap/>
            <w:tcMar>
              <w:top w:w="30" w:type="dxa"/>
              <w:left w:w="45" w:type="dxa"/>
              <w:bottom w:w="30" w:type="dxa"/>
              <w:right w:w="45" w:type="dxa"/>
            </w:tcMar>
            <w:vAlign w:val="center"/>
            <w:hideMark/>
          </w:tcPr>
          <w:p w14:paraId="18E0107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13.31</w:t>
            </w:r>
          </w:p>
        </w:tc>
      </w:tr>
      <w:tr w:rsidR="002C1A1A" w:rsidRPr="006704E2" w14:paraId="762E965C"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3A77873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2003</w:t>
            </w:r>
          </w:p>
        </w:tc>
        <w:tc>
          <w:tcPr>
            <w:tcW w:w="671" w:type="dxa"/>
            <w:tcBorders>
              <w:left w:val="single" w:sz="4" w:space="0" w:color="auto"/>
            </w:tcBorders>
            <w:noWrap/>
            <w:tcMar>
              <w:top w:w="30" w:type="dxa"/>
              <w:left w:w="45" w:type="dxa"/>
              <w:bottom w:w="30" w:type="dxa"/>
              <w:right w:w="45" w:type="dxa"/>
            </w:tcMar>
            <w:vAlign w:val="center"/>
            <w:hideMark/>
          </w:tcPr>
          <w:p w14:paraId="168B06E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9.75</w:t>
            </w:r>
          </w:p>
        </w:tc>
        <w:tc>
          <w:tcPr>
            <w:tcW w:w="0" w:type="auto"/>
            <w:noWrap/>
            <w:tcMar>
              <w:top w:w="30" w:type="dxa"/>
              <w:left w:w="45" w:type="dxa"/>
              <w:bottom w:w="30" w:type="dxa"/>
              <w:right w:w="45" w:type="dxa"/>
            </w:tcMar>
            <w:vAlign w:val="center"/>
            <w:hideMark/>
          </w:tcPr>
          <w:p w14:paraId="6E93743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7.43</w:t>
            </w:r>
          </w:p>
        </w:tc>
        <w:tc>
          <w:tcPr>
            <w:tcW w:w="0" w:type="auto"/>
            <w:noWrap/>
            <w:tcMar>
              <w:top w:w="30" w:type="dxa"/>
              <w:left w:w="45" w:type="dxa"/>
              <w:bottom w:w="30" w:type="dxa"/>
              <w:right w:w="45" w:type="dxa"/>
            </w:tcMar>
            <w:vAlign w:val="center"/>
            <w:hideMark/>
          </w:tcPr>
          <w:p w14:paraId="29DDA48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7.50</w:t>
            </w:r>
          </w:p>
        </w:tc>
        <w:tc>
          <w:tcPr>
            <w:tcW w:w="0" w:type="auto"/>
            <w:noWrap/>
            <w:tcMar>
              <w:top w:w="30" w:type="dxa"/>
              <w:left w:w="45" w:type="dxa"/>
              <w:bottom w:w="30" w:type="dxa"/>
              <w:right w:w="45" w:type="dxa"/>
            </w:tcMar>
            <w:vAlign w:val="center"/>
            <w:hideMark/>
          </w:tcPr>
          <w:p w14:paraId="36FE1E1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13.36</w:t>
            </w:r>
          </w:p>
        </w:tc>
        <w:tc>
          <w:tcPr>
            <w:tcW w:w="0" w:type="auto"/>
            <w:noWrap/>
            <w:tcMar>
              <w:top w:w="30" w:type="dxa"/>
              <w:left w:w="45" w:type="dxa"/>
              <w:bottom w:w="30" w:type="dxa"/>
              <w:right w:w="45" w:type="dxa"/>
            </w:tcMar>
            <w:vAlign w:val="center"/>
            <w:hideMark/>
          </w:tcPr>
          <w:p w14:paraId="4DD46D8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10.26</w:t>
            </w:r>
          </w:p>
        </w:tc>
        <w:tc>
          <w:tcPr>
            <w:tcW w:w="0" w:type="auto"/>
            <w:noWrap/>
            <w:tcMar>
              <w:top w:w="30" w:type="dxa"/>
              <w:left w:w="45" w:type="dxa"/>
              <w:bottom w:w="30" w:type="dxa"/>
              <w:right w:w="45" w:type="dxa"/>
            </w:tcMar>
            <w:vAlign w:val="center"/>
            <w:hideMark/>
          </w:tcPr>
          <w:p w14:paraId="6979ED5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10.27</w:t>
            </w:r>
          </w:p>
        </w:tc>
        <w:tc>
          <w:tcPr>
            <w:tcW w:w="0" w:type="auto"/>
            <w:noWrap/>
            <w:tcMar>
              <w:top w:w="30" w:type="dxa"/>
              <w:left w:w="45" w:type="dxa"/>
              <w:bottom w:w="30" w:type="dxa"/>
              <w:right w:w="45" w:type="dxa"/>
            </w:tcMar>
            <w:vAlign w:val="center"/>
            <w:hideMark/>
          </w:tcPr>
          <w:p w14:paraId="0592152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8.71</w:t>
            </w:r>
          </w:p>
        </w:tc>
        <w:tc>
          <w:tcPr>
            <w:tcW w:w="0" w:type="auto"/>
            <w:noWrap/>
            <w:tcMar>
              <w:top w:w="30" w:type="dxa"/>
              <w:left w:w="45" w:type="dxa"/>
              <w:bottom w:w="30" w:type="dxa"/>
              <w:right w:w="45" w:type="dxa"/>
            </w:tcMar>
            <w:vAlign w:val="center"/>
            <w:hideMark/>
          </w:tcPr>
          <w:p w14:paraId="5041E25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10.13</w:t>
            </w:r>
          </w:p>
        </w:tc>
        <w:tc>
          <w:tcPr>
            <w:tcW w:w="0" w:type="auto"/>
            <w:noWrap/>
            <w:tcMar>
              <w:top w:w="30" w:type="dxa"/>
              <w:left w:w="45" w:type="dxa"/>
              <w:bottom w:w="30" w:type="dxa"/>
              <w:right w:w="45" w:type="dxa"/>
            </w:tcMar>
            <w:vAlign w:val="center"/>
            <w:hideMark/>
          </w:tcPr>
          <w:p w14:paraId="0A9407E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8.34</w:t>
            </w:r>
          </w:p>
        </w:tc>
        <w:tc>
          <w:tcPr>
            <w:tcW w:w="0" w:type="auto"/>
            <w:noWrap/>
            <w:tcMar>
              <w:top w:w="30" w:type="dxa"/>
              <w:left w:w="45" w:type="dxa"/>
              <w:bottom w:w="30" w:type="dxa"/>
              <w:right w:w="45" w:type="dxa"/>
            </w:tcMar>
            <w:vAlign w:val="center"/>
            <w:hideMark/>
          </w:tcPr>
          <w:p w14:paraId="6C0017E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5.36</w:t>
            </w:r>
          </w:p>
        </w:tc>
        <w:tc>
          <w:tcPr>
            <w:tcW w:w="671" w:type="dxa"/>
            <w:noWrap/>
            <w:tcMar>
              <w:top w:w="30" w:type="dxa"/>
              <w:left w:w="45" w:type="dxa"/>
              <w:bottom w:w="30" w:type="dxa"/>
              <w:right w:w="45" w:type="dxa"/>
            </w:tcMar>
            <w:vAlign w:val="center"/>
            <w:hideMark/>
          </w:tcPr>
          <w:p w14:paraId="5AA139A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13.41</w:t>
            </w:r>
          </w:p>
        </w:tc>
      </w:tr>
      <w:tr w:rsidR="002C1A1A" w:rsidRPr="006704E2" w14:paraId="31623B44"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744B329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2004</w:t>
            </w:r>
          </w:p>
        </w:tc>
        <w:tc>
          <w:tcPr>
            <w:tcW w:w="671" w:type="dxa"/>
            <w:tcBorders>
              <w:left w:val="single" w:sz="4" w:space="0" w:color="auto"/>
            </w:tcBorders>
            <w:noWrap/>
            <w:tcMar>
              <w:top w:w="30" w:type="dxa"/>
              <w:left w:w="45" w:type="dxa"/>
              <w:bottom w:w="30" w:type="dxa"/>
              <w:right w:w="45" w:type="dxa"/>
            </w:tcMar>
            <w:vAlign w:val="center"/>
            <w:hideMark/>
          </w:tcPr>
          <w:p w14:paraId="03DFDB4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9.86</w:t>
            </w:r>
          </w:p>
        </w:tc>
        <w:tc>
          <w:tcPr>
            <w:tcW w:w="0" w:type="auto"/>
            <w:noWrap/>
            <w:tcMar>
              <w:top w:w="30" w:type="dxa"/>
              <w:left w:w="45" w:type="dxa"/>
              <w:bottom w:w="30" w:type="dxa"/>
              <w:right w:w="45" w:type="dxa"/>
            </w:tcMar>
            <w:vAlign w:val="center"/>
            <w:hideMark/>
          </w:tcPr>
          <w:p w14:paraId="3DEC6E0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7.52</w:t>
            </w:r>
          </w:p>
        </w:tc>
        <w:tc>
          <w:tcPr>
            <w:tcW w:w="0" w:type="auto"/>
            <w:noWrap/>
            <w:tcMar>
              <w:top w:w="30" w:type="dxa"/>
              <w:left w:w="45" w:type="dxa"/>
              <w:bottom w:w="30" w:type="dxa"/>
              <w:right w:w="45" w:type="dxa"/>
            </w:tcMar>
            <w:vAlign w:val="center"/>
            <w:hideMark/>
          </w:tcPr>
          <w:p w14:paraId="32464C6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7.58</w:t>
            </w:r>
          </w:p>
        </w:tc>
        <w:tc>
          <w:tcPr>
            <w:tcW w:w="0" w:type="auto"/>
            <w:noWrap/>
            <w:tcMar>
              <w:top w:w="30" w:type="dxa"/>
              <w:left w:w="45" w:type="dxa"/>
              <w:bottom w:w="30" w:type="dxa"/>
              <w:right w:w="45" w:type="dxa"/>
            </w:tcMar>
            <w:vAlign w:val="center"/>
            <w:hideMark/>
          </w:tcPr>
          <w:p w14:paraId="4DEDCBE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13.51</w:t>
            </w:r>
          </w:p>
        </w:tc>
        <w:tc>
          <w:tcPr>
            <w:tcW w:w="0" w:type="auto"/>
            <w:noWrap/>
            <w:tcMar>
              <w:top w:w="30" w:type="dxa"/>
              <w:left w:w="45" w:type="dxa"/>
              <w:bottom w:w="30" w:type="dxa"/>
              <w:right w:w="45" w:type="dxa"/>
            </w:tcMar>
            <w:vAlign w:val="center"/>
            <w:hideMark/>
          </w:tcPr>
          <w:p w14:paraId="36B5525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10.37</w:t>
            </w:r>
          </w:p>
        </w:tc>
        <w:tc>
          <w:tcPr>
            <w:tcW w:w="0" w:type="auto"/>
            <w:noWrap/>
            <w:tcMar>
              <w:top w:w="30" w:type="dxa"/>
              <w:left w:w="45" w:type="dxa"/>
              <w:bottom w:w="30" w:type="dxa"/>
              <w:right w:w="45" w:type="dxa"/>
            </w:tcMar>
            <w:vAlign w:val="center"/>
            <w:hideMark/>
          </w:tcPr>
          <w:p w14:paraId="652578A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10.39</w:t>
            </w:r>
          </w:p>
        </w:tc>
        <w:tc>
          <w:tcPr>
            <w:tcW w:w="0" w:type="auto"/>
            <w:noWrap/>
            <w:tcMar>
              <w:top w:w="30" w:type="dxa"/>
              <w:left w:w="45" w:type="dxa"/>
              <w:bottom w:w="30" w:type="dxa"/>
              <w:right w:w="45" w:type="dxa"/>
            </w:tcMar>
            <w:vAlign w:val="center"/>
            <w:hideMark/>
          </w:tcPr>
          <w:p w14:paraId="6992615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8.81</w:t>
            </w:r>
          </w:p>
        </w:tc>
        <w:tc>
          <w:tcPr>
            <w:tcW w:w="0" w:type="auto"/>
            <w:noWrap/>
            <w:tcMar>
              <w:top w:w="30" w:type="dxa"/>
              <w:left w:w="45" w:type="dxa"/>
              <w:bottom w:w="30" w:type="dxa"/>
              <w:right w:w="45" w:type="dxa"/>
            </w:tcMar>
            <w:vAlign w:val="center"/>
            <w:hideMark/>
          </w:tcPr>
          <w:p w14:paraId="2FADACD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10.24</w:t>
            </w:r>
          </w:p>
        </w:tc>
        <w:tc>
          <w:tcPr>
            <w:tcW w:w="0" w:type="auto"/>
            <w:noWrap/>
            <w:tcMar>
              <w:top w:w="30" w:type="dxa"/>
              <w:left w:w="45" w:type="dxa"/>
              <w:bottom w:w="30" w:type="dxa"/>
              <w:right w:w="45" w:type="dxa"/>
            </w:tcMar>
            <w:vAlign w:val="center"/>
            <w:hideMark/>
          </w:tcPr>
          <w:p w14:paraId="34CD54B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8.43</w:t>
            </w:r>
          </w:p>
        </w:tc>
        <w:tc>
          <w:tcPr>
            <w:tcW w:w="0" w:type="auto"/>
            <w:noWrap/>
            <w:tcMar>
              <w:top w:w="30" w:type="dxa"/>
              <w:left w:w="45" w:type="dxa"/>
              <w:bottom w:w="30" w:type="dxa"/>
              <w:right w:w="45" w:type="dxa"/>
            </w:tcMar>
            <w:vAlign w:val="center"/>
            <w:hideMark/>
          </w:tcPr>
          <w:p w14:paraId="4438577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5.42</w:t>
            </w:r>
          </w:p>
        </w:tc>
        <w:tc>
          <w:tcPr>
            <w:tcW w:w="671" w:type="dxa"/>
            <w:noWrap/>
            <w:tcMar>
              <w:top w:w="30" w:type="dxa"/>
              <w:left w:w="45" w:type="dxa"/>
              <w:bottom w:w="30" w:type="dxa"/>
              <w:right w:w="45" w:type="dxa"/>
            </w:tcMar>
            <w:vAlign w:val="center"/>
            <w:hideMark/>
          </w:tcPr>
          <w:p w14:paraId="408109D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13.56</w:t>
            </w:r>
          </w:p>
        </w:tc>
      </w:tr>
      <w:tr w:rsidR="002C1A1A" w:rsidRPr="006704E2" w14:paraId="407D9AC1"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20887D3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2005</w:t>
            </w:r>
          </w:p>
        </w:tc>
        <w:tc>
          <w:tcPr>
            <w:tcW w:w="671" w:type="dxa"/>
            <w:tcBorders>
              <w:left w:val="single" w:sz="4" w:space="0" w:color="auto"/>
            </w:tcBorders>
            <w:noWrap/>
            <w:tcMar>
              <w:top w:w="30" w:type="dxa"/>
              <w:left w:w="45" w:type="dxa"/>
              <w:bottom w:w="30" w:type="dxa"/>
              <w:right w:w="45" w:type="dxa"/>
            </w:tcMar>
            <w:vAlign w:val="center"/>
            <w:hideMark/>
          </w:tcPr>
          <w:p w14:paraId="2F3874D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9.95</w:t>
            </w:r>
          </w:p>
        </w:tc>
        <w:tc>
          <w:tcPr>
            <w:tcW w:w="0" w:type="auto"/>
            <w:noWrap/>
            <w:tcMar>
              <w:top w:w="30" w:type="dxa"/>
              <w:left w:w="45" w:type="dxa"/>
              <w:bottom w:w="30" w:type="dxa"/>
              <w:right w:w="45" w:type="dxa"/>
            </w:tcMar>
            <w:vAlign w:val="center"/>
            <w:hideMark/>
          </w:tcPr>
          <w:p w14:paraId="23E6DEA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7.59</w:t>
            </w:r>
          </w:p>
        </w:tc>
        <w:tc>
          <w:tcPr>
            <w:tcW w:w="0" w:type="auto"/>
            <w:noWrap/>
            <w:tcMar>
              <w:top w:w="30" w:type="dxa"/>
              <w:left w:w="45" w:type="dxa"/>
              <w:bottom w:w="30" w:type="dxa"/>
              <w:right w:w="45" w:type="dxa"/>
            </w:tcMar>
            <w:vAlign w:val="center"/>
            <w:hideMark/>
          </w:tcPr>
          <w:p w14:paraId="6AF88D4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7.65</w:t>
            </w:r>
          </w:p>
        </w:tc>
        <w:tc>
          <w:tcPr>
            <w:tcW w:w="0" w:type="auto"/>
            <w:noWrap/>
            <w:tcMar>
              <w:top w:w="30" w:type="dxa"/>
              <w:left w:w="45" w:type="dxa"/>
              <w:bottom w:w="30" w:type="dxa"/>
              <w:right w:w="45" w:type="dxa"/>
            </w:tcMar>
            <w:vAlign w:val="center"/>
            <w:hideMark/>
          </w:tcPr>
          <w:p w14:paraId="5C4FAF4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13.63</w:t>
            </w:r>
          </w:p>
        </w:tc>
        <w:tc>
          <w:tcPr>
            <w:tcW w:w="0" w:type="auto"/>
            <w:noWrap/>
            <w:tcMar>
              <w:top w:w="30" w:type="dxa"/>
              <w:left w:w="45" w:type="dxa"/>
              <w:bottom w:w="30" w:type="dxa"/>
              <w:right w:w="45" w:type="dxa"/>
            </w:tcMar>
            <w:vAlign w:val="center"/>
            <w:hideMark/>
          </w:tcPr>
          <w:p w14:paraId="78035D1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10.47</w:t>
            </w:r>
          </w:p>
        </w:tc>
        <w:tc>
          <w:tcPr>
            <w:tcW w:w="0" w:type="auto"/>
            <w:noWrap/>
            <w:tcMar>
              <w:top w:w="30" w:type="dxa"/>
              <w:left w:w="45" w:type="dxa"/>
              <w:bottom w:w="30" w:type="dxa"/>
              <w:right w:w="45" w:type="dxa"/>
            </w:tcMar>
            <w:vAlign w:val="center"/>
            <w:hideMark/>
          </w:tcPr>
          <w:p w14:paraId="34179E6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10.48</w:t>
            </w:r>
          </w:p>
        </w:tc>
        <w:tc>
          <w:tcPr>
            <w:tcW w:w="0" w:type="auto"/>
            <w:noWrap/>
            <w:tcMar>
              <w:top w:w="30" w:type="dxa"/>
              <w:left w:w="45" w:type="dxa"/>
              <w:bottom w:w="30" w:type="dxa"/>
              <w:right w:w="45" w:type="dxa"/>
            </w:tcMar>
            <w:vAlign w:val="center"/>
            <w:hideMark/>
          </w:tcPr>
          <w:p w14:paraId="0924243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8.89</w:t>
            </w:r>
          </w:p>
        </w:tc>
        <w:tc>
          <w:tcPr>
            <w:tcW w:w="0" w:type="auto"/>
            <w:noWrap/>
            <w:tcMar>
              <w:top w:w="30" w:type="dxa"/>
              <w:left w:w="45" w:type="dxa"/>
              <w:bottom w:w="30" w:type="dxa"/>
              <w:right w:w="45" w:type="dxa"/>
            </w:tcMar>
            <w:vAlign w:val="center"/>
            <w:hideMark/>
          </w:tcPr>
          <w:p w14:paraId="4A8D38A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10.33</w:t>
            </w:r>
          </w:p>
        </w:tc>
        <w:tc>
          <w:tcPr>
            <w:tcW w:w="0" w:type="auto"/>
            <w:noWrap/>
            <w:tcMar>
              <w:top w:w="30" w:type="dxa"/>
              <w:left w:w="45" w:type="dxa"/>
              <w:bottom w:w="30" w:type="dxa"/>
              <w:right w:w="45" w:type="dxa"/>
            </w:tcMar>
            <w:vAlign w:val="center"/>
            <w:hideMark/>
          </w:tcPr>
          <w:p w14:paraId="26C42CA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8.51</w:t>
            </w:r>
          </w:p>
        </w:tc>
        <w:tc>
          <w:tcPr>
            <w:tcW w:w="0" w:type="auto"/>
            <w:noWrap/>
            <w:tcMar>
              <w:top w:w="30" w:type="dxa"/>
              <w:left w:w="45" w:type="dxa"/>
              <w:bottom w:w="30" w:type="dxa"/>
              <w:right w:w="45" w:type="dxa"/>
            </w:tcMar>
            <w:vAlign w:val="center"/>
            <w:hideMark/>
          </w:tcPr>
          <w:p w14:paraId="4EF0BF8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5.47</w:t>
            </w:r>
          </w:p>
        </w:tc>
        <w:tc>
          <w:tcPr>
            <w:tcW w:w="671" w:type="dxa"/>
            <w:noWrap/>
            <w:tcMar>
              <w:top w:w="30" w:type="dxa"/>
              <w:left w:w="45" w:type="dxa"/>
              <w:bottom w:w="30" w:type="dxa"/>
              <w:right w:w="45" w:type="dxa"/>
            </w:tcMar>
            <w:vAlign w:val="center"/>
            <w:hideMark/>
          </w:tcPr>
          <w:p w14:paraId="04F184B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13.69</w:t>
            </w:r>
          </w:p>
        </w:tc>
      </w:tr>
      <w:tr w:rsidR="002C1A1A" w:rsidRPr="006704E2" w14:paraId="5BD74862"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2DA6A70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2006</w:t>
            </w:r>
          </w:p>
        </w:tc>
        <w:tc>
          <w:tcPr>
            <w:tcW w:w="671" w:type="dxa"/>
            <w:tcBorders>
              <w:left w:val="single" w:sz="4" w:space="0" w:color="auto"/>
            </w:tcBorders>
            <w:noWrap/>
            <w:tcMar>
              <w:top w:w="30" w:type="dxa"/>
              <w:left w:w="45" w:type="dxa"/>
              <w:bottom w:w="30" w:type="dxa"/>
              <w:right w:w="45" w:type="dxa"/>
            </w:tcMar>
            <w:vAlign w:val="center"/>
            <w:hideMark/>
          </w:tcPr>
          <w:p w14:paraId="6D623A8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10.01</w:t>
            </w:r>
          </w:p>
        </w:tc>
        <w:tc>
          <w:tcPr>
            <w:tcW w:w="0" w:type="auto"/>
            <w:noWrap/>
            <w:tcMar>
              <w:top w:w="30" w:type="dxa"/>
              <w:left w:w="45" w:type="dxa"/>
              <w:bottom w:w="30" w:type="dxa"/>
              <w:right w:w="45" w:type="dxa"/>
            </w:tcMar>
            <w:vAlign w:val="center"/>
            <w:hideMark/>
          </w:tcPr>
          <w:p w14:paraId="6C6CA42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7.64</w:t>
            </w:r>
          </w:p>
        </w:tc>
        <w:tc>
          <w:tcPr>
            <w:tcW w:w="0" w:type="auto"/>
            <w:noWrap/>
            <w:tcMar>
              <w:top w:w="30" w:type="dxa"/>
              <w:left w:w="45" w:type="dxa"/>
              <w:bottom w:w="30" w:type="dxa"/>
              <w:right w:w="45" w:type="dxa"/>
            </w:tcMar>
            <w:vAlign w:val="center"/>
            <w:hideMark/>
          </w:tcPr>
          <w:p w14:paraId="1EE2A59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7.70</w:t>
            </w:r>
          </w:p>
        </w:tc>
        <w:tc>
          <w:tcPr>
            <w:tcW w:w="0" w:type="auto"/>
            <w:noWrap/>
            <w:tcMar>
              <w:top w:w="30" w:type="dxa"/>
              <w:left w:w="45" w:type="dxa"/>
              <w:bottom w:w="30" w:type="dxa"/>
              <w:right w:w="45" w:type="dxa"/>
            </w:tcMar>
            <w:vAlign w:val="center"/>
            <w:hideMark/>
          </w:tcPr>
          <w:p w14:paraId="77F8677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13.72</w:t>
            </w:r>
          </w:p>
        </w:tc>
        <w:tc>
          <w:tcPr>
            <w:tcW w:w="0" w:type="auto"/>
            <w:noWrap/>
            <w:tcMar>
              <w:top w:w="30" w:type="dxa"/>
              <w:left w:w="45" w:type="dxa"/>
              <w:bottom w:w="30" w:type="dxa"/>
              <w:right w:w="45" w:type="dxa"/>
            </w:tcMar>
            <w:vAlign w:val="center"/>
            <w:hideMark/>
          </w:tcPr>
          <w:p w14:paraId="0FA5AAC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10.53</w:t>
            </w:r>
          </w:p>
        </w:tc>
        <w:tc>
          <w:tcPr>
            <w:tcW w:w="0" w:type="auto"/>
            <w:noWrap/>
            <w:tcMar>
              <w:top w:w="30" w:type="dxa"/>
              <w:left w:w="45" w:type="dxa"/>
              <w:bottom w:w="30" w:type="dxa"/>
              <w:right w:w="45" w:type="dxa"/>
            </w:tcMar>
            <w:vAlign w:val="center"/>
            <w:hideMark/>
          </w:tcPr>
          <w:p w14:paraId="6196566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10.55</w:t>
            </w:r>
          </w:p>
        </w:tc>
        <w:tc>
          <w:tcPr>
            <w:tcW w:w="0" w:type="auto"/>
            <w:noWrap/>
            <w:tcMar>
              <w:top w:w="30" w:type="dxa"/>
              <w:left w:w="45" w:type="dxa"/>
              <w:bottom w:w="30" w:type="dxa"/>
              <w:right w:w="45" w:type="dxa"/>
            </w:tcMar>
            <w:vAlign w:val="center"/>
            <w:hideMark/>
          </w:tcPr>
          <w:p w14:paraId="5F7DCF1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8.95</w:t>
            </w:r>
          </w:p>
        </w:tc>
        <w:tc>
          <w:tcPr>
            <w:tcW w:w="0" w:type="auto"/>
            <w:noWrap/>
            <w:tcMar>
              <w:top w:w="30" w:type="dxa"/>
              <w:left w:w="45" w:type="dxa"/>
              <w:bottom w:w="30" w:type="dxa"/>
              <w:right w:w="45" w:type="dxa"/>
            </w:tcMar>
            <w:vAlign w:val="center"/>
            <w:hideMark/>
          </w:tcPr>
          <w:p w14:paraId="787F649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10.40</w:t>
            </w:r>
          </w:p>
        </w:tc>
        <w:tc>
          <w:tcPr>
            <w:tcW w:w="0" w:type="auto"/>
            <w:noWrap/>
            <w:tcMar>
              <w:top w:w="30" w:type="dxa"/>
              <w:left w:w="45" w:type="dxa"/>
              <w:bottom w:w="30" w:type="dxa"/>
              <w:right w:w="45" w:type="dxa"/>
            </w:tcMar>
            <w:vAlign w:val="center"/>
            <w:hideMark/>
          </w:tcPr>
          <w:p w14:paraId="4A4426D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8.56</w:t>
            </w:r>
          </w:p>
        </w:tc>
        <w:tc>
          <w:tcPr>
            <w:tcW w:w="0" w:type="auto"/>
            <w:noWrap/>
            <w:tcMar>
              <w:top w:w="30" w:type="dxa"/>
              <w:left w:w="45" w:type="dxa"/>
              <w:bottom w:w="30" w:type="dxa"/>
              <w:right w:w="45" w:type="dxa"/>
            </w:tcMar>
            <w:vAlign w:val="center"/>
            <w:hideMark/>
          </w:tcPr>
          <w:p w14:paraId="3392E25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5.51</w:t>
            </w:r>
          </w:p>
        </w:tc>
        <w:tc>
          <w:tcPr>
            <w:tcW w:w="671" w:type="dxa"/>
            <w:noWrap/>
            <w:tcMar>
              <w:top w:w="30" w:type="dxa"/>
              <w:left w:w="45" w:type="dxa"/>
              <w:bottom w:w="30" w:type="dxa"/>
              <w:right w:w="45" w:type="dxa"/>
            </w:tcMar>
            <w:vAlign w:val="center"/>
            <w:hideMark/>
          </w:tcPr>
          <w:p w14:paraId="2502147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13.78</w:t>
            </w:r>
          </w:p>
        </w:tc>
      </w:tr>
      <w:tr w:rsidR="002C1A1A" w:rsidRPr="006704E2" w14:paraId="427BDFA2"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6D00B1D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2007</w:t>
            </w:r>
          </w:p>
        </w:tc>
        <w:tc>
          <w:tcPr>
            <w:tcW w:w="671" w:type="dxa"/>
            <w:tcBorders>
              <w:left w:val="single" w:sz="4" w:space="0" w:color="auto"/>
            </w:tcBorders>
            <w:noWrap/>
            <w:tcMar>
              <w:top w:w="30" w:type="dxa"/>
              <w:left w:w="45" w:type="dxa"/>
              <w:bottom w:w="30" w:type="dxa"/>
              <w:right w:w="45" w:type="dxa"/>
            </w:tcMar>
            <w:vAlign w:val="center"/>
            <w:hideMark/>
          </w:tcPr>
          <w:p w14:paraId="4EB26D1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10.05</w:t>
            </w:r>
          </w:p>
        </w:tc>
        <w:tc>
          <w:tcPr>
            <w:tcW w:w="0" w:type="auto"/>
            <w:noWrap/>
            <w:tcMar>
              <w:top w:w="30" w:type="dxa"/>
              <w:left w:w="45" w:type="dxa"/>
              <w:bottom w:w="30" w:type="dxa"/>
              <w:right w:w="45" w:type="dxa"/>
            </w:tcMar>
            <w:vAlign w:val="center"/>
            <w:hideMark/>
          </w:tcPr>
          <w:p w14:paraId="2E0F5D2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7.66</w:t>
            </w:r>
          </w:p>
        </w:tc>
        <w:tc>
          <w:tcPr>
            <w:tcW w:w="0" w:type="auto"/>
            <w:noWrap/>
            <w:tcMar>
              <w:top w:w="30" w:type="dxa"/>
              <w:left w:w="45" w:type="dxa"/>
              <w:bottom w:w="30" w:type="dxa"/>
              <w:right w:w="45" w:type="dxa"/>
            </w:tcMar>
            <w:vAlign w:val="center"/>
            <w:hideMark/>
          </w:tcPr>
          <w:p w14:paraId="1E746BB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7.73</w:t>
            </w:r>
          </w:p>
        </w:tc>
        <w:tc>
          <w:tcPr>
            <w:tcW w:w="0" w:type="auto"/>
            <w:noWrap/>
            <w:tcMar>
              <w:top w:w="30" w:type="dxa"/>
              <w:left w:w="45" w:type="dxa"/>
              <w:bottom w:w="30" w:type="dxa"/>
              <w:right w:w="45" w:type="dxa"/>
            </w:tcMar>
            <w:vAlign w:val="center"/>
            <w:hideMark/>
          </w:tcPr>
          <w:p w14:paraId="735441A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13.77</w:t>
            </w:r>
          </w:p>
        </w:tc>
        <w:tc>
          <w:tcPr>
            <w:tcW w:w="0" w:type="auto"/>
            <w:noWrap/>
            <w:tcMar>
              <w:top w:w="30" w:type="dxa"/>
              <w:left w:w="45" w:type="dxa"/>
              <w:bottom w:w="30" w:type="dxa"/>
              <w:right w:w="45" w:type="dxa"/>
            </w:tcMar>
            <w:vAlign w:val="center"/>
            <w:hideMark/>
          </w:tcPr>
          <w:p w14:paraId="0268D55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10.57</w:t>
            </w:r>
          </w:p>
        </w:tc>
        <w:tc>
          <w:tcPr>
            <w:tcW w:w="0" w:type="auto"/>
            <w:noWrap/>
            <w:tcMar>
              <w:top w:w="30" w:type="dxa"/>
              <w:left w:w="45" w:type="dxa"/>
              <w:bottom w:w="30" w:type="dxa"/>
              <w:right w:w="45" w:type="dxa"/>
            </w:tcMar>
            <w:vAlign w:val="center"/>
            <w:hideMark/>
          </w:tcPr>
          <w:p w14:paraId="0ACDC46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10.59</w:t>
            </w:r>
          </w:p>
        </w:tc>
        <w:tc>
          <w:tcPr>
            <w:tcW w:w="0" w:type="auto"/>
            <w:noWrap/>
            <w:tcMar>
              <w:top w:w="30" w:type="dxa"/>
              <w:left w:w="45" w:type="dxa"/>
              <w:bottom w:w="30" w:type="dxa"/>
              <w:right w:w="45" w:type="dxa"/>
            </w:tcMar>
            <w:vAlign w:val="center"/>
            <w:hideMark/>
          </w:tcPr>
          <w:p w14:paraId="12F53E3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8.98</w:t>
            </w:r>
          </w:p>
        </w:tc>
        <w:tc>
          <w:tcPr>
            <w:tcW w:w="0" w:type="auto"/>
            <w:noWrap/>
            <w:tcMar>
              <w:top w:w="30" w:type="dxa"/>
              <w:left w:w="45" w:type="dxa"/>
              <w:bottom w:w="30" w:type="dxa"/>
              <w:right w:w="45" w:type="dxa"/>
            </w:tcMar>
            <w:vAlign w:val="center"/>
            <w:hideMark/>
          </w:tcPr>
          <w:p w14:paraId="656008A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10.43</w:t>
            </w:r>
          </w:p>
        </w:tc>
        <w:tc>
          <w:tcPr>
            <w:tcW w:w="0" w:type="auto"/>
            <w:noWrap/>
            <w:tcMar>
              <w:top w:w="30" w:type="dxa"/>
              <w:left w:w="45" w:type="dxa"/>
              <w:bottom w:w="30" w:type="dxa"/>
              <w:right w:w="45" w:type="dxa"/>
            </w:tcMar>
            <w:vAlign w:val="center"/>
            <w:hideMark/>
          </w:tcPr>
          <w:p w14:paraId="3037D87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8.59</w:t>
            </w:r>
          </w:p>
        </w:tc>
        <w:tc>
          <w:tcPr>
            <w:tcW w:w="0" w:type="auto"/>
            <w:noWrap/>
            <w:tcMar>
              <w:top w:w="30" w:type="dxa"/>
              <w:left w:w="45" w:type="dxa"/>
              <w:bottom w:w="30" w:type="dxa"/>
              <w:right w:w="45" w:type="dxa"/>
            </w:tcMar>
            <w:vAlign w:val="center"/>
            <w:hideMark/>
          </w:tcPr>
          <w:p w14:paraId="6978832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5.53</w:t>
            </w:r>
          </w:p>
        </w:tc>
        <w:tc>
          <w:tcPr>
            <w:tcW w:w="671" w:type="dxa"/>
            <w:noWrap/>
            <w:tcMar>
              <w:top w:w="30" w:type="dxa"/>
              <w:left w:w="45" w:type="dxa"/>
              <w:bottom w:w="30" w:type="dxa"/>
              <w:right w:w="45" w:type="dxa"/>
            </w:tcMar>
            <w:vAlign w:val="center"/>
            <w:hideMark/>
          </w:tcPr>
          <w:p w14:paraId="4F4C704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13.82</w:t>
            </w:r>
          </w:p>
        </w:tc>
      </w:tr>
      <w:tr w:rsidR="002C1A1A" w:rsidRPr="006704E2" w14:paraId="725B7B5D"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253F182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2008</w:t>
            </w:r>
          </w:p>
        </w:tc>
        <w:tc>
          <w:tcPr>
            <w:tcW w:w="671" w:type="dxa"/>
            <w:tcBorders>
              <w:left w:val="single" w:sz="4" w:space="0" w:color="auto"/>
            </w:tcBorders>
            <w:noWrap/>
            <w:tcMar>
              <w:top w:w="30" w:type="dxa"/>
              <w:left w:w="45" w:type="dxa"/>
              <w:bottom w:w="30" w:type="dxa"/>
              <w:right w:w="45" w:type="dxa"/>
            </w:tcMar>
            <w:vAlign w:val="center"/>
            <w:hideMark/>
          </w:tcPr>
          <w:p w14:paraId="008E62E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10.00</w:t>
            </w:r>
          </w:p>
        </w:tc>
        <w:tc>
          <w:tcPr>
            <w:tcW w:w="0" w:type="auto"/>
            <w:noWrap/>
            <w:tcMar>
              <w:top w:w="30" w:type="dxa"/>
              <w:left w:w="45" w:type="dxa"/>
              <w:bottom w:w="30" w:type="dxa"/>
              <w:right w:w="45" w:type="dxa"/>
            </w:tcMar>
            <w:vAlign w:val="center"/>
            <w:hideMark/>
          </w:tcPr>
          <w:p w14:paraId="71748CA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7.62</w:t>
            </w:r>
          </w:p>
        </w:tc>
        <w:tc>
          <w:tcPr>
            <w:tcW w:w="0" w:type="auto"/>
            <w:noWrap/>
            <w:tcMar>
              <w:top w:w="30" w:type="dxa"/>
              <w:left w:w="45" w:type="dxa"/>
              <w:bottom w:w="30" w:type="dxa"/>
              <w:right w:w="45" w:type="dxa"/>
            </w:tcMar>
            <w:vAlign w:val="center"/>
            <w:hideMark/>
          </w:tcPr>
          <w:p w14:paraId="1F45F6D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7.69</w:t>
            </w:r>
          </w:p>
        </w:tc>
        <w:tc>
          <w:tcPr>
            <w:tcW w:w="0" w:type="auto"/>
            <w:noWrap/>
            <w:tcMar>
              <w:top w:w="30" w:type="dxa"/>
              <w:left w:w="45" w:type="dxa"/>
              <w:bottom w:w="30" w:type="dxa"/>
              <w:right w:w="45" w:type="dxa"/>
            </w:tcMar>
            <w:vAlign w:val="center"/>
            <w:hideMark/>
          </w:tcPr>
          <w:p w14:paraId="5A1B25E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13.70</w:t>
            </w:r>
          </w:p>
        </w:tc>
        <w:tc>
          <w:tcPr>
            <w:tcW w:w="0" w:type="auto"/>
            <w:noWrap/>
            <w:tcMar>
              <w:top w:w="30" w:type="dxa"/>
              <w:left w:w="45" w:type="dxa"/>
              <w:bottom w:w="30" w:type="dxa"/>
              <w:right w:w="45" w:type="dxa"/>
            </w:tcMar>
            <w:vAlign w:val="center"/>
            <w:hideMark/>
          </w:tcPr>
          <w:p w14:paraId="5E8A685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10.52</w:t>
            </w:r>
          </w:p>
        </w:tc>
        <w:tc>
          <w:tcPr>
            <w:tcW w:w="0" w:type="auto"/>
            <w:noWrap/>
            <w:tcMar>
              <w:top w:w="30" w:type="dxa"/>
              <w:left w:w="45" w:type="dxa"/>
              <w:bottom w:w="30" w:type="dxa"/>
              <w:right w:w="45" w:type="dxa"/>
            </w:tcMar>
            <w:vAlign w:val="center"/>
            <w:hideMark/>
          </w:tcPr>
          <w:p w14:paraId="7ED26FE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10.53</w:t>
            </w:r>
          </w:p>
        </w:tc>
        <w:tc>
          <w:tcPr>
            <w:tcW w:w="0" w:type="auto"/>
            <w:noWrap/>
            <w:tcMar>
              <w:top w:w="30" w:type="dxa"/>
              <w:left w:w="45" w:type="dxa"/>
              <w:bottom w:w="30" w:type="dxa"/>
              <w:right w:w="45" w:type="dxa"/>
            </w:tcMar>
            <w:vAlign w:val="center"/>
            <w:hideMark/>
          </w:tcPr>
          <w:p w14:paraId="6A1BF2F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8.94</w:t>
            </w:r>
          </w:p>
        </w:tc>
        <w:tc>
          <w:tcPr>
            <w:tcW w:w="0" w:type="auto"/>
            <w:noWrap/>
            <w:tcMar>
              <w:top w:w="30" w:type="dxa"/>
              <w:left w:w="45" w:type="dxa"/>
              <w:bottom w:w="30" w:type="dxa"/>
              <w:right w:w="45" w:type="dxa"/>
            </w:tcMar>
            <w:vAlign w:val="center"/>
            <w:hideMark/>
          </w:tcPr>
          <w:p w14:paraId="4D45E0B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10.38</w:t>
            </w:r>
          </w:p>
        </w:tc>
        <w:tc>
          <w:tcPr>
            <w:tcW w:w="0" w:type="auto"/>
            <w:noWrap/>
            <w:tcMar>
              <w:top w:w="30" w:type="dxa"/>
              <w:left w:w="45" w:type="dxa"/>
              <w:bottom w:w="30" w:type="dxa"/>
              <w:right w:w="45" w:type="dxa"/>
            </w:tcMar>
            <w:vAlign w:val="center"/>
            <w:hideMark/>
          </w:tcPr>
          <w:p w14:paraId="0CCA187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8.55</w:t>
            </w:r>
          </w:p>
        </w:tc>
        <w:tc>
          <w:tcPr>
            <w:tcW w:w="0" w:type="auto"/>
            <w:noWrap/>
            <w:tcMar>
              <w:top w:w="30" w:type="dxa"/>
              <w:left w:w="45" w:type="dxa"/>
              <w:bottom w:w="30" w:type="dxa"/>
              <w:right w:w="45" w:type="dxa"/>
            </w:tcMar>
            <w:vAlign w:val="center"/>
            <w:hideMark/>
          </w:tcPr>
          <w:p w14:paraId="4019FE4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5.50</w:t>
            </w:r>
          </w:p>
        </w:tc>
        <w:tc>
          <w:tcPr>
            <w:tcW w:w="671" w:type="dxa"/>
            <w:noWrap/>
            <w:tcMar>
              <w:top w:w="30" w:type="dxa"/>
              <w:left w:w="45" w:type="dxa"/>
              <w:bottom w:w="30" w:type="dxa"/>
              <w:right w:w="45" w:type="dxa"/>
            </w:tcMar>
            <w:vAlign w:val="center"/>
            <w:hideMark/>
          </w:tcPr>
          <w:p w14:paraId="403CAA3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13.75</w:t>
            </w:r>
          </w:p>
        </w:tc>
      </w:tr>
      <w:tr w:rsidR="002C1A1A" w:rsidRPr="006704E2" w14:paraId="0B78F6E4"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3A98882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2009</w:t>
            </w:r>
          </w:p>
        </w:tc>
        <w:tc>
          <w:tcPr>
            <w:tcW w:w="671" w:type="dxa"/>
            <w:tcBorders>
              <w:left w:val="single" w:sz="4" w:space="0" w:color="auto"/>
            </w:tcBorders>
            <w:noWrap/>
            <w:tcMar>
              <w:top w:w="30" w:type="dxa"/>
              <w:left w:w="45" w:type="dxa"/>
              <w:bottom w:w="30" w:type="dxa"/>
              <w:right w:w="45" w:type="dxa"/>
            </w:tcMar>
            <w:vAlign w:val="center"/>
            <w:hideMark/>
          </w:tcPr>
          <w:p w14:paraId="08AB692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9.85</w:t>
            </w:r>
          </w:p>
        </w:tc>
        <w:tc>
          <w:tcPr>
            <w:tcW w:w="0" w:type="auto"/>
            <w:noWrap/>
            <w:tcMar>
              <w:top w:w="30" w:type="dxa"/>
              <w:left w:w="45" w:type="dxa"/>
              <w:bottom w:w="30" w:type="dxa"/>
              <w:right w:w="45" w:type="dxa"/>
            </w:tcMar>
            <w:vAlign w:val="center"/>
            <w:hideMark/>
          </w:tcPr>
          <w:p w14:paraId="32EEC19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7.51</w:t>
            </w:r>
          </w:p>
        </w:tc>
        <w:tc>
          <w:tcPr>
            <w:tcW w:w="0" w:type="auto"/>
            <w:noWrap/>
            <w:tcMar>
              <w:top w:w="30" w:type="dxa"/>
              <w:left w:w="45" w:type="dxa"/>
              <w:bottom w:w="30" w:type="dxa"/>
              <w:right w:w="45" w:type="dxa"/>
            </w:tcMar>
            <w:vAlign w:val="center"/>
            <w:hideMark/>
          </w:tcPr>
          <w:p w14:paraId="0C86447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7.58</w:t>
            </w:r>
          </w:p>
        </w:tc>
        <w:tc>
          <w:tcPr>
            <w:tcW w:w="0" w:type="auto"/>
            <w:noWrap/>
            <w:tcMar>
              <w:top w:w="30" w:type="dxa"/>
              <w:left w:w="45" w:type="dxa"/>
              <w:bottom w:w="30" w:type="dxa"/>
              <w:right w:w="45" w:type="dxa"/>
            </w:tcMar>
            <w:vAlign w:val="center"/>
            <w:hideMark/>
          </w:tcPr>
          <w:p w14:paraId="15FDEF1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13.50</w:t>
            </w:r>
          </w:p>
        </w:tc>
        <w:tc>
          <w:tcPr>
            <w:tcW w:w="0" w:type="auto"/>
            <w:noWrap/>
            <w:tcMar>
              <w:top w:w="30" w:type="dxa"/>
              <w:left w:w="45" w:type="dxa"/>
              <w:bottom w:w="30" w:type="dxa"/>
              <w:right w:w="45" w:type="dxa"/>
            </w:tcMar>
            <w:vAlign w:val="center"/>
            <w:hideMark/>
          </w:tcPr>
          <w:p w14:paraId="49CAE98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10.37</w:t>
            </w:r>
          </w:p>
        </w:tc>
        <w:tc>
          <w:tcPr>
            <w:tcW w:w="0" w:type="auto"/>
            <w:noWrap/>
            <w:tcMar>
              <w:top w:w="30" w:type="dxa"/>
              <w:left w:w="45" w:type="dxa"/>
              <w:bottom w:w="30" w:type="dxa"/>
              <w:right w:w="45" w:type="dxa"/>
            </w:tcMar>
            <w:vAlign w:val="center"/>
            <w:hideMark/>
          </w:tcPr>
          <w:p w14:paraId="086CB5A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10.38</w:t>
            </w:r>
          </w:p>
        </w:tc>
        <w:tc>
          <w:tcPr>
            <w:tcW w:w="0" w:type="auto"/>
            <w:noWrap/>
            <w:tcMar>
              <w:top w:w="30" w:type="dxa"/>
              <w:left w:w="45" w:type="dxa"/>
              <w:bottom w:w="30" w:type="dxa"/>
              <w:right w:w="45" w:type="dxa"/>
            </w:tcMar>
            <w:vAlign w:val="center"/>
            <w:hideMark/>
          </w:tcPr>
          <w:p w14:paraId="4D81C5E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8.81</w:t>
            </w:r>
          </w:p>
        </w:tc>
        <w:tc>
          <w:tcPr>
            <w:tcW w:w="0" w:type="auto"/>
            <w:noWrap/>
            <w:tcMar>
              <w:top w:w="30" w:type="dxa"/>
              <w:left w:w="45" w:type="dxa"/>
              <w:bottom w:w="30" w:type="dxa"/>
              <w:right w:w="45" w:type="dxa"/>
            </w:tcMar>
            <w:vAlign w:val="center"/>
            <w:hideMark/>
          </w:tcPr>
          <w:p w14:paraId="0692CB0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10.23</w:t>
            </w:r>
          </w:p>
        </w:tc>
        <w:tc>
          <w:tcPr>
            <w:tcW w:w="0" w:type="auto"/>
            <w:noWrap/>
            <w:tcMar>
              <w:top w:w="30" w:type="dxa"/>
              <w:left w:w="45" w:type="dxa"/>
              <w:bottom w:w="30" w:type="dxa"/>
              <w:right w:w="45" w:type="dxa"/>
            </w:tcMar>
            <w:vAlign w:val="center"/>
            <w:hideMark/>
          </w:tcPr>
          <w:p w14:paraId="48845CC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8.43</w:t>
            </w:r>
          </w:p>
        </w:tc>
        <w:tc>
          <w:tcPr>
            <w:tcW w:w="0" w:type="auto"/>
            <w:noWrap/>
            <w:tcMar>
              <w:top w:w="30" w:type="dxa"/>
              <w:left w:w="45" w:type="dxa"/>
              <w:bottom w:w="30" w:type="dxa"/>
              <w:right w:w="45" w:type="dxa"/>
            </w:tcMar>
            <w:vAlign w:val="center"/>
            <w:hideMark/>
          </w:tcPr>
          <w:p w14:paraId="18E935B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5.42</w:t>
            </w:r>
          </w:p>
        </w:tc>
        <w:tc>
          <w:tcPr>
            <w:tcW w:w="671" w:type="dxa"/>
            <w:noWrap/>
            <w:tcMar>
              <w:top w:w="30" w:type="dxa"/>
              <w:left w:w="45" w:type="dxa"/>
              <w:bottom w:w="30" w:type="dxa"/>
              <w:right w:w="45" w:type="dxa"/>
            </w:tcMar>
            <w:vAlign w:val="center"/>
            <w:hideMark/>
          </w:tcPr>
          <w:p w14:paraId="45BD552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13.56</w:t>
            </w:r>
          </w:p>
        </w:tc>
      </w:tr>
      <w:tr w:rsidR="002C1A1A" w:rsidRPr="006704E2" w14:paraId="667F284D"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3AA4390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2010</w:t>
            </w:r>
          </w:p>
        </w:tc>
        <w:tc>
          <w:tcPr>
            <w:tcW w:w="671" w:type="dxa"/>
            <w:tcBorders>
              <w:left w:val="single" w:sz="4" w:space="0" w:color="auto"/>
            </w:tcBorders>
            <w:noWrap/>
            <w:tcMar>
              <w:top w:w="30" w:type="dxa"/>
              <w:left w:w="45" w:type="dxa"/>
              <w:bottom w:w="30" w:type="dxa"/>
              <w:right w:w="45" w:type="dxa"/>
            </w:tcMar>
            <w:vAlign w:val="center"/>
            <w:hideMark/>
          </w:tcPr>
          <w:p w14:paraId="492BD3B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9.92</w:t>
            </w:r>
          </w:p>
        </w:tc>
        <w:tc>
          <w:tcPr>
            <w:tcW w:w="0" w:type="auto"/>
            <w:noWrap/>
            <w:tcMar>
              <w:top w:w="30" w:type="dxa"/>
              <w:left w:w="45" w:type="dxa"/>
              <w:bottom w:w="30" w:type="dxa"/>
              <w:right w:w="45" w:type="dxa"/>
            </w:tcMar>
            <w:vAlign w:val="center"/>
            <w:hideMark/>
          </w:tcPr>
          <w:p w14:paraId="316548E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7.56</w:t>
            </w:r>
          </w:p>
        </w:tc>
        <w:tc>
          <w:tcPr>
            <w:tcW w:w="0" w:type="auto"/>
            <w:noWrap/>
            <w:tcMar>
              <w:top w:w="30" w:type="dxa"/>
              <w:left w:w="45" w:type="dxa"/>
              <w:bottom w:w="30" w:type="dxa"/>
              <w:right w:w="45" w:type="dxa"/>
            </w:tcMar>
            <w:vAlign w:val="center"/>
            <w:hideMark/>
          </w:tcPr>
          <w:p w14:paraId="15AB903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7.63</w:t>
            </w:r>
          </w:p>
        </w:tc>
        <w:tc>
          <w:tcPr>
            <w:tcW w:w="0" w:type="auto"/>
            <w:noWrap/>
            <w:tcMar>
              <w:top w:w="30" w:type="dxa"/>
              <w:left w:w="45" w:type="dxa"/>
              <w:bottom w:w="30" w:type="dxa"/>
              <w:right w:w="45" w:type="dxa"/>
            </w:tcMar>
            <w:vAlign w:val="center"/>
            <w:hideMark/>
          </w:tcPr>
          <w:p w14:paraId="71C7E82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13.59</w:t>
            </w:r>
          </w:p>
        </w:tc>
        <w:tc>
          <w:tcPr>
            <w:tcW w:w="0" w:type="auto"/>
            <w:noWrap/>
            <w:tcMar>
              <w:top w:w="30" w:type="dxa"/>
              <w:left w:w="45" w:type="dxa"/>
              <w:bottom w:w="30" w:type="dxa"/>
              <w:right w:w="45" w:type="dxa"/>
            </w:tcMar>
            <w:vAlign w:val="center"/>
            <w:hideMark/>
          </w:tcPr>
          <w:p w14:paraId="1D21915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10.43</w:t>
            </w:r>
          </w:p>
        </w:tc>
        <w:tc>
          <w:tcPr>
            <w:tcW w:w="0" w:type="auto"/>
            <w:noWrap/>
            <w:tcMar>
              <w:top w:w="30" w:type="dxa"/>
              <w:left w:w="45" w:type="dxa"/>
              <w:bottom w:w="30" w:type="dxa"/>
              <w:right w:w="45" w:type="dxa"/>
            </w:tcMar>
            <w:vAlign w:val="center"/>
            <w:hideMark/>
          </w:tcPr>
          <w:p w14:paraId="2BD1453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10.45</w:t>
            </w:r>
          </w:p>
        </w:tc>
        <w:tc>
          <w:tcPr>
            <w:tcW w:w="0" w:type="auto"/>
            <w:noWrap/>
            <w:tcMar>
              <w:top w:w="30" w:type="dxa"/>
              <w:left w:w="45" w:type="dxa"/>
              <w:bottom w:w="30" w:type="dxa"/>
              <w:right w:w="45" w:type="dxa"/>
            </w:tcMar>
            <w:vAlign w:val="center"/>
            <w:hideMark/>
          </w:tcPr>
          <w:p w14:paraId="165938E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8.87</w:t>
            </w:r>
          </w:p>
        </w:tc>
        <w:tc>
          <w:tcPr>
            <w:tcW w:w="0" w:type="auto"/>
            <w:noWrap/>
            <w:tcMar>
              <w:top w:w="30" w:type="dxa"/>
              <w:left w:w="45" w:type="dxa"/>
              <w:bottom w:w="30" w:type="dxa"/>
              <w:right w:w="45" w:type="dxa"/>
            </w:tcMar>
            <w:vAlign w:val="center"/>
            <w:hideMark/>
          </w:tcPr>
          <w:p w14:paraId="77E9D62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10.30</w:t>
            </w:r>
          </w:p>
        </w:tc>
        <w:tc>
          <w:tcPr>
            <w:tcW w:w="0" w:type="auto"/>
            <w:noWrap/>
            <w:tcMar>
              <w:top w:w="30" w:type="dxa"/>
              <w:left w:w="45" w:type="dxa"/>
              <w:bottom w:w="30" w:type="dxa"/>
              <w:right w:w="45" w:type="dxa"/>
            </w:tcMar>
            <w:vAlign w:val="center"/>
            <w:hideMark/>
          </w:tcPr>
          <w:p w14:paraId="60C9923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8.48</w:t>
            </w:r>
          </w:p>
        </w:tc>
        <w:tc>
          <w:tcPr>
            <w:tcW w:w="0" w:type="auto"/>
            <w:noWrap/>
            <w:tcMar>
              <w:top w:w="30" w:type="dxa"/>
              <w:left w:w="45" w:type="dxa"/>
              <w:bottom w:w="30" w:type="dxa"/>
              <w:right w:w="45" w:type="dxa"/>
            </w:tcMar>
            <w:vAlign w:val="center"/>
            <w:hideMark/>
          </w:tcPr>
          <w:p w14:paraId="2FFC734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5.46</w:t>
            </w:r>
          </w:p>
        </w:tc>
        <w:tc>
          <w:tcPr>
            <w:tcW w:w="671" w:type="dxa"/>
            <w:noWrap/>
            <w:tcMar>
              <w:top w:w="30" w:type="dxa"/>
              <w:left w:w="45" w:type="dxa"/>
              <w:bottom w:w="30" w:type="dxa"/>
              <w:right w:w="45" w:type="dxa"/>
            </w:tcMar>
            <w:vAlign w:val="center"/>
            <w:hideMark/>
          </w:tcPr>
          <w:p w14:paraId="02E0007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13.64</w:t>
            </w:r>
          </w:p>
        </w:tc>
      </w:tr>
      <w:tr w:rsidR="002C1A1A" w:rsidRPr="006704E2" w14:paraId="69AAD862"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373A05F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2011</w:t>
            </w:r>
          </w:p>
        </w:tc>
        <w:tc>
          <w:tcPr>
            <w:tcW w:w="671" w:type="dxa"/>
            <w:tcBorders>
              <w:left w:val="single" w:sz="4" w:space="0" w:color="auto"/>
            </w:tcBorders>
            <w:noWrap/>
            <w:tcMar>
              <w:top w:w="30" w:type="dxa"/>
              <w:left w:w="45" w:type="dxa"/>
              <w:bottom w:w="30" w:type="dxa"/>
              <w:right w:w="45" w:type="dxa"/>
            </w:tcMar>
            <w:vAlign w:val="center"/>
            <w:hideMark/>
          </w:tcPr>
          <w:p w14:paraId="4803A61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9.95</w:t>
            </w:r>
          </w:p>
        </w:tc>
        <w:tc>
          <w:tcPr>
            <w:tcW w:w="0" w:type="auto"/>
            <w:noWrap/>
            <w:tcMar>
              <w:top w:w="30" w:type="dxa"/>
              <w:left w:w="45" w:type="dxa"/>
              <w:bottom w:w="30" w:type="dxa"/>
              <w:right w:w="45" w:type="dxa"/>
            </w:tcMar>
            <w:vAlign w:val="center"/>
            <w:hideMark/>
          </w:tcPr>
          <w:p w14:paraId="4F08175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7.59</w:t>
            </w:r>
          </w:p>
        </w:tc>
        <w:tc>
          <w:tcPr>
            <w:tcW w:w="0" w:type="auto"/>
            <w:noWrap/>
            <w:tcMar>
              <w:top w:w="30" w:type="dxa"/>
              <w:left w:w="45" w:type="dxa"/>
              <w:bottom w:w="30" w:type="dxa"/>
              <w:right w:w="45" w:type="dxa"/>
            </w:tcMar>
            <w:vAlign w:val="center"/>
            <w:hideMark/>
          </w:tcPr>
          <w:p w14:paraId="0473A9D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7.65</w:t>
            </w:r>
          </w:p>
        </w:tc>
        <w:tc>
          <w:tcPr>
            <w:tcW w:w="0" w:type="auto"/>
            <w:noWrap/>
            <w:tcMar>
              <w:top w:w="30" w:type="dxa"/>
              <w:left w:w="45" w:type="dxa"/>
              <w:bottom w:w="30" w:type="dxa"/>
              <w:right w:w="45" w:type="dxa"/>
            </w:tcMar>
            <w:vAlign w:val="center"/>
            <w:hideMark/>
          </w:tcPr>
          <w:p w14:paraId="64484D8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13.63</w:t>
            </w:r>
          </w:p>
        </w:tc>
        <w:tc>
          <w:tcPr>
            <w:tcW w:w="0" w:type="auto"/>
            <w:noWrap/>
            <w:tcMar>
              <w:top w:w="30" w:type="dxa"/>
              <w:left w:w="45" w:type="dxa"/>
              <w:bottom w:w="30" w:type="dxa"/>
              <w:right w:w="45" w:type="dxa"/>
            </w:tcMar>
            <w:vAlign w:val="center"/>
            <w:hideMark/>
          </w:tcPr>
          <w:p w14:paraId="44D3813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10.47</w:t>
            </w:r>
          </w:p>
        </w:tc>
        <w:tc>
          <w:tcPr>
            <w:tcW w:w="0" w:type="auto"/>
            <w:noWrap/>
            <w:tcMar>
              <w:top w:w="30" w:type="dxa"/>
              <w:left w:w="45" w:type="dxa"/>
              <w:bottom w:w="30" w:type="dxa"/>
              <w:right w:w="45" w:type="dxa"/>
            </w:tcMar>
            <w:vAlign w:val="center"/>
            <w:hideMark/>
          </w:tcPr>
          <w:p w14:paraId="011041B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10.49</w:t>
            </w:r>
          </w:p>
        </w:tc>
        <w:tc>
          <w:tcPr>
            <w:tcW w:w="0" w:type="auto"/>
            <w:noWrap/>
            <w:tcMar>
              <w:top w:w="30" w:type="dxa"/>
              <w:left w:w="45" w:type="dxa"/>
              <w:bottom w:w="30" w:type="dxa"/>
              <w:right w:w="45" w:type="dxa"/>
            </w:tcMar>
            <w:vAlign w:val="center"/>
            <w:hideMark/>
          </w:tcPr>
          <w:p w14:paraId="67B6E30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8.90</w:t>
            </w:r>
          </w:p>
        </w:tc>
        <w:tc>
          <w:tcPr>
            <w:tcW w:w="0" w:type="auto"/>
            <w:noWrap/>
            <w:tcMar>
              <w:top w:w="30" w:type="dxa"/>
              <w:left w:w="45" w:type="dxa"/>
              <w:bottom w:w="30" w:type="dxa"/>
              <w:right w:w="45" w:type="dxa"/>
            </w:tcMar>
            <w:vAlign w:val="center"/>
            <w:hideMark/>
          </w:tcPr>
          <w:p w14:paraId="6E31391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10.33</w:t>
            </w:r>
          </w:p>
        </w:tc>
        <w:tc>
          <w:tcPr>
            <w:tcW w:w="0" w:type="auto"/>
            <w:noWrap/>
            <w:tcMar>
              <w:top w:w="30" w:type="dxa"/>
              <w:left w:w="45" w:type="dxa"/>
              <w:bottom w:w="30" w:type="dxa"/>
              <w:right w:w="45" w:type="dxa"/>
            </w:tcMar>
            <w:vAlign w:val="center"/>
            <w:hideMark/>
          </w:tcPr>
          <w:p w14:paraId="71675A8D"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8.51</w:t>
            </w:r>
          </w:p>
        </w:tc>
        <w:tc>
          <w:tcPr>
            <w:tcW w:w="0" w:type="auto"/>
            <w:noWrap/>
            <w:tcMar>
              <w:top w:w="30" w:type="dxa"/>
              <w:left w:w="45" w:type="dxa"/>
              <w:bottom w:w="30" w:type="dxa"/>
              <w:right w:w="45" w:type="dxa"/>
            </w:tcMar>
            <w:vAlign w:val="center"/>
            <w:hideMark/>
          </w:tcPr>
          <w:p w14:paraId="2509CC8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5.48</w:t>
            </w:r>
          </w:p>
        </w:tc>
        <w:tc>
          <w:tcPr>
            <w:tcW w:w="671" w:type="dxa"/>
            <w:noWrap/>
            <w:tcMar>
              <w:top w:w="30" w:type="dxa"/>
              <w:left w:w="45" w:type="dxa"/>
              <w:bottom w:w="30" w:type="dxa"/>
              <w:right w:w="45" w:type="dxa"/>
            </w:tcMar>
            <w:vAlign w:val="center"/>
            <w:hideMark/>
          </w:tcPr>
          <w:p w14:paraId="03F85A3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13.69</w:t>
            </w:r>
          </w:p>
        </w:tc>
      </w:tr>
      <w:tr w:rsidR="002C1A1A" w:rsidRPr="006704E2" w14:paraId="055D05BC"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5A3C1BF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2012</w:t>
            </w:r>
          </w:p>
        </w:tc>
        <w:tc>
          <w:tcPr>
            <w:tcW w:w="671" w:type="dxa"/>
            <w:tcBorders>
              <w:left w:val="single" w:sz="4" w:space="0" w:color="auto"/>
            </w:tcBorders>
            <w:noWrap/>
            <w:tcMar>
              <w:top w:w="30" w:type="dxa"/>
              <w:left w:w="45" w:type="dxa"/>
              <w:bottom w:w="30" w:type="dxa"/>
              <w:right w:w="45" w:type="dxa"/>
            </w:tcMar>
            <w:vAlign w:val="center"/>
            <w:hideMark/>
          </w:tcPr>
          <w:p w14:paraId="4F09AFF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10.01</w:t>
            </w:r>
          </w:p>
        </w:tc>
        <w:tc>
          <w:tcPr>
            <w:tcW w:w="0" w:type="auto"/>
            <w:noWrap/>
            <w:tcMar>
              <w:top w:w="30" w:type="dxa"/>
              <w:left w:w="45" w:type="dxa"/>
              <w:bottom w:w="30" w:type="dxa"/>
              <w:right w:w="45" w:type="dxa"/>
            </w:tcMar>
            <w:vAlign w:val="center"/>
            <w:hideMark/>
          </w:tcPr>
          <w:p w14:paraId="41AF88E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7.63</w:t>
            </w:r>
          </w:p>
        </w:tc>
        <w:tc>
          <w:tcPr>
            <w:tcW w:w="0" w:type="auto"/>
            <w:noWrap/>
            <w:tcMar>
              <w:top w:w="30" w:type="dxa"/>
              <w:left w:w="45" w:type="dxa"/>
              <w:bottom w:w="30" w:type="dxa"/>
              <w:right w:w="45" w:type="dxa"/>
            </w:tcMar>
            <w:vAlign w:val="center"/>
            <w:hideMark/>
          </w:tcPr>
          <w:p w14:paraId="0623729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7.70</w:t>
            </w:r>
          </w:p>
        </w:tc>
        <w:tc>
          <w:tcPr>
            <w:tcW w:w="0" w:type="auto"/>
            <w:noWrap/>
            <w:tcMar>
              <w:top w:w="30" w:type="dxa"/>
              <w:left w:w="45" w:type="dxa"/>
              <w:bottom w:w="30" w:type="dxa"/>
              <w:right w:w="45" w:type="dxa"/>
            </w:tcMar>
            <w:vAlign w:val="center"/>
            <w:hideMark/>
          </w:tcPr>
          <w:p w14:paraId="18EFC39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13.71</w:t>
            </w:r>
          </w:p>
        </w:tc>
        <w:tc>
          <w:tcPr>
            <w:tcW w:w="0" w:type="auto"/>
            <w:noWrap/>
            <w:tcMar>
              <w:top w:w="30" w:type="dxa"/>
              <w:left w:w="45" w:type="dxa"/>
              <w:bottom w:w="30" w:type="dxa"/>
              <w:right w:w="45" w:type="dxa"/>
            </w:tcMar>
            <w:vAlign w:val="center"/>
            <w:hideMark/>
          </w:tcPr>
          <w:p w14:paraId="412ECB8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10.53</w:t>
            </w:r>
          </w:p>
        </w:tc>
        <w:tc>
          <w:tcPr>
            <w:tcW w:w="0" w:type="auto"/>
            <w:noWrap/>
            <w:tcMar>
              <w:top w:w="30" w:type="dxa"/>
              <w:left w:w="45" w:type="dxa"/>
              <w:bottom w:w="30" w:type="dxa"/>
              <w:right w:w="45" w:type="dxa"/>
            </w:tcMar>
            <w:vAlign w:val="center"/>
            <w:hideMark/>
          </w:tcPr>
          <w:p w14:paraId="3B41B2F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10.54</w:t>
            </w:r>
          </w:p>
        </w:tc>
        <w:tc>
          <w:tcPr>
            <w:tcW w:w="0" w:type="auto"/>
            <w:noWrap/>
            <w:tcMar>
              <w:top w:w="30" w:type="dxa"/>
              <w:left w:w="45" w:type="dxa"/>
              <w:bottom w:w="30" w:type="dxa"/>
              <w:right w:w="45" w:type="dxa"/>
            </w:tcMar>
            <w:vAlign w:val="center"/>
            <w:hideMark/>
          </w:tcPr>
          <w:p w14:paraId="627B497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8.95</w:t>
            </w:r>
          </w:p>
        </w:tc>
        <w:tc>
          <w:tcPr>
            <w:tcW w:w="0" w:type="auto"/>
            <w:noWrap/>
            <w:tcMar>
              <w:top w:w="30" w:type="dxa"/>
              <w:left w:w="45" w:type="dxa"/>
              <w:bottom w:w="30" w:type="dxa"/>
              <w:right w:w="45" w:type="dxa"/>
            </w:tcMar>
            <w:vAlign w:val="center"/>
            <w:hideMark/>
          </w:tcPr>
          <w:p w14:paraId="2EBDC8E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10.39</w:t>
            </w:r>
          </w:p>
        </w:tc>
        <w:tc>
          <w:tcPr>
            <w:tcW w:w="0" w:type="auto"/>
            <w:noWrap/>
            <w:tcMar>
              <w:top w:w="30" w:type="dxa"/>
              <w:left w:w="45" w:type="dxa"/>
              <w:bottom w:w="30" w:type="dxa"/>
              <w:right w:w="45" w:type="dxa"/>
            </w:tcMar>
            <w:vAlign w:val="center"/>
            <w:hideMark/>
          </w:tcPr>
          <w:p w14:paraId="41D1E12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8.56</w:t>
            </w:r>
          </w:p>
        </w:tc>
        <w:tc>
          <w:tcPr>
            <w:tcW w:w="0" w:type="auto"/>
            <w:noWrap/>
            <w:tcMar>
              <w:top w:w="30" w:type="dxa"/>
              <w:left w:w="45" w:type="dxa"/>
              <w:bottom w:w="30" w:type="dxa"/>
              <w:right w:w="45" w:type="dxa"/>
            </w:tcMar>
            <w:vAlign w:val="center"/>
            <w:hideMark/>
          </w:tcPr>
          <w:p w14:paraId="2BB7395C"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5.51</w:t>
            </w:r>
          </w:p>
        </w:tc>
        <w:tc>
          <w:tcPr>
            <w:tcW w:w="671" w:type="dxa"/>
            <w:noWrap/>
            <w:tcMar>
              <w:top w:w="30" w:type="dxa"/>
              <w:left w:w="45" w:type="dxa"/>
              <w:bottom w:w="30" w:type="dxa"/>
              <w:right w:w="45" w:type="dxa"/>
            </w:tcMar>
            <w:vAlign w:val="center"/>
            <w:hideMark/>
          </w:tcPr>
          <w:p w14:paraId="2F204DF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13.77</w:t>
            </w:r>
          </w:p>
        </w:tc>
      </w:tr>
      <w:tr w:rsidR="002C1A1A" w:rsidRPr="006704E2" w14:paraId="70FFC286"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5CB1A57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2013</w:t>
            </w:r>
          </w:p>
        </w:tc>
        <w:tc>
          <w:tcPr>
            <w:tcW w:w="671" w:type="dxa"/>
            <w:tcBorders>
              <w:left w:val="single" w:sz="4" w:space="0" w:color="auto"/>
            </w:tcBorders>
            <w:noWrap/>
            <w:tcMar>
              <w:top w:w="30" w:type="dxa"/>
              <w:left w:w="45" w:type="dxa"/>
              <w:bottom w:w="30" w:type="dxa"/>
              <w:right w:w="45" w:type="dxa"/>
            </w:tcMar>
            <w:vAlign w:val="center"/>
            <w:hideMark/>
          </w:tcPr>
          <w:p w14:paraId="2625612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10.04</w:t>
            </w:r>
          </w:p>
        </w:tc>
        <w:tc>
          <w:tcPr>
            <w:tcW w:w="0" w:type="auto"/>
            <w:noWrap/>
            <w:tcMar>
              <w:top w:w="30" w:type="dxa"/>
              <w:left w:w="45" w:type="dxa"/>
              <w:bottom w:w="30" w:type="dxa"/>
              <w:right w:w="45" w:type="dxa"/>
            </w:tcMar>
            <w:vAlign w:val="center"/>
            <w:hideMark/>
          </w:tcPr>
          <w:p w14:paraId="030C10D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7.66</w:t>
            </w:r>
          </w:p>
        </w:tc>
        <w:tc>
          <w:tcPr>
            <w:tcW w:w="0" w:type="auto"/>
            <w:noWrap/>
            <w:tcMar>
              <w:top w:w="30" w:type="dxa"/>
              <w:left w:w="45" w:type="dxa"/>
              <w:bottom w:w="30" w:type="dxa"/>
              <w:right w:w="45" w:type="dxa"/>
            </w:tcMar>
            <w:vAlign w:val="center"/>
            <w:hideMark/>
          </w:tcPr>
          <w:p w14:paraId="00EF10DB"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7.72</w:t>
            </w:r>
          </w:p>
        </w:tc>
        <w:tc>
          <w:tcPr>
            <w:tcW w:w="0" w:type="auto"/>
            <w:noWrap/>
            <w:tcMar>
              <w:top w:w="30" w:type="dxa"/>
              <w:left w:w="45" w:type="dxa"/>
              <w:bottom w:w="30" w:type="dxa"/>
              <w:right w:w="45" w:type="dxa"/>
            </w:tcMar>
            <w:vAlign w:val="center"/>
            <w:hideMark/>
          </w:tcPr>
          <w:p w14:paraId="6E6641A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13.76</w:t>
            </w:r>
          </w:p>
        </w:tc>
        <w:tc>
          <w:tcPr>
            <w:tcW w:w="0" w:type="auto"/>
            <w:noWrap/>
            <w:tcMar>
              <w:top w:w="30" w:type="dxa"/>
              <w:left w:w="45" w:type="dxa"/>
              <w:bottom w:w="30" w:type="dxa"/>
              <w:right w:w="45" w:type="dxa"/>
            </w:tcMar>
            <w:vAlign w:val="center"/>
            <w:hideMark/>
          </w:tcPr>
          <w:p w14:paraId="63F0A46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10.56</w:t>
            </w:r>
          </w:p>
        </w:tc>
        <w:tc>
          <w:tcPr>
            <w:tcW w:w="0" w:type="auto"/>
            <w:noWrap/>
            <w:tcMar>
              <w:top w:w="30" w:type="dxa"/>
              <w:left w:w="45" w:type="dxa"/>
              <w:bottom w:w="30" w:type="dxa"/>
              <w:right w:w="45" w:type="dxa"/>
            </w:tcMar>
            <w:vAlign w:val="center"/>
            <w:hideMark/>
          </w:tcPr>
          <w:p w14:paraId="21E1132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10.58</w:t>
            </w:r>
          </w:p>
        </w:tc>
        <w:tc>
          <w:tcPr>
            <w:tcW w:w="0" w:type="auto"/>
            <w:noWrap/>
            <w:tcMar>
              <w:top w:w="30" w:type="dxa"/>
              <w:left w:w="45" w:type="dxa"/>
              <w:bottom w:w="30" w:type="dxa"/>
              <w:right w:w="45" w:type="dxa"/>
            </w:tcMar>
            <w:vAlign w:val="center"/>
            <w:hideMark/>
          </w:tcPr>
          <w:p w14:paraId="52A8E7C1"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8.98</w:t>
            </w:r>
          </w:p>
        </w:tc>
        <w:tc>
          <w:tcPr>
            <w:tcW w:w="0" w:type="auto"/>
            <w:noWrap/>
            <w:tcMar>
              <w:top w:w="30" w:type="dxa"/>
              <w:left w:w="45" w:type="dxa"/>
              <w:bottom w:w="30" w:type="dxa"/>
              <w:right w:w="45" w:type="dxa"/>
            </w:tcMar>
            <w:vAlign w:val="center"/>
            <w:hideMark/>
          </w:tcPr>
          <w:p w14:paraId="34CFCB7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10.43</w:t>
            </w:r>
          </w:p>
        </w:tc>
        <w:tc>
          <w:tcPr>
            <w:tcW w:w="0" w:type="auto"/>
            <w:noWrap/>
            <w:tcMar>
              <w:top w:w="30" w:type="dxa"/>
              <w:left w:w="45" w:type="dxa"/>
              <w:bottom w:w="30" w:type="dxa"/>
              <w:right w:w="45" w:type="dxa"/>
            </w:tcMar>
            <w:vAlign w:val="center"/>
            <w:hideMark/>
          </w:tcPr>
          <w:p w14:paraId="22BDE48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8.59</w:t>
            </w:r>
          </w:p>
        </w:tc>
        <w:tc>
          <w:tcPr>
            <w:tcW w:w="0" w:type="auto"/>
            <w:noWrap/>
            <w:tcMar>
              <w:top w:w="30" w:type="dxa"/>
              <w:left w:w="45" w:type="dxa"/>
              <w:bottom w:w="30" w:type="dxa"/>
              <w:right w:w="45" w:type="dxa"/>
            </w:tcMar>
            <w:vAlign w:val="center"/>
            <w:hideMark/>
          </w:tcPr>
          <w:p w14:paraId="69F50DB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5.53</w:t>
            </w:r>
          </w:p>
        </w:tc>
        <w:tc>
          <w:tcPr>
            <w:tcW w:w="671" w:type="dxa"/>
            <w:noWrap/>
            <w:tcMar>
              <w:top w:w="30" w:type="dxa"/>
              <w:left w:w="45" w:type="dxa"/>
              <w:bottom w:w="30" w:type="dxa"/>
              <w:right w:w="45" w:type="dxa"/>
            </w:tcMar>
            <w:vAlign w:val="center"/>
            <w:hideMark/>
          </w:tcPr>
          <w:p w14:paraId="791D3824"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13.81</w:t>
            </w:r>
          </w:p>
        </w:tc>
      </w:tr>
      <w:tr w:rsidR="002C1A1A" w:rsidRPr="006704E2" w14:paraId="7E946E14" w14:textId="77777777" w:rsidTr="001726FB">
        <w:trPr>
          <w:trHeight w:val="315"/>
          <w:jc w:val="center"/>
        </w:trPr>
        <w:tc>
          <w:tcPr>
            <w:tcW w:w="622" w:type="dxa"/>
            <w:tcBorders>
              <w:right w:val="single" w:sz="4" w:space="0" w:color="auto"/>
            </w:tcBorders>
            <w:noWrap/>
            <w:tcMar>
              <w:top w:w="30" w:type="dxa"/>
              <w:left w:w="45" w:type="dxa"/>
              <w:bottom w:w="30" w:type="dxa"/>
              <w:right w:w="45" w:type="dxa"/>
            </w:tcMar>
            <w:vAlign w:val="center"/>
            <w:hideMark/>
          </w:tcPr>
          <w:p w14:paraId="1ED67BDA"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2014</w:t>
            </w:r>
          </w:p>
        </w:tc>
        <w:tc>
          <w:tcPr>
            <w:tcW w:w="671" w:type="dxa"/>
            <w:tcBorders>
              <w:left w:val="single" w:sz="4" w:space="0" w:color="auto"/>
            </w:tcBorders>
            <w:noWrap/>
            <w:tcMar>
              <w:top w:w="30" w:type="dxa"/>
              <w:left w:w="45" w:type="dxa"/>
              <w:bottom w:w="30" w:type="dxa"/>
              <w:right w:w="45" w:type="dxa"/>
            </w:tcMar>
            <w:vAlign w:val="center"/>
            <w:hideMark/>
          </w:tcPr>
          <w:p w14:paraId="255A26B3"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10.11</w:t>
            </w:r>
          </w:p>
        </w:tc>
        <w:tc>
          <w:tcPr>
            <w:tcW w:w="0" w:type="auto"/>
            <w:noWrap/>
            <w:tcMar>
              <w:top w:w="30" w:type="dxa"/>
              <w:left w:w="45" w:type="dxa"/>
              <w:bottom w:w="30" w:type="dxa"/>
              <w:right w:w="45" w:type="dxa"/>
            </w:tcMar>
            <w:vAlign w:val="center"/>
            <w:hideMark/>
          </w:tcPr>
          <w:p w14:paraId="0E8B65F7"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7.71</w:t>
            </w:r>
          </w:p>
        </w:tc>
        <w:tc>
          <w:tcPr>
            <w:tcW w:w="0" w:type="auto"/>
            <w:noWrap/>
            <w:tcMar>
              <w:top w:w="30" w:type="dxa"/>
              <w:left w:w="45" w:type="dxa"/>
              <w:bottom w:w="30" w:type="dxa"/>
              <w:right w:w="45" w:type="dxa"/>
            </w:tcMar>
            <w:vAlign w:val="center"/>
            <w:hideMark/>
          </w:tcPr>
          <w:p w14:paraId="14D36C68"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7.77</w:t>
            </w:r>
          </w:p>
        </w:tc>
        <w:tc>
          <w:tcPr>
            <w:tcW w:w="0" w:type="auto"/>
            <w:noWrap/>
            <w:tcMar>
              <w:top w:w="30" w:type="dxa"/>
              <w:left w:w="45" w:type="dxa"/>
              <w:bottom w:w="30" w:type="dxa"/>
              <w:right w:w="45" w:type="dxa"/>
            </w:tcMar>
            <w:vAlign w:val="center"/>
            <w:hideMark/>
          </w:tcPr>
          <w:p w14:paraId="0DF283B0"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13.85</w:t>
            </w:r>
          </w:p>
        </w:tc>
        <w:tc>
          <w:tcPr>
            <w:tcW w:w="0" w:type="auto"/>
            <w:noWrap/>
            <w:tcMar>
              <w:top w:w="30" w:type="dxa"/>
              <w:left w:w="45" w:type="dxa"/>
              <w:bottom w:w="30" w:type="dxa"/>
              <w:right w:w="45" w:type="dxa"/>
            </w:tcMar>
            <w:vAlign w:val="center"/>
            <w:hideMark/>
          </w:tcPr>
          <w:p w14:paraId="2BB2A95E"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10.63</w:t>
            </w:r>
          </w:p>
        </w:tc>
        <w:tc>
          <w:tcPr>
            <w:tcW w:w="0" w:type="auto"/>
            <w:noWrap/>
            <w:tcMar>
              <w:top w:w="30" w:type="dxa"/>
              <w:left w:w="45" w:type="dxa"/>
              <w:bottom w:w="30" w:type="dxa"/>
              <w:right w:w="45" w:type="dxa"/>
            </w:tcMar>
            <w:vAlign w:val="center"/>
            <w:hideMark/>
          </w:tcPr>
          <w:p w14:paraId="001837FF"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10.65</w:t>
            </w:r>
          </w:p>
        </w:tc>
        <w:tc>
          <w:tcPr>
            <w:tcW w:w="0" w:type="auto"/>
            <w:noWrap/>
            <w:tcMar>
              <w:top w:w="30" w:type="dxa"/>
              <w:left w:w="45" w:type="dxa"/>
              <w:bottom w:w="30" w:type="dxa"/>
              <w:right w:w="45" w:type="dxa"/>
            </w:tcMar>
            <w:vAlign w:val="center"/>
            <w:hideMark/>
          </w:tcPr>
          <w:p w14:paraId="3C28D1A2"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9.03</w:t>
            </w:r>
          </w:p>
        </w:tc>
        <w:tc>
          <w:tcPr>
            <w:tcW w:w="0" w:type="auto"/>
            <w:noWrap/>
            <w:tcMar>
              <w:top w:w="30" w:type="dxa"/>
              <w:left w:w="45" w:type="dxa"/>
              <w:bottom w:w="30" w:type="dxa"/>
              <w:right w:w="45" w:type="dxa"/>
            </w:tcMar>
            <w:vAlign w:val="center"/>
            <w:hideMark/>
          </w:tcPr>
          <w:p w14:paraId="04FEFCD6"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10.50</w:t>
            </w:r>
          </w:p>
        </w:tc>
        <w:tc>
          <w:tcPr>
            <w:tcW w:w="0" w:type="auto"/>
            <w:noWrap/>
            <w:tcMar>
              <w:top w:w="30" w:type="dxa"/>
              <w:left w:w="45" w:type="dxa"/>
              <w:bottom w:w="30" w:type="dxa"/>
              <w:right w:w="45" w:type="dxa"/>
            </w:tcMar>
            <w:vAlign w:val="center"/>
            <w:hideMark/>
          </w:tcPr>
          <w:p w14:paraId="45365BB5"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8.64</w:t>
            </w:r>
          </w:p>
        </w:tc>
        <w:tc>
          <w:tcPr>
            <w:tcW w:w="0" w:type="auto"/>
            <w:noWrap/>
            <w:tcMar>
              <w:top w:w="30" w:type="dxa"/>
              <w:left w:w="45" w:type="dxa"/>
              <w:bottom w:w="30" w:type="dxa"/>
              <w:right w:w="45" w:type="dxa"/>
            </w:tcMar>
            <w:vAlign w:val="center"/>
            <w:hideMark/>
          </w:tcPr>
          <w:p w14:paraId="516910E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5.56</w:t>
            </w:r>
          </w:p>
        </w:tc>
        <w:tc>
          <w:tcPr>
            <w:tcW w:w="671" w:type="dxa"/>
            <w:noWrap/>
            <w:tcMar>
              <w:top w:w="30" w:type="dxa"/>
              <w:left w:w="45" w:type="dxa"/>
              <w:bottom w:w="30" w:type="dxa"/>
              <w:right w:w="45" w:type="dxa"/>
            </w:tcMar>
            <w:vAlign w:val="center"/>
            <w:hideMark/>
          </w:tcPr>
          <w:p w14:paraId="46BA9289" w14:textId="77777777" w:rsidR="002C1A1A" w:rsidRPr="006704E2" w:rsidRDefault="002C1A1A" w:rsidP="002C1A1A">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13.90</w:t>
            </w:r>
          </w:p>
        </w:tc>
      </w:tr>
    </w:tbl>
    <w:p w14:paraId="2D2E06B5" w14:textId="77777777" w:rsidR="0005337B" w:rsidRPr="006704E2" w:rsidRDefault="0005337B" w:rsidP="00845209">
      <w:pPr>
        <w:pStyle w:val="ListParagraph"/>
        <w:spacing w:line="480" w:lineRule="auto"/>
        <w:rPr>
          <w:rFonts w:ascii="Garamond" w:hAnsi="Garamond"/>
          <w:sz w:val="24"/>
          <w:szCs w:val="24"/>
        </w:rPr>
      </w:pPr>
    </w:p>
    <w:p w14:paraId="7DE92B44" w14:textId="0A36A194" w:rsidR="00353A1B" w:rsidRPr="006704E2" w:rsidRDefault="00353A1B" w:rsidP="00C016FA">
      <w:pPr>
        <w:spacing w:line="480" w:lineRule="auto"/>
        <w:ind w:left="360"/>
        <w:rPr>
          <w:rFonts w:ascii="Garamond" w:hAnsi="Garamond"/>
          <w:sz w:val="24"/>
          <w:szCs w:val="24"/>
        </w:rPr>
      </w:pPr>
      <w:r w:rsidRPr="006704E2">
        <w:rPr>
          <w:rFonts w:ascii="Garamond" w:hAnsi="Garamond"/>
          <w:sz w:val="24"/>
          <w:szCs w:val="24"/>
        </w:rPr>
        <w:t>Literature included: A-</w:t>
      </w:r>
      <w:r w:rsidR="005B1CCC" w:rsidRPr="006704E2">
        <w:rPr>
          <w:rFonts w:ascii="Garamond" w:hAnsi="Garamond"/>
          <w:sz w:val="24"/>
          <w:szCs w:val="24"/>
        </w:rPr>
        <w:fldChar w:fldCharType="begin" w:fldLock="1"/>
      </w:r>
      <w:r w:rsidR="00EE05A6" w:rsidRPr="006704E2">
        <w:rPr>
          <w:rFonts w:ascii="Garamond" w:hAnsi="Garamond"/>
          <w:sz w:val="24"/>
          <w:szCs w:val="24"/>
        </w:rPr>
        <w:instrText>ADDIN CSL_CITATION { "citationItems" : [ { "id" : "ITEM-1", "itemData" : { "abstract" : "Section 812 of the Clean Air Act Amendments of 1990 requires the Environmental Protection Agency (EPA) to periodically assess the effect of the Clean Air Act on the \" public health, economy, and environment of the United States, \" and to report the findings and results of its assessments to the Congress. Section 812 further directs EPA to evaluate the benefits and costs of the Clean Air Act's implementation, taking into consideration the Act's effects on public health, economic growth, the environment, employment, productivity, and the economy as a whole. This EPA Report to Congress presents the results and conclusions of the first section 812 assess\u00ad ment, a retrospective analysis of the benefits and costs of the Clean Air Act from 1970 to 1990. Future reports will detail the findings of prospective analyses of the benefits and costs of the Clean Air Act Amendments of 1990, as required by section 812. This retrospective analysis evaluates the benefits and costs of emissions controls imposed by the Clean Air Act and associated regulations. The focus is primarily on the criteria pollutants sulfur dioxide, nitrogen oxides, carbon monoxide, particulate matter, ozone, and lead since essential data were lacking for air toxics. To deter-mine the range and magnitude of effects of these pollutant emission reductions, EPA compared and contrasted two regulatory scenarios. The \" control scenario \" reflects the actual conditions resulting from the historical implementation of the 1970 and 1977 Clean Air Acts. In contrast, the \" no-control \" scenario reflects expected conditions under the assumption that, absent the passage of the 1970 Clean Air Act, the scope, form, and stringency of air pollution control programs would have remained as they were in 1970. The no-control scenario represents a hypothesized \" baseline \" against which to measure the effects of the Clean Air Act. The differences between the public health, air quality, and economic and environmental conditions resulting from these two scenarios represent the benefits and costs of the Act's implementation from 1970 to 1990.", "author" : [ { "dropping-particle" : "", "family" : "U.S. EPA", "given" : "", "non-dropping-particle" : "", "parse-names" : false, "suffix" : "" } ], "id" : "ITEM-1", "issued" : { "date-parts" : [ [ "1997" ] ] }, "title" : "The Benefits and Costs of the Clean Air Act, 1970 to 1990", "type" : "report" }, "uris" : [ "http://www.mendeley.com/documents/?uuid=e1584cd0-f46f-394e-a8d6-ba36a42f46c6" ] } ], "mendeley" : { "formattedCitation" : "(U.S. EPA 1997)", "manualFormatting" : "U.S. EPA (1997)", "plainTextFormattedCitation" : "(U.S. EPA 1997)", "previouslyFormattedCitation" : "(U.S. EPA 1997)" }, "properties" : { "noteIndex" : 15 }, "schema" : "https://github.com/citation-style-language/schema/raw/master/csl-citation.json" }</w:instrText>
      </w:r>
      <w:r w:rsidR="005B1CCC" w:rsidRPr="006704E2">
        <w:rPr>
          <w:rFonts w:ascii="Garamond" w:hAnsi="Garamond"/>
          <w:sz w:val="24"/>
          <w:szCs w:val="24"/>
        </w:rPr>
        <w:fldChar w:fldCharType="separate"/>
      </w:r>
      <w:r w:rsidR="005B1CCC" w:rsidRPr="006704E2">
        <w:rPr>
          <w:rFonts w:ascii="Garamond" w:hAnsi="Garamond"/>
          <w:noProof/>
          <w:sz w:val="24"/>
          <w:szCs w:val="24"/>
        </w:rPr>
        <w:t>U.S. EPA (1997)</w:t>
      </w:r>
      <w:r w:rsidR="005B1CCC" w:rsidRPr="006704E2">
        <w:rPr>
          <w:rFonts w:ascii="Garamond" w:hAnsi="Garamond"/>
          <w:sz w:val="24"/>
          <w:szCs w:val="24"/>
        </w:rPr>
        <w:fldChar w:fldCharType="end"/>
      </w:r>
      <w:r w:rsidRPr="006704E2">
        <w:rPr>
          <w:rFonts w:ascii="Garamond" w:hAnsi="Garamond"/>
          <w:sz w:val="24"/>
          <w:szCs w:val="24"/>
        </w:rPr>
        <w:t>; B-</w:t>
      </w:r>
      <w:proofErr w:type="spellStart"/>
      <w:r w:rsidR="00C10993" w:rsidRPr="006704E2">
        <w:rPr>
          <w:rFonts w:ascii="Garamond" w:hAnsi="Garamond"/>
          <w:sz w:val="24"/>
          <w:szCs w:val="24"/>
        </w:rPr>
        <w:fldChar w:fldCharType="begin" w:fldLock="1"/>
      </w:r>
      <w:r w:rsidR="0049195D" w:rsidRPr="006704E2">
        <w:rPr>
          <w:rFonts w:ascii="Garamond" w:hAnsi="Garamond"/>
          <w:sz w:val="24"/>
          <w:szCs w:val="24"/>
        </w:rPr>
        <w:instrText>ADDIN CSL_CITATION { "citationItems" : [ { "id" : "ITEM-1", "itemData" : { "DOI" : "10.1093/ei/cbh042", "ISBN" : "6174963586", "ISSN" : "00952583", "abstract" : "The worker fatality risk variable constructed for this article uses BLS data on total worker deaths by both occupation and industry over the 1992-97 period rather than death risks by occupation or industry alone, as in past studies. The subsequent estimates using 1997 CPS data indicate a value of life of $4.7 million for the full sample, $7.0 million for blue-collar males, and $8.5 million for blue-collar females. Unlike previous estimates, these values account for the influence of clustering of the job risk variable and compensating differentials for both workers' compensation and nonfatal job risks. [ABSTRACT FROM AUTHOR]", "author" : [ { "dropping-particle" : "", "family" : "Viscusi", "given" : "Kip W", "non-dropping-particle" : "", "parse-names" : false, "suffix" : "" } ], "container-title" : "Economic Inquiry", "id" : "ITEM-1", "issue" : "1", "issued" : { "date-parts" : [ [ "2004" ] ] }, "page" : "29-48", "title" : "The value of life: Estimates with risks by occupation and industry", "type" : "article-journal", "volume" : "42" }, "uris" : [ "http://www.mendeley.com/documents/?uuid=286c1e0d-746c-43c2-9d6c-64c4245d5656" ] } ], "mendeley" : { "formattedCitation" : "(Viscusi 2004)", "manualFormatting" : "Viscusi (2004)", "plainTextFormattedCitation" : "(Viscusi 2004)", "previouslyFormattedCitation" : "(Viscusi 2004)" }, "properties" : { "noteIndex" : 14 }, "schema" : "https://github.com/citation-style-language/schema/raw/master/csl-citation.json" }</w:instrText>
      </w:r>
      <w:r w:rsidR="00C10993" w:rsidRPr="006704E2">
        <w:rPr>
          <w:rFonts w:ascii="Garamond" w:hAnsi="Garamond"/>
          <w:sz w:val="24"/>
          <w:szCs w:val="24"/>
        </w:rPr>
        <w:fldChar w:fldCharType="separate"/>
      </w:r>
      <w:r w:rsidR="00C10993" w:rsidRPr="006704E2">
        <w:rPr>
          <w:rFonts w:ascii="Garamond" w:hAnsi="Garamond"/>
          <w:noProof/>
          <w:sz w:val="24"/>
          <w:szCs w:val="24"/>
        </w:rPr>
        <w:t>Viscusi</w:t>
      </w:r>
      <w:proofErr w:type="spellEnd"/>
      <w:r w:rsidR="00C10993" w:rsidRPr="006704E2">
        <w:rPr>
          <w:rFonts w:ascii="Garamond" w:hAnsi="Garamond"/>
          <w:noProof/>
          <w:sz w:val="24"/>
          <w:szCs w:val="24"/>
        </w:rPr>
        <w:t xml:space="preserve"> </w:t>
      </w:r>
      <w:r w:rsidR="0049195D" w:rsidRPr="006704E2">
        <w:rPr>
          <w:rFonts w:ascii="Garamond" w:hAnsi="Garamond"/>
          <w:noProof/>
          <w:sz w:val="24"/>
          <w:szCs w:val="24"/>
        </w:rPr>
        <w:t>(</w:t>
      </w:r>
      <w:r w:rsidR="00C10993" w:rsidRPr="006704E2">
        <w:rPr>
          <w:rFonts w:ascii="Garamond" w:hAnsi="Garamond"/>
          <w:noProof/>
          <w:sz w:val="24"/>
          <w:szCs w:val="24"/>
        </w:rPr>
        <w:t>2004)</w:t>
      </w:r>
      <w:r w:rsidR="00C10993" w:rsidRPr="006704E2">
        <w:rPr>
          <w:rFonts w:ascii="Garamond" w:hAnsi="Garamond"/>
          <w:sz w:val="24"/>
          <w:szCs w:val="24"/>
        </w:rPr>
        <w:fldChar w:fldCharType="end"/>
      </w:r>
      <w:r w:rsidR="00C10993" w:rsidRPr="006704E2">
        <w:rPr>
          <w:rFonts w:ascii="Garamond" w:hAnsi="Garamond"/>
          <w:sz w:val="24"/>
          <w:szCs w:val="24"/>
        </w:rPr>
        <w:t xml:space="preserve">; </w:t>
      </w:r>
      <w:r w:rsidRPr="006704E2">
        <w:rPr>
          <w:rFonts w:ascii="Garamond" w:hAnsi="Garamond"/>
          <w:sz w:val="24"/>
          <w:szCs w:val="24"/>
        </w:rPr>
        <w:t>C-</w:t>
      </w:r>
      <w:proofErr w:type="spellStart"/>
      <w:r w:rsidR="0049195D" w:rsidRPr="006704E2">
        <w:rPr>
          <w:rFonts w:ascii="Garamond" w:hAnsi="Garamond"/>
          <w:sz w:val="24"/>
          <w:szCs w:val="24"/>
        </w:rPr>
        <w:fldChar w:fldCharType="begin" w:fldLock="1"/>
      </w:r>
      <w:r w:rsidR="00982E16" w:rsidRPr="006704E2">
        <w:rPr>
          <w:rFonts w:ascii="Garamond" w:hAnsi="Garamond"/>
          <w:sz w:val="24"/>
          <w:szCs w:val="24"/>
        </w:rPr>
        <w:instrText>ADDIN CSL_CITATION { "citationItems" : [ { "id" : "ITEM-1", "itemData" : { "author" : [ { "dropping-particle" : "", "family" : "Kniesner", "given" : "Thomas J", "non-dropping-particle" : "", "parse-names" : false, "suffix" : "" }, { "dropping-particle" : "", "family" : "Viscusi", "given" : "W Kip", "non-dropping-particle" : "", "parse-names" : false, "suffix" : "" } ], "container-title" : "The American Economic Review: Papers and Proceedings of the One Hundred Seventeenth Annual Meeting of the American Economic Association", "id" : "ITEM-1", "issue" : "2", "issued" : { "date-parts" : [ [ "2005" ] ] }, "page" : "142-146", "publisher" : "American Economic Association", "publisher-place" : "Philadelphia, PA", "title" : "Value of a Statistical Life : Relative Position vs . Relative Age", "type" : "paper-conference", "volume" : "95" }, "uris" : [ "http://www.mendeley.com/documents/?uuid=12c05565-13ee-3b14-9b52-1f73cdc630af" ] } ], "mendeley" : { "formattedCitation" : "(Kniesner and Viscusi 2005)", "manualFormatting" : "Kniesner and Viscusi (2005)", "plainTextFormattedCitation" : "(Kniesner and Viscusi 2005)", "previouslyFormattedCitation" : "(Kniesner and Viscusi 2005)" }, "properties" : { "noteIndex" : 14 }, "schema" : "https://github.com/citation-style-language/schema/raw/master/csl-citation.json" }</w:instrText>
      </w:r>
      <w:r w:rsidR="0049195D" w:rsidRPr="006704E2">
        <w:rPr>
          <w:rFonts w:ascii="Garamond" w:hAnsi="Garamond"/>
          <w:sz w:val="24"/>
          <w:szCs w:val="24"/>
        </w:rPr>
        <w:fldChar w:fldCharType="separate"/>
      </w:r>
      <w:r w:rsidR="0049195D" w:rsidRPr="006704E2">
        <w:rPr>
          <w:rFonts w:ascii="Garamond" w:hAnsi="Garamond"/>
          <w:noProof/>
          <w:sz w:val="24"/>
          <w:szCs w:val="24"/>
        </w:rPr>
        <w:t>Kniesner</w:t>
      </w:r>
      <w:proofErr w:type="spellEnd"/>
      <w:r w:rsidR="0049195D" w:rsidRPr="006704E2">
        <w:rPr>
          <w:rFonts w:ascii="Garamond" w:hAnsi="Garamond"/>
          <w:noProof/>
          <w:sz w:val="24"/>
          <w:szCs w:val="24"/>
        </w:rPr>
        <w:t xml:space="preserve"> and Viscusi (2005)</w:t>
      </w:r>
      <w:r w:rsidR="0049195D" w:rsidRPr="006704E2">
        <w:rPr>
          <w:rFonts w:ascii="Garamond" w:hAnsi="Garamond"/>
          <w:sz w:val="24"/>
          <w:szCs w:val="24"/>
        </w:rPr>
        <w:fldChar w:fldCharType="end"/>
      </w:r>
      <w:r w:rsidR="00982E16" w:rsidRPr="006704E2">
        <w:rPr>
          <w:rFonts w:ascii="Garamond" w:hAnsi="Garamond"/>
          <w:sz w:val="24"/>
          <w:szCs w:val="24"/>
        </w:rPr>
        <w:t>;</w:t>
      </w:r>
      <w:r w:rsidR="00265AC0" w:rsidRPr="006704E2">
        <w:rPr>
          <w:rFonts w:ascii="Garamond" w:hAnsi="Garamond"/>
          <w:sz w:val="24"/>
          <w:szCs w:val="24"/>
        </w:rPr>
        <w:t xml:space="preserve"> </w:t>
      </w:r>
      <w:r w:rsidRPr="006704E2">
        <w:rPr>
          <w:rFonts w:ascii="Garamond" w:hAnsi="Garamond"/>
          <w:sz w:val="24"/>
          <w:szCs w:val="24"/>
        </w:rPr>
        <w:t>D-</w:t>
      </w:r>
      <w:r w:rsidR="00982E16" w:rsidRPr="006704E2">
        <w:rPr>
          <w:rFonts w:ascii="Garamond" w:hAnsi="Garamond"/>
          <w:sz w:val="24"/>
          <w:szCs w:val="24"/>
        </w:rPr>
        <w:fldChar w:fldCharType="begin" w:fldLock="1"/>
      </w:r>
      <w:r w:rsidR="00E73B60" w:rsidRPr="006704E2">
        <w:rPr>
          <w:rFonts w:ascii="Garamond" w:hAnsi="Garamond"/>
          <w:sz w:val="24"/>
          <w:szCs w:val="24"/>
        </w:rPr>
        <w:instrText>ADDIN CSL_CITATION { "citationItems" : [ { "id" : "ITEM-1", "itemData" : { "DOI" : "10.1007/s10640-008-9197-9", "ISBN" : "0924-6460", "ISSN" : "09246460", "abstract" : "This paper considers the factors responsible for differences with age in estimates of the wage compensation an individual requires to accept increased occupational fatality risk. We derive a relationship between the value of a statistical life (VSL) and the degree of complementarity between consumption and labor supplied when health status serves as a potential source of variation in this relationship. Our empirical analysis finds that variations in an individual\u2019s health status or quality of life and anticipated longevity threats lead to significant differences in the estimated wage/risk tradeoffs. We describe how extensions to the specification of hedonic wage models, including measures for quality of life and anticipated longevity threats, help to explain the diversity in past studies examining how the estimated wage\u2013risk tradeoff changes with age.", "author" : [ { "dropping-particle" : "", "family" : "Evans", "given" : "Mary F", "non-dropping-particle" : "", "parse-names" : false, "suffix" : "" }, { "dropping-particle" : "V", "family" : "Smith", "given" : "Kerry", "non-dropping-particle" : "", "parse-names" : false, "suffix" : "" } ], "container-title" : "Environmental and Resource Economics", "id" : "ITEM-1", "issue" : "3", "issued" : { "date-parts" : [ [ "2008" ] ] }, "page" : "381-400", "title" : "Complementarity and the measurement of individual risk tradeoffs: Accounting for quantity and quality of life effects", "type" : "article-journal", "volume" : "41" }, "uris" : [ "http://www.mendeley.com/documents/?uuid=55e4ca12-6563-3df1-aeff-fee4b0bd5bc5" ] } ], "mendeley" : { "formattedCitation" : "(Evans and Smith 2008)", "plainTextFormattedCitation" : "(Evans and Smith 2008)", "previouslyFormattedCitation" : "(Evans and Smith 2008)" }, "properties" : { "noteIndex" : 14 }, "schema" : "https://github.com/citation-style-language/schema/raw/master/csl-citation.json" }</w:instrText>
      </w:r>
      <w:r w:rsidR="00982E16" w:rsidRPr="006704E2">
        <w:rPr>
          <w:rFonts w:ascii="Garamond" w:hAnsi="Garamond"/>
          <w:sz w:val="24"/>
          <w:szCs w:val="24"/>
        </w:rPr>
        <w:fldChar w:fldCharType="separate"/>
      </w:r>
      <w:r w:rsidR="00E73B60" w:rsidRPr="006704E2">
        <w:rPr>
          <w:rFonts w:ascii="Garamond" w:hAnsi="Garamond"/>
          <w:noProof/>
          <w:sz w:val="24"/>
          <w:szCs w:val="24"/>
        </w:rPr>
        <w:t>(</w:t>
      </w:r>
      <w:r w:rsidR="00982E16" w:rsidRPr="006704E2">
        <w:rPr>
          <w:rFonts w:ascii="Garamond" w:hAnsi="Garamond"/>
          <w:noProof/>
          <w:sz w:val="24"/>
          <w:szCs w:val="24"/>
        </w:rPr>
        <w:t>Evans and Smith 2008)</w:t>
      </w:r>
      <w:r w:rsidR="00982E16" w:rsidRPr="006704E2">
        <w:rPr>
          <w:rFonts w:ascii="Garamond" w:hAnsi="Garamond"/>
          <w:sz w:val="24"/>
          <w:szCs w:val="24"/>
        </w:rPr>
        <w:fldChar w:fldCharType="end"/>
      </w:r>
      <w:r w:rsidRPr="006704E2">
        <w:rPr>
          <w:rFonts w:ascii="Garamond" w:hAnsi="Garamond"/>
          <w:sz w:val="24"/>
          <w:szCs w:val="24"/>
        </w:rPr>
        <w:t xml:space="preserve">; </w:t>
      </w:r>
      <w:r w:rsidR="00E73B60" w:rsidRPr="006704E2">
        <w:rPr>
          <w:rFonts w:ascii="Garamond" w:hAnsi="Garamond"/>
          <w:sz w:val="24"/>
          <w:szCs w:val="24"/>
        </w:rPr>
        <w:t>E-</w:t>
      </w:r>
      <w:proofErr w:type="spellStart"/>
      <w:r w:rsidR="00E73B60" w:rsidRPr="006704E2">
        <w:rPr>
          <w:rFonts w:ascii="Garamond" w:hAnsi="Garamond"/>
          <w:sz w:val="24"/>
          <w:szCs w:val="24"/>
        </w:rPr>
        <w:fldChar w:fldCharType="begin" w:fldLock="1"/>
      </w:r>
      <w:r w:rsidR="00E73B60" w:rsidRPr="006704E2">
        <w:rPr>
          <w:rFonts w:ascii="Garamond" w:hAnsi="Garamond"/>
          <w:sz w:val="24"/>
          <w:szCs w:val="24"/>
        </w:rPr>
        <w:instrText>ADDIN CSL_CITATION { "citationItems" : [ { "id" : "ITEM-1", "itemData" : { "DOI" : "10.1016/j.jhealeco.2008.01.001", "ISBN" : "0167-6296 (Print)", "ISSN" : "01676296", "PMID" : "18342962", "abstract" : "This article estimates the mortality cost of smoking using the first labor market estimates of the value of statistical life by smoking status. The value of statistical life is $7 million for both smokers and nonsmokers. Using this value in conjunction with the increase in the mortality risk over the life cycle due to smoking, the value of statistical life by age and gender, and information on the number of packs smoked over the life cycle, the private mortality cost of smoking is $222 per pack for men and $94 per pack for women in $2006, based on a 3% discount rate. At discount rates of 15% or more, the cost decreases to under $25 per pack. \u00a9 2008 Elsevier B.V. All rights reserved.", "author" : [ { "dropping-particle" : "", "family" : "Viscusi", "given" : "W. Kip", "non-dropping-particle" : "", "parse-names" : false, "suffix" : "" }, { "dropping-particle" : "", "family" : "Hersch", "given" : "Joni", "non-dropping-particle" : "", "parse-names" : false, "suffix" : "" } ], "container-title" : "Journal of Health Economics", "id" : "ITEM-1", "issue" : "4", "issued" : { "date-parts" : [ [ "2008" ] ] }, "page" : "943-958", "title" : "The mortality cost to smokers", "type" : "article-journal", "volume" : "27" }, "uris" : [ "http://www.mendeley.com/documents/?uuid=9fb0f839-e99d-3bf3-accc-ef83cb85bc2c" ] } ], "mendeley" : { "formattedCitation" : "(Viscusi and Hersch 2008)", "manualFormatting" : "Viscusi and Hersch (2008)", "plainTextFormattedCitation" : "(Viscusi and Hersch 2008)", "previouslyFormattedCitation" : "(Viscusi and Hersch 2008)" }, "properties" : { "noteIndex" : 14 }, "schema" : "https://github.com/citation-style-language/schema/raw/master/csl-citation.json" }</w:instrText>
      </w:r>
      <w:r w:rsidR="00E73B60" w:rsidRPr="006704E2">
        <w:rPr>
          <w:rFonts w:ascii="Garamond" w:hAnsi="Garamond"/>
          <w:sz w:val="24"/>
          <w:szCs w:val="24"/>
        </w:rPr>
        <w:fldChar w:fldCharType="separate"/>
      </w:r>
      <w:r w:rsidR="00E73B60" w:rsidRPr="006704E2">
        <w:rPr>
          <w:rFonts w:ascii="Garamond" w:hAnsi="Garamond"/>
          <w:noProof/>
          <w:sz w:val="24"/>
          <w:szCs w:val="24"/>
        </w:rPr>
        <w:t>Viscusi</w:t>
      </w:r>
      <w:proofErr w:type="spellEnd"/>
      <w:r w:rsidR="00E73B60" w:rsidRPr="006704E2">
        <w:rPr>
          <w:rFonts w:ascii="Garamond" w:hAnsi="Garamond"/>
          <w:noProof/>
          <w:sz w:val="24"/>
          <w:szCs w:val="24"/>
        </w:rPr>
        <w:t xml:space="preserve"> and Hersch (2008)</w:t>
      </w:r>
      <w:r w:rsidR="00E73B60" w:rsidRPr="006704E2">
        <w:rPr>
          <w:rFonts w:ascii="Garamond" w:hAnsi="Garamond"/>
          <w:sz w:val="24"/>
          <w:szCs w:val="24"/>
        </w:rPr>
        <w:fldChar w:fldCharType="end"/>
      </w:r>
      <w:r w:rsidR="00E73B60" w:rsidRPr="006704E2">
        <w:rPr>
          <w:rFonts w:ascii="Garamond" w:hAnsi="Garamond"/>
          <w:sz w:val="24"/>
          <w:szCs w:val="24"/>
        </w:rPr>
        <w:t>; F-</w:t>
      </w:r>
      <w:r w:rsidR="00E73B60" w:rsidRPr="006704E2">
        <w:rPr>
          <w:rFonts w:ascii="Garamond" w:hAnsi="Garamond"/>
          <w:sz w:val="24"/>
          <w:szCs w:val="24"/>
        </w:rPr>
        <w:fldChar w:fldCharType="begin" w:fldLock="1"/>
      </w:r>
      <w:r w:rsidR="00237149" w:rsidRPr="006704E2">
        <w:rPr>
          <w:rFonts w:ascii="Garamond" w:hAnsi="Garamond"/>
          <w:sz w:val="24"/>
          <w:szCs w:val="24"/>
        </w:rPr>
        <w:instrText>ADDIN CSL_CITATION { "citationItems" : [ { "id" : "ITEM-1", "itemData" : { "DOI" : "10.1016/j.jeem.2009.11.004", "ISBN" : "0095-0696", "ISSN" : "00950696", "abstract" : "In theory, heterogeneity in individual characteristics translates into variation in the marginal willingness to pay for a mortality risk reduction. Two dimensions of heterogeneity, with respect to income and age, have recently received attention due to their policy relevance. We propose a quantile regression approach to simultaneously explore these two sources of heterogeneity and their interactions within the context of the hedonic wage model, the most common revealed preference approach for obtaining value of statistical life estimates. We illustrate the approach using data from the Health and Retirement Study (HRS). We find that the impact of age on the wage-risk tradeoff varies across the wage distribution. This result indicates important interactions between age and income heterogeneity. Thus, the conventional mean hedonic wage regression, even when the mean effect is allowed to vary with age, masks important heterogeneity. \u00a9 2009 Elsevier Inc. All rights reserved.", "author" : [ { "dropping-particle" : "", "family" : "Evans", "given" : "Mary F.", "non-dropping-particle" : "", "parse-names" : false, "suffix" : "" }, { "dropping-particle" : "", "family" : "Schaur", "given" : "Georg", "non-dropping-particle" : "", "parse-names" : false, "suffix" : "" } ], "container-title" : "Journal of Environmental Economics and Management", "id" : "ITEM-1", "issue" : "3", "issued" : { "date-parts" : [ [ "2010" ] ] }, "page" : "260-270", "title" : "A quantile estimation approach to identify income and age variation in the value of a statistical life", "type" : "article-journal", "volume" : "59" }, "uris" : [ "http://www.mendeley.com/documents/?uuid=10c96d64-b9b9-3a2f-8bb9-b1f20cc279ca" ] } ], "mendeley" : { "formattedCitation" : "(Evans and Schaur 2010)", "manualFormatting" : "Evans and Schaur (2010)", "plainTextFormattedCitation" : "(Evans and Schaur 2010)", "previouslyFormattedCitation" : "(Evans and Schaur 2010)" }, "properties" : { "noteIndex" : 14 }, "schema" : "https://github.com/citation-style-language/schema/raw/master/csl-citation.json" }</w:instrText>
      </w:r>
      <w:r w:rsidR="00E73B60" w:rsidRPr="006704E2">
        <w:rPr>
          <w:rFonts w:ascii="Garamond" w:hAnsi="Garamond"/>
          <w:sz w:val="24"/>
          <w:szCs w:val="24"/>
        </w:rPr>
        <w:fldChar w:fldCharType="separate"/>
      </w:r>
      <w:r w:rsidR="00E73B60" w:rsidRPr="006704E2">
        <w:rPr>
          <w:rFonts w:ascii="Garamond" w:hAnsi="Garamond"/>
          <w:noProof/>
          <w:sz w:val="24"/>
          <w:szCs w:val="24"/>
        </w:rPr>
        <w:t>Evans and Schaur (2010)</w:t>
      </w:r>
      <w:r w:rsidR="00E73B60" w:rsidRPr="006704E2">
        <w:rPr>
          <w:rFonts w:ascii="Garamond" w:hAnsi="Garamond"/>
          <w:sz w:val="24"/>
          <w:szCs w:val="24"/>
        </w:rPr>
        <w:fldChar w:fldCharType="end"/>
      </w:r>
      <w:r w:rsidR="00E73B60" w:rsidRPr="006704E2">
        <w:rPr>
          <w:rFonts w:ascii="Garamond" w:hAnsi="Garamond"/>
          <w:sz w:val="24"/>
          <w:szCs w:val="24"/>
        </w:rPr>
        <w:t>;</w:t>
      </w:r>
      <w:r w:rsidR="004128F1" w:rsidRPr="006704E2">
        <w:rPr>
          <w:rFonts w:ascii="Garamond" w:hAnsi="Garamond"/>
          <w:sz w:val="24"/>
          <w:szCs w:val="24"/>
        </w:rPr>
        <w:t xml:space="preserve"> </w:t>
      </w:r>
      <w:r w:rsidR="00265AC0" w:rsidRPr="006704E2">
        <w:rPr>
          <w:rFonts w:ascii="Garamond" w:hAnsi="Garamond"/>
          <w:sz w:val="24"/>
          <w:szCs w:val="24"/>
        </w:rPr>
        <w:t>G</w:t>
      </w:r>
      <w:r w:rsidRPr="006704E2">
        <w:rPr>
          <w:rFonts w:ascii="Garamond" w:hAnsi="Garamond"/>
          <w:sz w:val="24"/>
          <w:szCs w:val="24"/>
        </w:rPr>
        <w:t>-</w:t>
      </w:r>
      <w:proofErr w:type="spellStart"/>
      <w:r w:rsidR="00237149" w:rsidRPr="006704E2">
        <w:rPr>
          <w:rFonts w:ascii="Garamond" w:hAnsi="Garamond"/>
          <w:sz w:val="24"/>
          <w:szCs w:val="24"/>
        </w:rPr>
        <w:fldChar w:fldCharType="begin" w:fldLock="1"/>
      </w:r>
      <w:r w:rsidR="00237149" w:rsidRPr="006704E2">
        <w:rPr>
          <w:rFonts w:ascii="Garamond" w:hAnsi="Garamond"/>
          <w:sz w:val="24"/>
          <w:szCs w:val="24"/>
        </w:rPr>
        <w:instrText>ADDIN CSL_CITATION { "citationItems" : [ { "id" : "ITEM-1", "itemData" : { "ISBN" : "0022166X", "ISSN" : "0022166X", "abstract" : "Using data from the Current Population Survey and the New Immigrant Survey, this paper examines the common perception that immigrants are concentrated in high-risk jobs for which they receive little wage compensation. Compared to native U.S. workers, non-Mexican immigrants are not at higher risk and have substantial values of statistical life. However, Mexican immigrants incur much higher fatality risks than native U.S. workers and do not receive wage compensation for these risks. Mexican immigrants who do not understand English fare especially poorly. The evidence is consistent with Mexican immigrants facing different wage offer curves.", "author" : [ { "dropping-particle" : "", "family" : "Hersch", "given" : "Joni", "non-dropping-particle" : "", "parse-names" : false, "suffix" : "" }, { "dropping-particle" : "", "family" : "Viscusi", "given" : "W Kip", "non-dropping-particle" : "", "parse-names" : false, "suffix" : "" } ], "container-title" : "Journal of Human Resources", "id" : "ITEM-1", "issue" : "3", "issued" : { "date-parts" : [ [ "2010" ] ] }, "page" : "749-771", "title" : "Immigrant Status and the Value of Statistical Life", "type" : "article-journal", "volume" : "45" }, "uris" : [ "http://www.mendeley.com/documents/?uuid=bd520682-e432-4a9f-8581-4d893777b80a" ] } ], "mendeley" : { "formattedCitation" : "(Hersch and Viscusi 2010)", "manualFormatting" : "Hersch and Viscusi (2010)", "plainTextFormattedCitation" : "(Hersch and Viscusi 2010)", "previouslyFormattedCitation" : "(Hersch and Viscusi 2010)" }, "properties" : { "noteIndex" : 14 }, "schema" : "https://github.com/citation-style-language/schema/raw/master/csl-citation.json" }</w:instrText>
      </w:r>
      <w:r w:rsidR="00237149" w:rsidRPr="006704E2">
        <w:rPr>
          <w:rFonts w:ascii="Garamond" w:hAnsi="Garamond"/>
          <w:sz w:val="24"/>
          <w:szCs w:val="24"/>
        </w:rPr>
        <w:fldChar w:fldCharType="separate"/>
      </w:r>
      <w:r w:rsidR="00237149" w:rsidRPr="006704E2">
        <w:rPr>
          <w:rFonts w:ascii="Garamond" w:hAnsi="Garamond"/>
          <w:noProof/>
          <w:sz w:val="24"/>
          <w:szCs w:val="24"/>
        </w:rPr>
        <w:t>Hersch</w:t>
      </w:r>
      <w:proofErr w:type="spellEnd"/>
      <w:r w:rsidR="00237149" w:rsidRPr="006704E2">
        <w:rPr>
          <w:rFonts w:ascii="Garamond" w:hAnsi="Garamond"/>
          <w:noProof/>
          <w:sz w:val="24"/>
          <w:szCs w:val="24"/>
        </w:rPr>
        <w:t xml:space="preserve"> and Viscusi (2010)</w:t>
      </w:r>
      <w:r w:rsidR="00237149" w:rsidRPr="006704E2">
        <w:rPr>
          <w:rFonts w:ascii="Garamond" w:hAnsi="Garamond"/>
          <w:sz w:val="24"/>
          <w:szCs w:val="24"/>
        </w:rPr>
        <w:fldChar w:fldCharType="end"/>
      </w:r>
      <w:r w:rsidRPr="006704E2">
        <w:rPr>
          <w:rFonts w:ascii="Garamond" w:hAnsi="Garamond"/>
          <w:sz w:val="24"/>
          <w:szCs w:val="24"/>
        </w:rPr>
        <w:t xml:space="preserve">; </w:t>
      </w:r>
      <w:r w:rsidR="00265AC0" w:rsidRPr="006704E2">
        <w:rPr>
          <w:rFonts w:ascii="Garamond" w:hAnsi="Garamond"/>
          <w:sz w:val="24"/>
          <w:szCs w:val="24"/>
        </w:rPr>
        <w:t>H</w:t>
      </w:r>
      <w:r w:rsidRPr="006704E2">
        <w:rPr>
          <w:rFonts w:ascii="Garamond" w:hAnsi="Garamond"/>
          <w:sz w:val="24"/>
          <w:szCs w:val="24"/>
        </w:rPr>
        <w:t>-</w:t>
      </w:r>
      <w:proofErr w:type="spellStart"/>
      <w:r w:rsidR="00237149" w:rsidRPr="006704E2">
        <w:rPr>
          <w:rFonts w:ascii="Garamond" w:hAnsi="Garamond"/>
          <w:sz w:val="24"/>
          <w:szCs w:val="24"/>
        </w:rPr>
        <w:fldChar w:fldCharType="begin" w:fldLock="1"/>
      </w:r>
      <w:r w:rsidR="00481A40" w:rsidRPr="006704E2">
        <w:rPr>
          <w:rFonts w:ascii="Garamond" w:hAnsi="Garamond"/>
          <w:sz w:val="24"/>
          <w:szCs w:val="24"/>
        </w:rPr>
        <w:instrText>ADDIN CSL_CITATION { "citationItems" : [ { "id" : "ITEM-1", "itemData" : { "DOI" : "10.1007/s11166-009-9084-y", "ISSN" : "08955646", "abstract" : "We examine differences in the value of statistical life (VSL) across potential wage levels in panel data using quantile regressions with intercept heterogeneity. Latent heterogeneity is econometrically important and affects the estimated VSL. Our findings indicate that a reasonable average cost per expected life saved cut-off for health and safety regulations is $7 million to $8 million per life saved, but the VSL varies considerably across the labor force. Our results reconcile the previous discrepancies between hedonic VSL estimates and the values implied by theories linked to the coefficient of relative risk aversion. Because the VSL varies elastically with income, regulatory agencies should regularly update the VSL used in benefit assessments, increasing the VSL proportionally with changes in income over time.", "author" : [ { "dropping-particle" : "", "family" : "Kniesner", "given" : "Thomas J", "non-dropping-particle" : "", "parse-names" : false, "suffix" : "" }, { "dropping-particle" : "", "family" : "Viscusi", "given" : "W Kip", "non-dropping-particle" : "", "parse-names" : false, "suffix" : "" }, { "dropping-particle" : "", "family" : "Ziliak", "given" : "James P", "non-dropping-particle" : "", "parse-names" : false, "suffix" : "" } ], "container-title" : "Journal of Risk and Uncertainty", "id" : "ITEM-1", "issue" : "1", "issued" : { "date-parts" : [ [ "2010" ] ] }, "page" : "15-31", "title" : "Policy relevant heterogeneity in the value of statistical life: New evidence from panel data quantile regressions", "type" : "article-journal", "volume" : "40" }, "uris" : [ "http://www.mendeley.com/documents/?uuid=7fccf869-d085-3dbd-a7f2-857ff4485ef3" ] } ], "mendeley" : { "formattedCitation" : "(Kniesner et al. 2010)", "manualFormatting" : "Kniesner et al. (2010)", "plainTextFormattedCitation" : "(Kniesner et al. 2010)", "previouslyFormattedCitation" : "(Kniesner et al. 2010)" }, "properties" : { "noteIndex" : 14 }, "schema" : "https://github.com/citation-style-language/schema/raw/master/csl-citation.json" }</w:instrText>
      </w:r>
      <w:r w:rsidR="00237149" w:rsidRPr="006704E2">
        <w:rPr>
          <w:rFonts w:ascii="Garamond" w:hAnsi="Garamond"/>
          <w:sz w:val="24"/>
          <w:szCs w:val="24"/>
        </w:rPr>
        <w:fldChar w:fldCharType="separate"/>
      </w:r>
      <w:r w:rsidR="00237149" w:rsidRPr="006704E2">
        <w:rPr>
          <w:rFonts w:ascii="Garamond" w:hAnsi="Garamond"/>
          <w:noProof/>
          <w:sz w:val="24"/>
          <w:szCs w:val="24"/>
        </w:rPr>
        <w:t>Kniesner</w:t>
      </w:r>
      <w:proofErr w:type="spellEnd"/>
      <w:r w:rsidR="00237149" w:rsidRPr="006704E2">
        <w:rPr>
          <w:rFonts w:ascii="Garamond" w:hAnsi="Garamond"/>
          <w:noProof/>
          <w:sz w:val="24"/>
          <w:szCs w:val="24"/>
        </w:rPr>
        <w:t xml:space="preserve"> et al. (2010)</w:t>
      </w:r>
      <w:r w:rsidR="00237149" w:rsidRPr="006704E2">
        <w:rPr>
          <w:rFonts w:ascii="Garamond" w:hAnsi="Garamond"/>
          <w:sz w:val="24"/>
          <w:szCs w:val="24"/>
        </w:rPr>
        <w:fldChar w:fldCharType="end"/>
      </w:r>
      <w:r w:rsidRPr="006704E2">
        <w:rPr>
          <w:rFonts w:ascii="Garamond" w:hAnsi="Garamond"/>
          <w:sz w:val="24"/>
          <w:szCs w:val="24"/>
        </w:rPr>
        <w:t xml:space="preserve">; </w:t>
      </w:r>
      <w:r w:rsidR="00265AC0" w:rsidRPr="006704E2">
        <w:rPr>
          <w:rFonts w:ascii="Garamond" w:hAnsi="Garamond"/>
          <w:sz w:val="24"/>
          <w:szCs w:val="24"/>
        </w:rPr>
        <w:t>I</w:t>
      </w:r>
      <w:r w:rsidRPr="006704E2">
        <w:rPr>
          <w:rFonts w:ascii="Garamond" w:hAnsi="Garamond"/>
          <w:sz w:val="24"/>
          <w:szCs w:val="24"/>
        </w:rPr>
        <w:t>-</w:t>
      </w:r>
      <w:proofErr w:type="spellStart"/>
      <w:r w:rsidR="00237149" w:rsidRPr="006704E2">
        <w:rPr>
          <w:rFonts w:ascii="Garamond" w:hAnsi="Garamond"/>
          <w:sz w:val="24"/>
          <w:szCs w:val="24"/>
        </w:rPr>
        <w:fldChar w:fldCharType="begin" w:fldLock="1"/>
      </w:r>
      <w:r w:rsidR="00237149" w:rsidRPr="006704E2">
        <w:rPr>
          <w:rFonts w:ascii="Garamond" w:hAnsi="Garamond"/>
          <w:sz w:val="24"/>
          <w:szCs w:val="24"/>
        </w:rPr>
        <w:instrText>ADDIN CSL_CITATION { "citationItems" : [ { "id" : "ITEM-1", "itemData" : { "DOI" : "10.1016/j.reseneeco.2010.06.001", "ISBN" : "0928-7655", "ISSN" : "09287655", "abstract" : "Our study expands the hedonic wage framework to take advantage of the inherent differences in workplace deaths, both in type and probability of occurrence, and examines revealed preferences over these heterogeneous risks. We use data on all fatal workplace deaths in the US from 1992 to 1997 and develop risk rates that are differentiated by how the fatal injury occurred. Within sample tests of the equality of compensating wage differentials for heterogeneous risks indicate that we can reject aggregation of homicide risks with other sources of workplace fatalities. However, our results are not without qualification and highlight important nuances of the labor market as related to estimating compensating wage differentials for risks that have generally been ignored in the previous literature. ?? 2010 Elsevier B.V.", "author" : [ { "dropping-particle" : "", "family" : "Scotton", "given" : "Carol R", "non-dropping-particle" : "", "parse-names" : false, "suffix" : "" }, { "dropping-particle" : "", "family" : "Taylor", "given" : "Laura O", "non-dropping-particle" : "", "parse-names" : false, "suffix" : "" } ], "container-title" : "Resource and Energy Economics", "id" : "ITEM-1", "issue" : "2", "issued" : { "date-parts" : [ [ "2011" ] ] }, "page" : "381-397", "title" : "Valuing risk reductions: Incorporating risk heterogeneity into a revealed preference framework", "type" : "article-journal", "volume" : "33" }, "uris" : [ "http://www.mendeley.com/documents/?uuid=d967f49e-0364-37bc-bbf3-1d6a2f4e40d6" ] } ], "mendeley" : { "formattedCitation" : "(Scotton and Taylor 2011)", "manualFormatting" : "Scotton and Taylor (2011)", "plainTextFormattedCitation" : "(Scotton and Taylor 2011)", "previouslyFormattedCitation" : "(Scotton and Taylor 2011)" }, "properties" : { "noteIndex" : 14 }, "schema" : "https://github.com/citation-style-language/schema/raw/master/csl-citation.json" }</w:instrText>
      </w:r>
      <w:r w:rsidR="00237149" w:rsidRPr="006704E2">
        <w:rPr>
          <w:rFonts w:ascii="Garamond" w:hAnsi="Garamond"/>
          <w:sz w:val="24"/>
          <w:szCs w:val="24"/>
        </w:rPr>
        <w:fldChar w:fldCharType="separate"/>
      </w:r>
      <w:r w:rsidR="00237149" w:rsidRPr="006704E2">
        <w:rPr>
          <w:rFonts w:ascii="Garamond" w:hAnsi="Garamond"/>
          <w:noProof/>
          <w:sz w:val="24"/>
          <w:szCs w:val="24"/>
        </w:rPr>
        <w:t>Scotton</w:t>
      </w:r>
      <w:proofErr w:type="spellEnd"/>
      <w:r w:rsidR="00237149" w:rsidRPr="006704E2">
        <w:rPr>
          <w:rFonts w:ascii="Garamond" w:hAnsi="Garamond"/>
          <w:noProof/>
          <w:sz w:val="24"/>
          <w:szCs w:val="24"/>
        </w:rPr>
        <w:t xml:space="preserve"> and Taylor (2011)</w:t>
      </w:r>
      <w:r w:rsidR="00237149" w:rsidRPr="006704E2">
        <w:rPr>
          <w:rFonts w:ascii="Garamond" w:hAnsi="Garamond"/>
          <w:sz w:val="24"/>
          <w:szCs w:val="24"/>
        </w:rPr>
        <w:fldChar w:fldCharType="end"/>
      </w:r>
      <w:r w:rsidR="00265AC0" w:rsidRPr="006704E2">
        <w:rPr>
          <w:rFonts w:ascii="Garamond" w:hAnsi="Garamond"/>
          <w:sz w:val="24"/>
          <w:szCs w:val="24"/>
        </w:rPr>
        <w:t>; J</w:t>
      </w:r>
      <w:r w:rsidRPr="006704E2">
        <w:rPr>
          <w:rFonts w:ascii="Garamond" w:hAnsi="Garamond"/>
          <w:sz w:val="24"/>
          <w:szCs w:val="24"/>
        </w:rPr>
        <w:t>-</w:t>
      </w:r>
      <w:proofErr w:type="spellStart"/>
      <w:r w:rsidR="00481A40" w:rsidRPr="006704E2">
        <w:rPr>
          <w:rFonts w:ascii="Garamond" w:hAnsi="Garamond"/>
          <w:sz w:val="24"/>
          <w:szCs w:val="24"/>
        </w:rPr>
        <w:fldChar w:fldCharType="begin" w:fldLock="1"/>
      </w:r>
      <w:r w:rsidR="00481A40" w:rsidRPr="006704E2">
        <w:rPr>
          <w:rFonts w:ascii="Garamond" w:hAnsi="Garamond"/>
          <w:sz w:val="24"/>
          <w:szCs w:val="24"/>
        </w:rPr>
        <w:instrText>ADDIN CSL_CITATION { "citationItems" : [ { "id" : "ITEM-1", "itemData" : { "DOI" : "10.1162/REST_a_00229", "ISSN" : "0034-6535", "abstract" : "\u2014We address long-standing concerns in the literature on com- pensating wage differentials: the econometric properties of the estimated value of statistical life (VSL) and the wide range of such estimates. We confront prominent econometric issues using panel data, a more accurate fatality risk measure, and systematic application of panel data estimators. Controlling for measurement error, endogeneity, latent individual hetero- geneity possibly correlated with regressors, state dependence, and sample composition yields VSL estimates of $4 million to $10 million. The com- paratively narrow range clarifies the cost-effectiveness of regulatory deci- sions. Most important econometrically is controlling for latent heteroge- neity; less important is how one does it.", "author" : [ { "dropping-particle" : "", "family" : "Kniesner", "given" : "Thomas J.", "non-dropping-particle" : "", "parse-names" : false, "suffix" : "" }, { "dropping-particle" : "", "family" : "Viscusi", "given" : "W. Kip", "non-dropping-particle" : "", "parse-names" : false, "suffix" : "" }, { "dropping-particle" : "", "family" : "Woock", "given" : "Christopher", "non-dropping-particle" : "", "parse-names" : false, "suffix" : "" }, { "dropping-particle" : "", "family" : "Ziliak", "given" : "James P.", "non-dropping-particle" : "", "parse-names" : false, "suffix" : "" } ], "container-title" : "Review of Economics and Statistics", "id" : "ITEM-1", "issue" : "1", "issued" : { "date-parts" : [ [ "2012" ] ] }, "page" : "74-87", "title" : "The Value of a Statistical Life: Evidence from Panel Data", "type" : "article-journal", "volume" : "94" }, "uris" : [ "http://www.mendeley.com/documents/?uuid=05251204-2c3f-4f50-b1ca-b9edb8541018" ] } ], "mendeley" : { "formattedCitation" : "(Kniesner et al. 2012)", "manualFormatting" : "Kniesner et al. (2012)", "plainTextFormattedCitation" : "(Kniesner et al. 2012)", "previouslyFormattedCitation" : "(Kniesner et al. 2012)" }, "properties" : { "noteIndex" : 14 }, "schema" : "https://github.com/citation-style-language/schema/raw/master/csl-citation.json" }</w:instrText>
      </w:r>
      <w:r w:rsidR="00481A40" w:rsidRPr="006704E2">
        <w:rPr>
          <w:rFonts w:ascii="Garamond" w:hAnsi="Garamond"/>
          <w:sz w:val="24"/>
          <w:szCs w:val="24"/>
        </w:rPr>
        <w:fldChar w:fldCharType="separate"/>
      </w:r>
      <w:r w:rsidR="00481A40" w:rsidRPr="006704E2">
        <w:rPr>
          <w:rFonts w:ascii="Garamond" w:hAnsi="Garamond"/>
          <w:noProof/>
          <w:sz w:val="24"/>
          <w:szCs w:val="24"/>
        </w:rPr>
        <w:t>Kniesner</w:t>
      </w:r>
      <w:proofErr w:type="spellEnd"/>
      <w:r w:rsidR="00481A40" w:rsidRPr="006704E2">
        <w:rPr>
          <w:rFonts w:ascii="Garamond" w:hAnsi="Garamond"/>
          <w:noProof/>
          <w:sz w:val="24"/>
          <w:szCs w:val="24"/>
        </w:rPr>
        <w:t xml:space="preserve"> et al. (2012)</w:t>
      </w:r>
      <w:r w:rsidR="00481A40" w:rsidRPr="006704E2">
        <w:rPr>
          <w:rFonts w:ascii="Garamond" w:hAnsi="Garamond"/>
          <w:sz w:val="24"/>
          <w:szCs w:val="24"/>
        </w:rPr>
        <w:fldChar w:fldCharType="end"/>
      </w:r>
      <w:r w:rsidR="00481A40" w:rsidRPr="006704E2">
        <w:rPr>
          <w:rFonts w:ascii="Garamond" w:hAnsi="Garamond"/>
          <w:sz w:val="24"/>
          <w:szCs w:val="24"/>
        </w:rPr>
        <w:t>;</w:t>
      </w:r>
      <w:r w:rsidR="00265AC0" w:rsidRPr="006704E2">
        <w:rPr>
          <w:rFonts w:ascii="Garamond" w:hAnsi="Garamond"/>
          <w:sz w:val="24"/>
          <w:szCs w:val="24"/>
        </w:rPr>
        <w:t xml:space="preserve"> K</w:t>
      </w:r>
      <w:r w:rsidRPr="006704E2">
        <w:rPr>
          <w:rFonts w:ascii="Garamond" w:hAnsi="Garamond"/>
          <w:sz w:val="24"/>
          <w:szCs w:val="24"/>
        </w:rPr>
        <w:t>-</w:t>
      </w:r>
      <w:proofErr w:type="spellStart"/>
      <w:r w:rsidR="00481A40" w:rsidRPr="006704E2">
        <w:rPr>
          <w:rFonts w:ascii="Garamond" w:hAnsi="Garamond"/>
          <w:sz w:val="24"/>
          <w:szCs w:val="24"/>
        </w:rPr>
        <w:fldChar w:fldCharType="begin" w:fldLock="1"/>
      </w:r>
      <w:r w:rsidR="00944613" w:rsidRPr="006704E2">
        <w:rPr>
          <w:rFonts w:ascii="Garamond" w:hAnsi="Garamond"/>
          <w:sz w:val="24"/>
          <w:szCs w:val="24"/>
        </w:rPr>
        <w:instrText>ADDIN CSL_CITATION { "citationItems" : [ { "id" : "ITEM-1", "itemData" : { "DOI" : "10.1162/REST_a_00229", "ISSN" : "0034-6535", "abstract" : "\u2014We address long-standing concerns in the literature on com- pensating wage differentials: the econometric properties of the estimated value of statistical life (VSL) and the wide range of such estimates. We confront prominent econometric issues using panel data, a more accurate fatality risk measure, and systematic application of panel data estimators. Controlling for measurement error, endogeneity, latent individual hetero- geneity possibly correlated with regressors, state dependence, and sample composition yields VSL estimates of $4 million to $10 million. The com- paratively narrow range clarifies the cost-effectiveness of regulatory deci- sions. Most important econometrically is controlling for latent heteroge- neity; less important is how one does it.", "author" : [ { "dropping-particle" : "", "family" : "Kniesner", "given" : "Thomas J.", "non-dropping-particle" : "", "parse-names" : false, "suffix" : "" }, { "dropping-particle" : "", "family" : "Viscusi", "given" : "W. Kip", "non-dropping-particle" : "", "parse-names" : false, "suffix" : "" }, { "dropping-particle" : "", "family" : "Woock", "given" : "Christopher", "non-dropping-particle" : "", "parse-names" : false, "suffix" : "" }, { "dropping-particle" : "", "family" : "Ziliak", "given" : "James P.", "non-dropping-particle" : "", "parse-names" : false, "suffix" : "" } ], "container-title" : "Review of Economics and Statistics", "id" : "ITEM-1", "issue" : "1", "issued" : { "date-parts" : [ [ "2012" ] ] }, "page" : "74-87", "title" : "The Value of a Statistical Life: Evidence from Panel Data", "type" : "article-journal", "volume" : "94" }, "uris" : [ "http://www.mendeley.com/documents/?uuid=05251204-2c3f-4f50-b1ca-b9edb8541018" ] } ], "mendeley" : { "formattedCitation" : "(Kniesner et al. 2012)", "manualFormatting" : "Kniesner et al. (2012)", "plainTextFormattedCitation" : "(Kniesner et al. 2012)", "previouslyFormattedCitation" : "(Kniesner et al. 2012)" }, "properties" : { "noteIndex" : 14 }, "schema" : "https://github.com/citation-style-language/schema/raw/master/csl-citation.json" }</w:instrText>
      </w:r>
      <w:r w:rsidR="00481A40" w:rsidRPr="006704E2">
        <w:rPr>
          <w:rFonts w:ascii="Garamond" w:hAnsi="Garamond"/>
          <w:sz w:val="24"/>
          <w:szCs w:val="24"/>
        </w:rPr>
        <w:fldChar w:fldCharType="separate"/>
      </w:r>
      <w:r w:rsidR="00481A40" w:rsidRPr="006704E2">
        <w:rPr>
          <w:rFonts w:ascii="Garamond" w:hAnsi="Garamond"/>
          <w:noProof/>
          <w:sz w:val="24"/>
          <w:szCs w:val="24"/>
        </w:rPr>
        <w:t>Kniesner</w:t>
      </w:r>
      <w:proofErr w:type="spellEnd"/>
      <w:r w:rsidR="00481A40" w:rsidRPr="006704E2">
        <w:rPr>
          <w:rFonts w:ascii="Garamond" w:hAnsi="Garamond"/>
          <w:noProof/>
          <w:sz w:val="24"/>
          <w:szCs w:val="24"/>
        </w:rPr>
        <w:t xml:space="preserve"> et al. (2012)</w:t>
      </w:r>
      <w:r w:rsidR="00481A40" w:rsidRPr="006704E2">
        <w:rPr>
          <w:rFonts w:ascii="Garamond" w:hAnsi="Garamond"/>
          <w:sz w:val="24"/>
          <w:szCs w:val="24"/>
        </w:rPr>
        <w:fldChar w:fldCharType="end"/>
      </w:r>
      <w:r w:rsidR="00481A40" w:rsidRPr="006704E2">
        <w:rPr>
          <w:rFonts w:ascii="Garamond" w:hAnsi="Garamond"/>
          <w:sz w:val="24"/>
          <w:szCs w:val="24"/>
        </w:rPr>
        <w:t>.</w:t>
      </w:r>
    </w:p>
    <w:p w14:paraId="2D0DD51A" w14:textId="0EEBAC97" w:rsidR="000E781E" w:rsidRPr="006704E2" w:rsidRDefault="00353A1B" w:rsidP="00E95826">
      <w:pPr>
        <w:rPr>
          <w:rFonts w:ascii="Garamond" w:hAnsi="Garamond"/>
          <w:sz w:val="24"/>
          <w:szCs w:val="24"/>
        </w:rPr>
      </w:pPr>
      <w:r w:rsidRPr="006704E2">
        <w:rPr>
          <w:rFonts w:ascii="Garamond" w:hAnsi="Garamond"/>
          <w:sz w:val="24"/>
          <w:szCs w:val="24"/>
        </w:rPr>
        <w:br w:type="page"/>
      </w:r>
    </w:p>
    <w:p w14:paraId="6FD1C46A" w14:textId="544F3FB8" w:rsidR="000E781E" w:rsidRPr="006704E2" w:rsidRDefault="000E781E" w:rsidP="00597B56">
      <w:pPr>
        <w:pStyle w:val="Heading3"/>
        <w:numPr>
          <w:ilvl w:val="2"/>
          <w:numId w:val="17"/>
        </w:numPr>
        <w:rPr>
          <w:rFonts w:ascii="Garamond" w:hAnsi="Garamond"/>
          <w:color w:val="auto"/>
        </w:rPr>
      </w:pPr>
      <w:bookmarkStart w:id="15" w:name="_Toc392863191"/>
      <w:r w:rsidRPr="006704E2">
        <w:rPr>
          <w:rFonts w:ascii="Garamond" w:hAnsi="Garamond"/>
          <w:color w:val="auto"/>
        </w:rPr>
        <w:lastRenderedPageBreak/>
        <w:t>Total Mortality</w:t>
      </w:r>
      <w:r w:rsidR="00B54153" w:rsidRPr="006704E2">
        <w:rPr>
          <w:rFonts w:ascii="Garamond" w:hAnsi="Garamond"/>
          <w:color w:val="auto"/>
        </w:rPr>
        <w:t xml:space="preserve"> Cost Estimates </w:t>
      </w:r>
      <w:r w:rsidR="0005337B" w:rsidRPr="006704E2">
        <w:rPr>
          <w:rFonts w:ascii="Garamond" w:hAnsi="Garamond"/>
          <w:color w:val="auto"/>
        </w:rPr>
        <w:t>(Sensitivity Analysis)</w:t>
      </w:r>
      <w:bookmarkEnd w:id="15"/>
    </w:p>
    <w:p w14:paraId="191437DC" w14:textId="77777777" w:rsidR="0005337B" w:rsidRPr="006704E2" w:rsidRDefault="0005337B" w:rsidP="0005337B">
      <w:pPr>
        <w:rPr>
          <w:rFonts w:ascii="Garamond" w:hAnsi="Garamond"/>
        </w:rPr>
      </w:pPr>
    </w:p>
    <w:tbl>
      <w:tblPr>
        <w:tblW w:w="0" w:type="auto"/>
        <w:jc w:val="center"/>
        <w:tblCellMar>
          <w:left w:w="0" w:type="dxa"/>
          <w:right w:w="0" w:type="dxa"/>
        </w:tblCellMar>
        <w:tblLook w:val="04A0" w:firstRow="1" w:lastRow="0" w:firstColumn="1" w:lastColumn="0" w:noHBand="0" w:noVBand="1"/>
      </w:tblPr>
      <w:tblGrid>
        <w:gridCol w:w="1600"/>
        <w:gridCol w:w="671"/>
        <w:gridCol w:w="480"/>
        <w:gridCol w:w="480"/>
        <w:gridCol w:w="593"/>
        <w:gridCol w:w="480"/>
        <w:gridCol w:w="480"/>
        <w:gridCol w:w="480"/>
        <w:gridCol w:w="480"/>
        <w:gridCol w:w="480"/>
        <w:gridCol w:w="480"/>
        <w:gridCol w:w="671"/>
      </w:tblGrid>
      <w:tr w:rsidR="008A0412" w:rsidRPr="006704E2" w14:paraId="11523A26" w14:textId="77777777" w:rsidTr="008A0412">
        <w:trPr>
          <w:trHeight w:val="315"/>
          <w:jc w:val="center"/>
        </w:trPr>
        <w:tc>
          <w:tcPr>
            <w:tcW w:w="1600" w:type="dxa"/>
            <w:tcBorders>
              <w:right w:val="single" w:sz="4" w:space="0" w:color="auto"/>
            </w:tcBorders>
            <w:tcMar>
              <w:top w:w="30" w:type="dxa"/>
              <w:left w:w="45" w:type="dxa"/>
              <w:bottom w:w="30" w:type="dxa"/>
              <w:right w:w="45" w:type="dxa"/>
            </w:tcMar>
            <w:vAlign w:val="center"/>
          </w:tcPr>
          <w:p w14:paraId="7B4F7004" w14:textId="77777777" w:rsidR="008A0412" w:rsidRPr="006704E2" w:rsidRDefault="008A0412" w:rsidP="000E781E">
            <w:pPr>
              <w:spacing w:after="0" w:line="240" w:lineRule="auto"/>
              <w:jc w:val="center"/>
              <w:rPr>
                <w:rFonts w:ascii="Garamond" w:eastAsia="Times New Roman" w:hAnsi="Garamond" w:cs="Times New Roman"/>
                <w:sz w:val="24"/>
                <w:szCs w:val="24"/>
              </w:rPr>
            </w:pPr>
          </w:p>
        </w:tc>
        <w:tc>
          <w:tcPr>
            <w:tcW w:w="5775" w:type="dxa"/>
            <w:gridSpan w:val="11"/>
            <w:tcBorders>
              <w:left w:val="single" w:sz="4" w:space="0" w:color="auto"/>
            </w:tcBorders>
            <w:noWrap/>
            <w:tcMar>
              <w:top w:w="30" w:type="dxa"/>
              <w:left w:w="45" w:type="dxa"/>
              <w:bottom w:w="30" w:type="dxa"/>
              <w:right w:w="45" w:type="dxa"/>
            </w:tcMar>
            <w:vAlign w:val="center"/>
          </w:tcPr>
          <w:p w14:paraId="5344CBFB" w14:textId="17D81541" w:rsidR="008A0412" w:rsidRPr="006704E2" w:rsidRDefault="008A0412"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Total Mortality Costs Estimates</w:t>
            </w:r>
            <w:r w:rsidR="0098552F" w:rsidRPr="006704E2">
              <w:rPr>
                <w:rFonts w:ascii="Garamond" w:eastAsia="Times New Roman" w:hAnsi="Garamond" w:cs="Arial"/>
                <w:sz w:val="24"/>
                <w:szCs w:val="24"/>
              </w:rPr>
              <w:t xml:space="preserve"> (billion 2016</w:t>
            </w:r>
            <w:r w:rsidR="00593998">
              <w:rPr>
                <w:rFonts w:ascii="Garamond" w:eastAsia="Times New Roman" w:hAnsi="Garamond" w:cs="Arial"/>
                <w:sz w:val="24"/>
                <w:szCs w:val="24"/>
              </w:rPr>
              <w:t xml:space="preserve"> USD</w:t>
            </w:r>
            <w:r w:rsidR="0098552F" w:rsidRPr="006704E2">
              <w:rPr>
                <w:rFonts w:ascii="Garamond" w:eastAsia="Times New Roman" w:hAnsi="Garamond" w:cs="Arial"/>
                <w:sz w:val="24"/>
                <w:szCs w:val="24"/>
              </w:rPr>
              <w:t>)</w:t>
            </w:r>
          </w:p>
        </w:tc>
      </w:tr>
      <w:tr w:rsidR="000E781E" w:rsidRPr="006704E2" w14:paraId="65F48649" w14:textId="77777777" w:rsidTr="008A0412">
        <w:trPr>
          <w:trHeight w:val="315"/>
          <w:jc w:val="center"/>
        </w:trPr>
        <w:tc>
          <w:tcPr>
            <w:tcW w:w="1600" w:type="dxa"/>
            <w:tcBorders>
              <w:bottom w:val="single" w:sz="4" w:space="0" w:color="auto"/>
              <w:right w:val="single" w:sz="4" w:space="0" w:color="auto"/>
            </w:tcBorders>
            <w:tcMar>
              <w:top w:w="30" w:type="dxa"/>
              <w:left w:w="45" w:type="dxa"/>
              <w:bottom w:w="30" w:type="dxa"/>
              <w:right w:w="45" w:type="dxa"/>
            </w:tcMar>
            <w:vAlign w:val="center"/>
            <w:hideMark/>
          </w:tcPr>
          <w:p w14:paraId="4B2ADEA0" w14:textId="4E4E3CF1" w:rsidR="000E781E" w:rsidRPr="006704E2" w:rsidRDefault="000E781E" w:rsidP="000E781E">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Exposure</w:t>
            </w:r>
            <w:r w:rsidR="00CB12A9" w:rsidRPr="006704E2">
              <w:rPr>
                <w:rFonts w:ascii="Garamond" w:eastAsia="Times New Roman" w:hAnsi="Garamond" w:cs="Times New Roman"/>
                <w:sz w:val="24"/>
                <w:szCs w:val="24"/>
              </w:rPr>
              <w:t xml:space="preserve"> Type</w:t>
            </w:r>
          </w:p>
        </w:tc>
        <w:tc>
          <w:tcPr>
            <w:tcW w:w="671" w:type="dxa"/>
            <w:tcBorders>
              <w:left w:val="single" w:sz="4" w:space="0" w:color="auto"/>
              <w:bottom w:val="single" w:sz="4" w:space="0" w:color="auto"/>
            </w:tcBorders>
            <w:noWrap/>
            <w:tcMar>
              <w:top w:w="30" w:type="dxa"/>
              <w:left w:w="45" w:type="dxa"/>
              <w:bottom w:w="30" w:type="dxa"/>
              <w:right w:w="45" w:type="dxa"/>
            </w:tcMar>
            <w:vAlign w:val="center"/>
            <w:hideMark/>
          </w:tcPr>
          <w:p w14:paraId="46AB6DFA"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A</w:t>
            </w:r>
          </w:p>
        </w:tc>
        <w:tc>
          <w:tcPr>
            <w:tcW w:w="0" w:type="auto"/>
            <w:tcBorders>
              <w:bottom w:val="single" w:sz="4" w:space="0" w:color="auto"/>
            </w:tcBorders>
            <w:noWrap/>
            <w:tcMar>
              <w:top w:w="30" w:type="dxa"/>
              <w:left w:w="45" w:type="dxa"/>
              <w:bottom w:w="30" w:type="dxa"/>
              <w:right w:w="45" w:type="dxa"/>
            </w:tcMar>
            <w:vAlign w:val="center"/>
            <w:hideMark/>
          </w:tcPr>
          <w:p w14:paraId="39A6DF18"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B</w:t>
            </w:r>
          </w:p>
        </w:tc>
        <w:tc>
          <w:tcPr>
            <w:tcW w:w="0" w:type="auto"/>
            <w:tcBorders>
              <w:bottom w:val="single" w:sz="4" w:space="0" w:color="auto"/>
            </w:tcBorders>
            <w:noWrap/>
            <w:tcMar>
              <w:top w:w="30" w:type="dxa"/>
              <w:left w:w="45" w:type="dxa"/>
              <w:bottom w:w="30" w:type="dxa"/>
              <w:right w:w="45" w:type="dxa"/>
            </w:tcMar>
            <w:vAlign w:val="center"/>
            <w:hideMark/>
          </w:tcPr>
          <w:p w14:paraId="51C97C4D"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C</w:t>
            </w:r>
          </w:p>
        </w:tc>
        <w:tc>
          <w:tcPr>
            <w:tcW w:w="0" w:type="auto"/>
            <w:tcBorders>
              <w:bottom w:val="single" w:sz="4" w:space="0" w:color="auto"/>
            </w:tcBorders>
            <w:noWrap/>
            <w:tcMar>
              <w:top w:w="30" w:type="dxa"/>
              <w:left w:w="45" w:type="dxa"/>
              <w:bottom w:w="30" w:type="dxa"/>
              <w:right w:w="45" w:type="dxa"/>
            </w:tcMar>
            <w:vAlign w:val="center"/>
            <w:hideMark/>
          </w:tcPr>
          <w:p w14:paraId="39B274FC"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D</w:t>
            </w:r>
          </w:p>
        </w:tc>
        <w:tc>
          <w:tcPr>
            <w:tcW w:w="0" w:type="auto"/>
            <w:tcBorders>
              <w:bottom w:val="single" w:sz="4" w:space="0" w:color="auto"/>
            </w:tcBorders>
            <w:noWrap/>
            <w:tcMar>
              <w:top w:w="30" w:type="dxa"/>
              <w:left w:w="45" w:type="dxa"/>
              <w:bottom w:w="30" w:type="dxa"/>
              <w:right w:w="45" w:type="dxa"/>
            </w:tcMar>
            <w:vAlign w:val="center"/>
            <w:hideMark/>
          </w:tcPr>
          <w:p w14:paraId="0E3EA750"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E</w:t>
            </w:r>
          </w:p>
        </w:tc>
        <w:tc>
          <w:tcPr>
            <w:tcW w:w="0" w:type="auto"/>
            <w:tcBorders>
              <w:bottom w:val="single" w:sz="4" w:space="0" w:color="auto"/>
            </w:tcBorders>
            <w:noWrap/>
            <w:tcMar>
              <w:top w:w="30" w:type="dxa"/>
              <w:left w:w="45" w:type="dxa"/>
              <w:bottom w:w="30" w:type="dxa"/>
              <w:right w:w="45" w:type="dxa"/>
            </w:tcMar>
            <w:vAlign w:val="center"/>
            <w:hideMark/>
          </w:tcPr>
          <w:p w14:paraId="14A571A5"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F</w:t>
            </w:r>
          </w:p>
        </w:tc>
        <w:tc>
          <w:tcPr>
            <w:tcW w:w="0" w:type="auto"/>
            <w:tcBorders>
              <w:bottom w:val="single" w:sz="4" w:space="0" w:color="auto"/>
            </w:tcBorders>
            <w:noWrap/>
            <w:tcMar>
              <w:top w:w="30" w:type="dxa"/>
              <w:left w:w="45" w:type="dxa"/>
              <w:bottom w:w="30" w:type="dxa"/>
              <w:right w:w="45" w:type="dxa"/>
            </w:tcMar>
            <w:vAlign w:val="center"/>
            <w:hideMark/>
          </w:tcPr>
          <w:p w14:paraId="2A0588A8"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G</w:t>
            </w:r>
          </w:p>
        </w:tc>
        <w:tc>
          <w:tcPr>
            <w:tcW w:w="0" w:type="auto"/>
            <w:tcBorders>
              <w:bottom w:val="single" w:sz="4" w:space="0" w:color="auto"/>
            </w:tcBorders>
            <w:noWrap/>
            <w:tcMar>
              <w:top w:w="30" w:type="dxa"/>
              <w:left w:w="45" w:type="dxa"/>
              <w:bottom w:w="30" w:type="dxa"/>
              <w:right w:w="45" w:type="dxa"/>
            </w:tcMar>
            <w:vAlign w:val="center"/>
            <w:hideMark/>
          </w:tcPr>
          <w:p w14:paraId="315853F9"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H</w:t>
            </w:r>
          </w:p>
        </w:tc>
        <w:tc>
          <w:tcPr>
            <w:tcW w:w="0" w:type="auto"/>
            <w:tcBorders>
              <w:bottom w:val="single" w:sz="4" w:space="0" w:color="auto"/>
            </w:tcBorders>
            <w:noWrap/>
            <w:tcMar>
              <w:top w:w="30" w:type="dxa"/>
              <w:left w:w="45" w:type="dxa"/>
              <w:bottom w:w="30" w:type="dxa"/>
              <w:right w:w="45" w:type="dxa"/>
            </w:tcMar>
            <w:vAlign w:val="center"/>
            <w:hideMark/>
          </w:tcPr>
          <w:p w14:paraId="249A411D"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I</w:t>
            </w:r>
          </w:p>
        </w:tc>
        <w:tc>
          <w:tcPr>
            <w:tcW w:w="0" w:type="auto"/>
            <w:tcBorders>
              <w:bottom w:val="single" w:sz="4" w:space="0" w:color="auto"/>
            </w:tcBorders>
            <w:noWrap/>
            <w:tcMar>
              <w:top w:w="30" w:type="dxa"/>
              <w:left w:w="45" w:type="dxa"/>
              <w:bottom w:w="30" w:type="dxa"/>
              <w:right w:w="45" w:type="dxa"/>
            </w:tcMar>
            <w:vAlign w:val="center"/>
            <w:hideMark/>
          </w:tcPr>
          <w:p w14:paraId="4CC0BE37"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J</w:t>
            </w:r>
          </w:p>
        </w:tc>
        <w:tc>
          <w:tcPr>
            <w:tcW w:w="671" w:type="dxa"/>
            <w:tcBorders>
              <w:bottom w:val="single" w:sz="4" w:space="0" w:color="auto"/>
            </w:tcBorders>
            <w:noWrap/>
            <w:tcMar>
              <w:top w:w="30" w:type="dxa"/>
              <w:left w:w="45" w:type="dxa"/>
              <w:bottom w:w="30" w:type="dxa"/>
              <w:right w:w="45" w:type="dxa"/>
            </w:tcMar>
            <w:vAlign w:val="center"/>
            <w:hideMark/>
          </w:tcPr>
          <w:p w14:paraId="194E252A" w14:textId="7777777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K</w:t>
            </w:r>
          </w:p>
        </w:tc>
      </w:tr>
      <w:tr w:rsidR="000E781E" w:rsidRPr="006704E2" w14:paraId="31995F37" w14:textId="77777777" w:rsidTr="008A0412">
        <w:trPr>
          <w:trHeight w:val="315"/>
          <w:jc w:val="center"/>
        </w:trPr>
        <w:tc>
          <w:tcPr>
            <w:tcW w:w="1600" w:type="dxa"/>
            <w:tcBorders>
              <w:top w:val="single" w:sz="4" w:space="0" w:color="auto"/>
              <w:right w:val="single" w:sz="4" w:space="0" w:color="auto"/>
            </w:tcBorders>
            <w:noWrap/>
            <w:tcMar>
              <w:top w:w="30" w:type="dxa"/>
              <w:left w:w="45" w:type="dxa"/>
              <w:bottom w:w="30" w:type="dxa"/>
              <w:right w:w="45" w:type="dxa"/>
            </w:tcMar>
            <w:vAlign w:val="center"/>
            <w:hideMark/>
          </w:tcPr>
          <w:p w14:paraId="70D08A0A" w14:textId="3EB9829F"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Extreme Cold Only</w:t>
            </w:r>
          </w:p>
        </w:tc>
        <w:tc>
          <w:tcPr>
            <w:tcW w:w="671" w:type="dxa"/>
            <w:tcBorders>
              <w:top w:val="single" w:sz="4" w:space="0" w:color="auto"/>
              <w:left w:val="single" w:sz="4" w:space="0" w:color="auto"/>
            </w:tcBorders>
            <w:noWrap/>
            <w:tcMar>
              <w:top w:w="30" w:type="dxa"/>
              <w:left w:w="45" w:type="dxa"/>
              <w:bottom w:w="30" w:type="dxa"/>
              <w:right w:w="45" w:type="dxa"/>
            </w:tcMar>
            <w:vAlign w:val="center"/>
            <w:hideMark/>
          </w:tcPr>
          <w:p w14:paraId="0B4C9494" w14:textId="5C226171" w:rsidR="000E781E" w:rsidRPr="006704E2" w:rsidRDefault="000E781E" w:rsidP="000E781E">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2.01</w:t>
            </w:r>
          </w:p>
        </w:tc>
        <w:tc>
          <w:tcPr>
            <w:tcW w:w="0" w:type="auto"/>
            <w:tcBorders>
              <w:top w:val="single" w:sz="4" w:space="0" w:color="auto"/>
            </w:tcBorders>
            <w:noWrap/>
            <w:tcMar>
              <w:top w:w="30" w:type="dxa"/>
              <w:left w:w="45" w:type="dxa"/>
              <w:bottom w:w="30" w:type="dxa"/>
              <w:right w:w="45" w:type="dxa"/>
            </w:tcMar>
            <w:vAlign w:val="center"/>
            <w:hideMark/>
          </w:tcPr>
          <w:p w14:paraId="13EC9775" w14:textId="1D907B8F"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1.53</w:t>
            </w:r>
          </w:p>
        </w:tc>
        <w:tc>
          <w:tcPr>
            <w:tcW w:w="0" w:type="auto"/>
            <w:tcBorders>
              <w:top w:val="single" w:sz="4" w:space="0" w:color="auto"/>
            </w:tcBorders>
            <w:noWrap/>
            <w:tcMar>
              <w:top w:w="30" w:type="dxa"/>
              <w:left w:w="45" w:type="dxa"/>
              <w:bottom w:w="30" w:type="dxa"/>
              <w:right w:w="45" w:type="dxa"/>
            </w:tcMar>
            <w:vAlign w:val="center"/>
            <w:hideMark/>
          </w:tcPr>
          <w:p w14:paraId="767B24FD" w14:textId="4AE0D778"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1.54</w:t>
            </w:r>
          </w:p>
        </w:tc>
        <w:tc>
          <w:tcPr>
            <w:tcW w:w="0" w:type="auto"/>
            <w:tcBorders>
              <w:top w:val="single" w:sz="4" w:space="0" w:color="auto"/>
            </w:tcBorders>
            <w:noWrap/>
            <w:tcMar>
              <w:top w:w="30" w:type="dxa"/>
              <w:left w:w="45" w:type="dxa"/>
              <w:bottom w:w="30" w:type="dxa"/>
              <w:right w:w="45" w:type="dxa"/>
            </w:tcMar>
            <w:vAlign w:val="center"/>
            <w:hideMark/>
          </w:tcPr>
          <w:p w14:paraId="6D46F4AB" w14:textId="2EB6EB1D"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2.75</w:t>
            </w:r>
          </w:p>
        </w:tc>
        <w:tc>
          <w:tcPr>
            <w:tcW w:w="0" w:type="auto"/>
            <w:tcBorders>
              <w:top w:val="single" w:sz="4" w:space="0" w:color="auto"/>
            </w:tcBorders>
            <w:noWrap/>
            <w:tcMar>
              <w:top w:w="30" w:type="dxa"/>
              <w:left w:w="45" w:type="dxa"/>
              <w:bottom w:w="30" w:type="dxa"/>
              <w:right w:w="45" w:type="dxa"/>
            </w:tcMar>
            <w:vAlign w:val="center"/>
            <w:hideMark/>
          </w:tcPr>
          <w:p w14:paraId="56254093" w14:textId="3A668D2E"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2.11</w:t>
            </w:r>
          </w:p>
        </w:tc>
        <w:tc>
          <w:tcPr>
            <w:tcW w:w="0" w:type="auto"/>
            <w:tcBorders>
              <w:top w:val="single" w:sz="4" w:space="0" w:color="auto"/>
            </w:tcBorders>
            <w:noWrap/>
            <w:tcMar>
              <w:top w:w="30" w:type="dxa"/>
              <w:left w:w="45" w:type="dxa"/>
              <w:bottom w:w="30" w:type="dxa"/>
              <w:right w:w="45" w:type="dxa"/>
            </w:tcMar>
            <w:vAlign w:val="center"/>
            <w:hideMark/>
          </w:tcPr>
          <w:p w14:paraId="6E2B3C5D" w14:textId="0B42E8CB"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2.11</w:t>
            </w:r>
          </w:p>
        </w:tc>
        <w:tc>
          <w:tcPr>
            <w:tcW w:w="0" w:type="auto"/>
            <w:tcBorders>
              <w:top w:val="single" w:sz="4" w:space="0" w:color="auto"/>
            </w:tcBorders>
            <w:noWrap/>
            <w:tcMar>
              <w:top w:w="30" w:type="dxa"/>
              <w:left w:w="45" w:type="dxa"/>
              <w:bottom w:w="30" w:type="dxa"/>
              <w:right w:w="45" w:type="dxa"/>
            </w:tcMar>
            <w:vAlign w:val="center"/>
            <w:hideMark/>
          </w:tcPr>
          <w:p w14:paraId="0BB7AA62" w14:textId="20E96760"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1.80</w:t>
            </w:r>
          </w:p>
        </w:tc>
        <w:tc>
          <w:tcPr>
            <w:tcW w:w="0" w:type="auto"/>
            <w:tcBorders>
              <w:top w:val="single" w:sz="4" w:space="0" w:color="auto"/>
            </w:tcBorders>
            <w:noWrap/>
            <w:tcMar>
              <w:top w:w="30" w:type="dxa"/>
              <w:left w:w="45" w:type="dxa"/>
              <w:bottom w:w="30" w:type="dxa"/>
              <w:right w:w="45" w:type="dxa"/>
            </w:tcMar>
            <w:vAlign w:val="center"/>
            <w:hideMark/>
          </w:tcPr>
          <w:p w14:paraId="201028FA" w14:textId="352F871F"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2.09</w:t>
            </w:r>
          </w:p>
        </w:tc>
        <w:tc>
          <w:tcPr>
            <w:tcW w:w="0" w:type="auto"/>
            <w:tcBorders>
              <w:top w:val="single" w:sz="4" w:space="0" w:color="auto"/>
            </w:tcBorders>
            <w:noWrap/>
            <w:tcMar>
              <w:top w:w="30" w:type="dxa"/>
              <w:left w:w="45" w:type="dxa"/>
              <w:bottom w:w="30" w:type="dxa"/>
              <w:right w:w="45" w:type="dxa"/>
            </w:tcMar>
            <w:vAlign w:val="center"/>
            <w:hideMark/>
          </w:tcPr>
          <w:p w14:paraId="2700BB37" w14:textId="7B5F8168"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1.71</w:t>
            </w:r>
          </w:p>
        </w:tc>
        <w:tc>
          <w:tcPr>
            <w:tcW w:w="0" w:type="auto"/>
            <w:tcBorders>
              <w:top w:val="single" w:sz="4" w:space="0" w:color="auto"/>
            </w:tcBorders>
            <w:noWrap/>
            <w:tcMar>
              <w:top w:w="30" w:type="dxa"/>
              <w:left w:w="45" w:type="dxa"/>
              <w:bottom w:w="30" w:type="dxa"/>
              <w:right w:w="45" w:type="dxa"/>
            </w:tcMar>
            <w:vAlign w:val="center"/>
            <w:hideMark/>
          </w:tcPr>
          <w:p w14:paraId="621AEFE4" w14:textId="19F4681F"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1.10</w:t>
            </w:r>
          </w:p>
        </w:tc>
        <w:tc>
          <w:tcPr>
            <w:tcW w:w="671" w:type="dxa"/>
            <w:tcBorders>
              <w:top w:val="single" w:sz="4" w:space="0" w:color="auto"/>
            </w:tcBorders>
            <w:noWrap/>
            <w:tcMar>
              <w:top w:w="30" w:type="dxa"/>
              <w:left w:w="45" w:type="dxa"/>
              <w:bottom w:w="30" w:type="dxa"/>
              <w:right w:w="45" w:type="dxa"/>
            </w:tcMar>
            <w:vAlign w:val="center"/>
            <w:hideMark/>
          </w:tcPr>
          <w:p w14:paraId="3E71DF89" w14:textId="504B321F"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2.76</w:t>
            </w:r>
          </w:p>
        </w:tc>
      </w:tr>
      <w:tr w:rsidR="000E781E" w:rsidRPr="006704E2" w14:paraId="14FFA095" w14:textId="77777777" w:rsidTr="008A0412">
        <w:trPr>
          <w:trHeight w:val="315"/>
          <w:jc w:val="center"/>
        </w:trPr>
        <w:tc>
          <w:tcPr>
            <w:tcW w:w="1600" w:type="dxa"/>
            <w:tcBorders>
              <w:right w:val="single" w:sz="4" w:space="0" w:color="auto"/>
            </w:tcBorders>
            <w:noWrap/>
            <w:tcMar>
              <w:top w:w="30" w:type="dxa"/>
              <w:left w:w="45" w:type="dxa"/>
              <w:bottom w:w="30" w:type="dxa"/>
              <w:right w:w="45" w:type="dxa"/>
            </w:tcMar>
            <w:vAlign w:val="center"/>
          </w:tcPr>
          <w:p w14:paraId="7F670F6F" w14:textId="6DD4DA69"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Moderate to Extreme Cold</w:t>
            </w:r>
          </w:p>
        </w:tc>
        <w:tc>
          <w:tcPr>
            <w:tcW w:w="671" w:type="dxa"/>
            <w:tcBorders>
              <w:left w:val="single" w:sz="4" w:space="0" w:color="auto"/>
            </w:tcBorders>
            <w:noWrap/>
            <w:tcMar>
              <w:top w:w="30" w:type="dxa"/>
              <w:left w:w="45" w:type="dxa"/>
              <w:bottom w:w="30" w:type="dxa"/>
              <w:right w:w="45" w:type="dxa"/>
            </w:tcMar>
            <w:vAlign w:val="center"/>
          </w:tcPr>
          <w:p w14:paraId="2FC809D7" w14:textId="01883DAE" w:rsidR="000E781E" w:rsidRPr="006704E2" w:rsidRDefault="000E781E" w:rsidP="000E781E">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8.11</w:t>
            </w:r>
          </w:p>
        </w:tc>
        <w:tc>
          <w:tcPr>
            <w:tcW w:w="0" w:type="auto"/>
            <w:noWrap/>
            <w:tcMar>
              <w:top w:w="30" w:type="dxa"/>
              <w:left w:w="45" w:type="dxa"/>
              <w:bottom w:w="30" w:type="dxa"/>
              <w:right w:w="45" w:type="dxa"/>
            </w:tcMar>
            <w:vAlign w:val="center"/>
          </w:tcPr>
          <w:p w14:paraId="282E41F7" w14:textId="362201D6"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6.19</w:t>
            </w:r>
          </w:p>
        </w:tc>
        <w:tc>
          <w:tcPr>
            <w:tcW w:w="0" w:type="auto"/>
            <w:noWrap/>
            <w:tcMar>
              <w:top w:w="30" w:type="dxa"/>
              <w:left w:w="45" w:type="dxa"/>
              <w:bottom w:w="30" w:type="dxa"/>
              <w:right w:w="45" w:type="dxa"/>
            </w:tcMar>
            <w:vAlign w:val="center"/>
          </w:tcPr>
          <w:p w14:paraId="11A577CD" w14:textId="51AD425D"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6.24</w:t>
            </w:r>
          </w:p>
        </w:tc>
        <w:tc>
          <w:tcPr>
            <w:tcW w:w="0" w:type="auto"/>
            <w:noWrap/>
            <w:tcMar>
              <w:top w:w="30" w:type="dxa"/>
              <w:left w:w="45" w:type="dxa"/>
              <w:bottom w:w="30" w:type="dxa"/>
              <w:right w:w="45" w:type="dxa"/>
            </w:tcMar>
            <w:vAlign w:val="center"/>
          </w:tcPr>
          <w:p w14:paraId="13F1A980" w14:textId="7ED7B888"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11.12</w:t>
            </w:r>
          </w:p>
        </w:tc>
        <w:tc>
          <w:tcPr>
            <w:tcW w:w="0" w:type="auto"/>
            <w:noWrap/>
            <w:tcMar>
              <w:top w:w="30" w:type="dxa"/>
              <w:left w:w="45" w:type="dxa"/>
              <w:bottom w:w="30" w:type="dxa"/>
              <w:right w:w="45" w:type="dxa"/>
            </w:tcMar>
            <w:vAlign w:val="center"/>
          </w:tcPr>
          <w:p w14:paraId="3900458E" w14:textId="34CF35F0"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8.54</w:t>
            </w:r>
          </w:p>
        </w:tc>
        <w:tc>
          <w:tcPr>
            <w:tcW w:w="0" w:type="auto"/>
            <w:noWrap/>
            <w:tcMar>
              <w:top w:w="30" w:type="dxa"/>
              <w:left w:w="45" w:type="dxa"/>
              <w:bottom w:w="30" w:type="dxa"/>
              <w:right w:w="45" w:type="dxa"/>
            </w:tcMar>
            <w:vAlign w:val="center"/>
          </w:tcPr>
          <w:p w14:paraId="5A7918F3" w14:textId="0C550DD6"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8.56</w:t>
            </w:r>
          </w:p>
        </w:tc>
        <w:tc>
          <w:tcPr>
            <w:tcW w:w="0" w:type="auto"/>
            <w:noWrap/>
            <w:tcMar>
              <w:top w:w="30" w:type="dxa"/>
              <w:left w:w="45" w:type="dxa"/>
              <w:bottom w:w="30" w:type="dxa"/>
              <w:right w:w="45" w:type="dxa"/>
            </w:tcMar>
            <w:vAlign w:val="center"/>
          </w:tcPr>
          <w:p w14:paraId="72BEFD3D" w14:textId="36006F75"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7.26</w:t>
            </w:r>
          </w:p>
        </w:tc>
        <w:tc>
          <w:tcPr>
            <w:tcW w:w="0" w:type="auto"/>
            <w:noWrap/>
            <w:tcMar>
              <w:top w:w="30" w:type="dxa"/>
              <w:left w:w="45" w:type="dxa"/>
              <w:bottom w:w="30" w:type="dxa"/>
              <w:right w:w="45" w:type="dxa"/>
            </w:tcMar>
            <w:vAlign w:val="center"/>
          </w:tcPr>
          <w:p w14:paraId="2405FAA2" w14:textId="49C0B57E"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8.43</w:t>
            </w:r>
          </w:p>
        </w:tc>
        <w:tc>
          <w:tcPr>
            <w:tcW w:w="0" w:type="auto"/>
            <w:noWrap/>
            <w:tcMar>
              <w:top w:w="30" w:type="dxa"/>
              <w:left w:w="45" w:type="dxa"/>
              <w:bottom w:w="30" w:type="dxa"/>
              <w:right w:w="45" w:type="dxa"/>
            </w:tcMar>
            <w:vAlign w:val="center"/>
          </w:tcPr>
          <w:p w14:paraId="146CDADE" w14:textId="00FF8263"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6.94</w:t>
            </w:r>
          </w:p>
        </w:tc>
        <w:tc>
          <w:tcPr>
            <w:tcW w:w="0" w:type="auto"/>
            <w:noWrap/>
            <w:tcMar>
              <w:top w:w="30" w:type="dxa"/>
              <w:left w:w="45" w:type="dxa"/>
              <w:bottom w:w="30" w:type="dxa"/>
              <w:right w:w="45" w:type="dxa"/>
            </w:tcMar>
            <w:vAlign w:val="center"/>
          </w:tcPr>
          <w:p w14:paraId="2F152B19" w14:textId="6539BABF"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4.47</w:t>
            </w:r>
          </w:p>
        </w:tc>
        <w:tc>
          <w:tcPr>
            <w:tcW w:w="671" w:type="dxa"/>
            <w:noWrap/>
            <w:tcMar>
              <w:top w:w="30" w:type="dxa"/>
              <w:left w:w="45" w:type="dxa"/>
              <w:bottom w:w="30" w:type="dxa"/>
              <w:right w:w="45" w:type="dxa"/>
            </w:tcMar>
            <w:vAlign w:val="center"/>
          </w:tcPr>
          <w:p w14:paraId="5A233D9D" w14:textId="72BE26B9"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11.17</w:t>
            </w:r>
          </w:p>
        </w:tc>
      </w:tr>
      <w:tr w:rsidR="000E781E" w:rsidRPr="006704E2" w14:paraId="3339E434" w14:textId="77777777" w:rsidTr="008A0412">
        <w:trPr>
          <w:trHeight w:val="315"/>
          <w:jc w:val="center"/>
        </w:trPr>
        <w:tc>
          <w:tcPr>
            <w:tcW w:w="1600" w:type="dxa"/>
            <w:tcBorders>
              <w:right w:val="single" w:sz="4" w:space="0" w:color="auto"/>
            </w:tcBorders>
            <w:noWrap/>
            <w:tcMar>
              <w:top w:w="30" w:type="dxa"/>
              <w:left w:w="45" w:type="dxa"/>
              <w:bottom w:w="30" w:type="dxa"/>
              <w:right w:w="45" w:type="dxa"/>
            </w:tcMar>
            <w:vAlign w:val="center"/>
          </w:tcPr>
          <w:p w14:paraId="5B4FAB1C" w14:textId="4EF46A6B"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Extreme Heat Only</w:t>
            </w:r>
          </w:p>
        </w:tc>
        <w:tc>
          <w:tcPr>
            <w:tcW w:w="671" w:type="dxa"/>
            <w:tcBorders>
              <w:left w:val="single" w:sz="4" w:space="0" w:color="auto"/>
            </w:tcBorders>
            <w:noWrap/>
            <w:tcMar>
              <w:top w:w="30" w:type="dxa"/>
              <w:left w:w="45" w:type="dxa"/>
              <w:bottom w:w="30" w:type="dxa"/>
              <w:right w:w="45" w:type="dxa"/>
            </w:tcMar>
            <w:vAlign w:val="center"/>
          </w:tcPr>
          <w:p w14:paraId="1A644829" w14:textId="2E0109DD" w:rsidR="000E781E" w:rsidRPr="006704E2" w:rsidRDefault="000E781E" w:rsidP="000E781E">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0.67</w:t>
            </w:r>
          </w:p>
        </w:tc>
        <w:tc>
          <w:tcPr>
            <w:tcW w:w="0" w:type="auto"/>
            <w:noWrap/>
            <w:tcMar>
              <w:top w:w="30" w:type="dxa"/>
              <w:left w:w="45" w:type="dxa"/>
              <w:bottom w:w="30" w:type="dxa"/>
              <w:right w:w="45" w:type="dxa"/>
            </w:tcMar>
            <w:vAlign w:val="center"/>
          </w:tcPr>
          <w:p w14:paraId="14311175" w14:textId="6FCEA653"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0.51</w:t>
            </w:r>
          </w:p>
        </w:tc>
        <w:tc>
          <w:tcPr>
            <w:tcW w:w="0" w:type="auto"/>
            <w:noWrap/>
            <w:tcMar>
              <w:top w:w="30" w:type="dxa"/>
              <w:left w:w="45" w:type="dxa"/>
              <w:bottom w:w="30" w:type="dxa"/>
              <w:right w:w="45" w:type="dxa"/>
            </w:tcMar>
            <w:vAlign w:val="center"/>
          </w:tcPr>
          <w:p w14:paraId="397770B3" w14:textId="65CFC0E6"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0.51</w:t>
            </w:r>
          </w:p>
        </w:tc>
        <w:tc>
          <w:tcPr>
            <w:tcW w:w="0" w:type="auto"/>
            <w:noWrap/>
            <w:tcMar>
              <w:top w:w="30" w:type="dxa"/>
              <w:left w:w="45" w:type="dxa"/>
              <w:bottom w:w="30" w:type="dxa"/>
              <w:right w:w="45" w:type="dxa"/>
            </w:tcMar>
            <w:vAlign w:val="center"/>
          </w:tcPr>
          <w:p w14:paraId="362B4989" w14:textId="6E283668"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0.91</w:t>
            </w:r>
          </w:p>
        </w:tc>
        <w:tc>
          <w:tcPr>
            <w:tcW w:w="0" w:type="auto"/>
            <w:noWrap/>
            <w:tcMar>
              <w:top w:w="30" w:type="dxa"/>
              <w:left w:w="45" w:type="dxa"/>
              <w:bottom w:w="30" w:type="dxa"/>
              <w:right w:w="45" w:type="dxa"/>
            </w:tcMar>
            <w:vAlign w:val="center"/>
          </w:tcPr>
          <w:p w14:paraId="35B0E3B0" w14:textId="17BC217B"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0.70</w:t>
            </w:r>
          </w:p>
        </w:tc>
        <w:tc>
          <w:tcPr>
            <w:tcW w:w="0" w:type="auto"/>
            <w:noWrap/>
            <w:tcMar>
              <w:top w:w="30" w:type="dxa"/>
              <w:left w:w="45" w:type="dxa"/>
              <w:bottom w:w="30" w:type="dxa"/>
              <w:right w:w="45" w:type="dxa"/>
            </w:tcMar>
            <w:vAlign w:val="center"/>
          </w:tcPr>
          <w:p w14:paraId="5E1BA563" w14:textId="275D1C2A"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0.70</w:t>
            </w:r>
          </w:p>
        </w:tc>
        <w:tc>
          <w:tcPr>
            <w:tcW w:w="0" w:type="auto"/>
            <w:noWrap/>
            <w:tcMar>
              <w:top w:w="30" w:type="dxa"/>
              <w:left w:w="45" w:type="dxa"/>
              <w:bottom w:w="30" w:type="dxa"/>
              <w:right w:w="45" w:type="dxa"/>
            </w:tcMar>
            <w:vAlign w:val="center"/>
          </w:tcPr>
          <w:p w14:paraId="65A4A79F" w14:textId="3A0E3EBD"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0.59</w:t>
            </w:r>
          </w:p>
        </w:tc>
        <w:tc>
          <w:tcPr>
            <w:tcW w:w="0" w:type="auto"/>
            <w:noWrap/>
            <w:tcMar>
              <w:top w:w="30" w:type="dxa"/>
              <w:left w:w="45" w:type="dxa"/>
              <w:bottom w:w="30" w:type="dxa"/>
              <w:right w:w="45" w:type="dxa"/>
            </w:tcMar>
            <w:vAlign w:val="center"/>
          </w:tcPr>
          <w:p w14:paraId="78BF64BC" w14:textId="4F89BD70"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0.69</w:t>
            </w:r>
          </w:p>
        </w:tc>
        <w:tc>
          <w:tcPr>
            <w:tcW w:w="0" w:type="auto"/>
            <w:noWrap/>
            <w:tcMar>
              <w:top w:w="30" w:type="dxa"/>
              <w:left w:w="45" w:type="dxa"/>
              <w:bottom w:w="30" w:type="dxa"/>
              <w:right w:w="45" w:type="dxa"/>
            </w:tcMar>
            <w:vAlign w:val="center"/>
          </w:tcPr>
          <w:p w14:paraId="618888AA" w14:textId="7235574A"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0.57</w:t>
            </w:r>
          </w:p>
        </w:tc>
        <w:tc>
          <w:tcPr>
            <w:tcW w:w="0" w:type="auto"/>
            <w:noWrap/>
            <w:tcMar>
              <w:top w:w="30" w:type="dxa"/>
              <w:left w:w="45" w:type="dxa"/>
              <w:bottom w:w="30" w:type="dxa"/>
              <w:right w:w="45" w:type="dxa"/>
            </w:tcMar>
            <w:vAlign w:val="center"/>
          </w:tcPr>
          <w:p w14:paraId="4DEFD213" w14:textId="0362976A"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0.37</w:t>
            </w:r>
          </w:p>
        </w:tc>
        <w:tc>
          <w:tcPr>
            <w:tcW w:w="671" w:type="dxa"/>
            <w:noWrap/>
            <w:tcMar>
              <w:top w:w="30" w:type="dxa"/>
              <w:left w:w="45" w:type="dxa"/>
              <w:bottom w:w="30" w:type="dxa"/>
              <w:right w:w="45" w:type="dxa"/>
            </w:tcMar>
            <w:vAlign w:val="center"/>
          </w:tcPr>
          <w:p w14:paraId="045B0776" w14:textId="785775C7" w:rsidR="000E781E" w:rsidRPr="006704E2" w:rsidRDefault="00CB12A9"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0.91</w:t>
            </w:r>
          </w:p>
        </w:tc>
      </w:tr>
      <w:tr w:rsidR="000E781E" w:rsidRPr="006704E2" w14:paraId="6221A88E" w14:textId="77777777" w:rsidTr="008A0412">
        <w:trPr>
          <w:trHeight w:val="315"/>
          <w:jc w:val="center"/>
        </w:trPr>
        <w:tc>
          <w:tcPr>
            <w:tcW w:w="1600" w:type="dxa"/>
            <w:tcBorders>
              <w:right w:val="single" w:sz="4" w:space="0" w:color="auto"/>
            </w:tcBorders>
            <w:noWrap/>
            <w:tcMar>
              <w:top w:w="30" w:type="dxa"/>
              <w:left w:w="45" w:type="dxa"/>
              <w:bottom w:w="30" w:type="dxa"/>
              <w:right w:w="45" w:type="dxa"/>
            </w:tcMar>
            <w:vAlign w:val="center"/>
          </w:tcPr>
          <w:p w14:paraId="05E672C4" w14:textId="404C4C7E"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Moderate to Extreme Heat</w:t>
            </w:r>
          </w:p>
        </w:tc>
        <w:tc>
          <w:tcPr>
            <w:tcW w:w="671" w:type="dxa"/>
            <w:tcBorders>
              <w:left w:val="single" w:sz="4" w:space="0" w:color="auto"/>
            </w:tcBorders>
            <w:noWrap/>
            <w:tcMar>
              <w:top w:w="30" w:type="dxa"/>
              <w:left w:w="45" w:type="dxa"/>
              <w:bottom w:w="30" w:type="dxa"/>
              <w:right w:w="45" w:type="dxa"/>
            </w:tcMar>
            <w:vAlign w:val="center"/>
          </w:tcPr>
          <w:p w14:paraId="74CD8A2A" w14:textId="2D991EB6" w:rsidR="000E781E" w:rsidRPr="006704E2" w:rsidRDefault="000E781E" w:rsidP="000E781E">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1.17</w:t>
            </w:r>
          </w:p>
        </w:tc>
        <w:tc>
          <w:tcPr>
            <w:tcW w:w="0" w:type="auto"/>
            <w:noWrap/>
            <w:tcMar>
              <w:top w:w="30" w:type="dxa"/>
              <w:left w:w="45" w:type="dxa"/>
              <w:bottom w:w="30" w:type="dxa"/>
              <w:right w:w="45" w:type="dxa"/>
            </w:tcMar>
            <w:vAlign w:val="center"/>
          </w:tcPr>
          <w:p w14:paraId="0C3A599C" w14:textId="03E07DBF"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0.89</w:t>
            </w:r>
          </w:p>
        </w:tc>
        <w:tc>
          <w:tcPr>
            <w:tcW w:w="0" w:type="auto"/>
            <w:noWrap/>
            <w:tcMar>
              <w:top w:w="30" w:type="dxa"/>
              <w:left w:w="45" w:type="dxa"/>
              <w:bottom w:w="30" w:type="dxa"/>
              <w:right w:w="45" w:type="dxa"/>
            </w:tcMar>
            <w:vAlign w:val="center"/>
          </w:tcPr>
          <w:p w14:paraId="358C5BF6" w14:textId="5644C9A6"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0.90</w:t>
            </w:r>
          </w:p>
        </w:tc>
        <w:tc>
          <w:tcPr>
            <w:tcW w:w="0" w:type="auto"/>
            <w:noWrap/>
            <w:tcMar>
              <w:top w:w="30" w:type="dxa"/>
              <w:left w:w="45" w:type="dxa"/>
              <w:bottom w:w="30" w:type="dxa"/>
              <w:right w:w="45" w:type="dxa"/>
            </w:tcMar>
            <w:vAlign w:val="center"/>
          </w:tcPr>
          <w:p w14:paraId="64B0BF3C" w14:textId="27F8C72A"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1.60</w:t>
            </w:r>
          </w:p>
        </w:tc>
        <w:tc>
          <w:tcPr>
            <w:tcW w:w="0" w:type="auto"/>
            <w:noWrap/>
            <w:tcMar>
              <w:top w:w="30" w:type="dxa"/>
              <w:left w:w="45" w:type="dxa"/>
              <w:bottom w:w="30" w:type="dxa"/>
              <w:right w:w="45" w:type="dxa"/>
            </w:tcMar>
            <w:vAlign w:val="center"/>
          </w:tcPr>
          <w:p w14:paraId="6BA55CF3" w14:textId="0DFD524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1.23</w:t>
            </w:r>
          </w:p>
        </w:tc>
        <w:tc>
          <w:tcPr>
            <w:tcW w:w="0" w:type="auto"/>
            <w:noWrap/>
            <w:tcMar>
              <w:top w:w="30" w:type="dxa"/>
              <w:left w:w="45" w:type="dxa"/>
              <w:bottom w:w="30" w:type="dxa"/>
              <w:right w:w="45" w:type="dxa"/>
            </w:tcMar>
            <w:vAlign w:val="center"/>
          </w:tcPr>
          <w:p w14:paraId="41EBD5A8" w14:textId="4A4A343A"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1.23</w:t>
            </w:r>
          </w:p>
        </w:tc>
        <w:tc>
          <w:tcPr>
            <w:tcW w:w="0" w:type="auto"/>
            <w:noWrap/>
            <w:tcMar>
              <w:top w:w="30" w:type="dxa"/>
              <w:left w:w="45" w:type="dxa"/>
              <w:bottom w:w="30" w:type="dxa"/>
              <w:right w:w="45" w:type="dxa"/>
            </w:tcMar>
            <w:vAlign w:val="center"/>
          </w:tcPr>
          <w:p w14:paraId="0F705FC8" w14:textId="1BC26505"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1.04</w:t>
            </w:r>
          </w:p>
        </w:tc>
        <w:tc>
          <w:tcPr>
            <w:tcW w:w="0" w:type="auto"/>
            <w:noWrap/>
            <w:tcMar>
              <w:top w:w="30" w:type="dxa"/>
              <w:left w:w="45" w:type="dxa"/>
              <w:bottom w:w="30" w:type="dxa"/>
              <w:right w:w="45" w:type="dxa"/>
            </w:tcMar>
            <w:vAlign w:val="center"/>
          </w:tcPr>
          <w:p w14:paraId="651735A6" w14:textId="0BAA4364"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1.21</w:t>
            </w:r>
          </w:p>
        </w:tc>
        <w:tc>
          <w:tcPr>
            <w:tcW w:w="0" w:type="auto"/>
            <w:noWrap/>
            <w:tcMar>
              <w:top w:w="30" w:type="dxa"/>
              <w:left w:w="45" w:type="dxa"/>
              <w:bottom w:w="30" w:type="dxa"/>
              <w:right w:w="45" w:type="dxa"/>
            </w:tcMar>
            <w:vAlign w:val="center"/>
          </w:tcPr>
          <w:p w14:paraId="467211C6" w14:textId="1DE80D40"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1.00</w:t>
            </w:r>
          </w:p>
        </w:tc>
        <w:tc>
          <w:tcPr>
            <w:tcW w:w="0" w:type="auto"/>
            <w:noWrap/>
            <w:tcMar>
              <w:top w:w="30" w:type="dxa"/>
              <w:left w:w="45" w:type="dxa"/>
              <w:bottom w:w="30" w:type="dxa"/>
              <w:right w:w="45" w:type="dxa"/>
            </w:tcMar>
            <w:vAlign w:val="center"/>
          </w:tcPr>
          <w:p w14:paraId="2120A50F" w14:textId="6A511362"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0.64</w:t>
            </w:r>
          </w:p>
        </w:tc>
        <w:tc>
          <w:tcPr>
            <w:tcW w:w="671" w:type="dxa"/>
            <w:noWrap/>
            <w:tcMar>
              <w:top w:w="30" w:type="dxa"/>
              <w:left w:w="45" w:type="dxa"/>
              <w:bottom w:w="30" w:type="dxa"/>
              <w:right w:w="45" w:type="dxa"/>
            </w:tcMar>
            <w:vAlign w:val="center"/>
          </w:tcPr>
          <w:p w14:paraId="7C68F8E7" w14:textId="43618D37" w:rsidR="000E781E" w:rsidRPr="006704E2" w:rsidRDefault="000E781E" w:rsidP="000E781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1.61</w:t>
            </w:r>
          </w:p>
        </w:tc>
      </w:tr>
    </w:tbl>
    <w:p w14:paraId="444120A7" w14:textId="77777777" w:rsidR="00C016FA" w:rsidRPr="006704E2" w:rsidRDefault="00C016FA" w:rsidP="00C016FA">
      <w:pPr>
        <w:spacing w:line="480" w:lineRule="auto"/>
        <w:rPr>
          <w:rFonts w:ascii="Garamond" w:hAnsi="Garamond"/>
          <w:sz w:val="24"/>
          <w:szCs w:val="24"/>
        </w:rPr>
      </w:pPr>
    </w:p>
    <w:p w14:paraId="118E8AB3" w14:textId="46192494" w:rsidR="00C016FA" w:rsidRPr="006704E2" w:rsidRDefault="00C016FA" w:rsidP="00C016FA">
      <w:pPr>
        <w:pStyle w:val="ListParagraph"/>
        <w:spacing w:line="480" w:lineRule="auto"/>
        <w:rPr>
          <w:rFonts w:ascii="Garamond" w:hAnsi="Garamond"/>
          <w:sz w:val="24"/>
          <w:szCs w:val="24"/>
        </w:rPr>
      </w:pPr>
      <w:r w:rsidRPr="006704E2">
        <w:rPr>
          <w:rFonts w:ascii="Garamond" w:hAnsi="Garamond"/>
          <w:sz w:val="24"/>
          <w:szCs w:val="24"/>
        </w:rPr>
        <w:t>Literature included: A-</w:t>
      </w:r>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"abstract" : "Section 812 of the Clean Air Act Amendments of 1990 requires the Environmental Protection Agency (EPA) to periodically assess the effect of the Clean Air Act on the \" public health, economy, and environment of the United States, \" and to report the findings and results of its assessments to the Congress. Section 812 further directs EPA to evaluate the benefits and costs of the Clean Air Act's implementation, taking into consideration the Act's effects on public health, economic growth, the environment, employment, productivity, and the economy as a whole. This EPA Report to Congress presents the results and conclusions of the first section 812 assess\u00ad ment, a retrospective analysis of the benefits and costs of the Clean Air Act from 1970 to 1990. Future reports will detail the findings of prospective analyses of the benefits and costs of the Clean Air Act Amendments of 1990, as required by section 812. This retrospective analysis evaluates the benefits and costs of emissions controls imposed by the Clean Air Act and associated regulations. The focus is primarily on the criteria pollutants sulfur dioxide, nitrogen oxides, carbon monoxide, particulate matter, ozone, and lead since essential data were lacking for air toxics. To deter-mine the range and magnitude of effects of these pollutant emission reductions, EPA compared and contrasted two regulatory scenarios. The \" control scenario \" reflects the actual conditions resulting from the historical implementation of the 1970 and 1977 Clean Air Acts. In contrast, the \" no-control \" scenario reflects expected conditions under the assumption that, absent the passage of the 1970 Clean Air Act, the scope, form, and stringency of air pollution control programs would have remained as they were in 1970. The no-control scenario represents a hypothesized \" baseline \" against which to measure the effects of the Clean Air Act. The differences between the public health, air quality, and economic and environmental conditions resulting from these two scenarios represent the benefits and costs of the Act's implementation from 1970 to 1990.", "author" : [ { "dropping-particle" : "", "family" : "U.S. EPA", "given" : "", "non-dropping-particle" : "", "parse-names" : false, "suffix" : "" } ], "id" : "ITEM-1", "issued" : { "date-parts" : [ [ "1997" ] ] }, "title" : "The Benefits and Costs of the Clean Air Act, 1970 to 1990", "type" : "report" }, "uris" : [ "http://www.mendeley.com/documents/?uuid=e1584cd0-f46f-394e-a8d6-ba36a42f46c6" ] } ], "mendeley" : { "formattedCitation" : "(U.S. EPA 1997)", "manualFormatting" : "U.S. EPA (1997)", "plainTextFormattedCitation" : "(U.S. EPA 1997)", "previouslyFormattedCitation" : "(U.S. EPA 1997)" }, "properties" : { "noteIndex" : 15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U.S. EPA (1997)</w:t>
      </w:r>
      <w:r w:rsidRPr="006704E2">
        <w:rPr>
          <w:rFonts w:ascii="Garamond" w:hAnsi="Garamond"/>
          <w:sz w:val="24"/>
          <w:szCs w:val="24"/>
        </w:rPr>
        <w:fldChar w:fldCharType="end"/>
      </w:r>
      <w:r w:rsidRPr="006704E2">
        <w:rPr>
          <w:rFonts w:ascii="Garamond" w:hAnsi="Garamond"/>
          <w:sz w:val="24"/>
          <w:szCs w:val="24"/>
        </w:rPr>
        <w:t>; B-</w:t>
      </w:r>
      <w:proofErr w:type="spellStart"/>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"DOI" : "10.1093/ei/cbh042", "ISBN" : "6174963586", "ISSN" : "00952583", "abstract" : "The worker fatality risk variable constructed for this article uses BLS data on total worker deaths by both occupation and industry over the 1992-97 period rather than death risks by occupation or industry alone, as in past studies. The subsequent estimates using 1997 CPS data indicate a value of life of $4.7 million for the full sample, $7.0 million for blue-collar males, and $8.5 million for blue-collar females. Unlike previous estimates, these values account for the influence of clustering of the job risk variable and compensating differentials for both workers' compensation and nonfatal job risks. [ABSTRACT FROM AUTHOR]", "author" : [ { "dropping-particle" : "", "family" : "Viscusi", "given" : "Kip W", "non-dropping-particle" : "", "parse-names" : false, "suffix" : "" } ], "container-title" : "Economic Inquiry", "id" : "ITEM-1", "issue" : "1", "issued" : { "date-parts" : [ [ "2004" ] ] }, "page" : "29-48", "title" : "The value of life: Estimates with risks by occupation and industry", "type" : "article-journal", "volume" : "42" }, "uris" : [ "http://www.mendeley.com/documents/?uuid=286c1e0d-746c-43c2-9d6c-64c4245d5656" ] } ], "mendeley" : { "formattedCitation" : "(Viscusi 2004)", "manualFormatting" : "Viscusi (2004)", "plainTextFormattedCitation" : "(Viscusi 2004)", "previouslyFormattedCitation" : "(Viscusi 2004)"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Viscusi</w:t>
      </w:r>
      <w:proofErr w:type="spellEnd"/>
      <w:r w:rsidRPr="006704E2">
        <w:rPr>
          <w:rFonts w:ascii="Garamond" w:hAnsi="Garamond"/>
          <w:noProof/>
          <w:sz w:val="24"/>
          <w:szCs w:val="24"/>
        </w:rPr>
        <w:t xml:space="preserve"> (2004)</w:t>
      </w:r>
      <w:r w:rsidRPr="006704E2">
        <w:rPr>
          <w:rFonts w:ascii="Garamond" w:hAnsi="Garamond"/>
          <w:sz w:val="24"/>
          <w:szCs w:val="24"/>
        </w:rPr>
        <w:fldChar w:fldCharType="end"/>
      </w:r>
      <w:r w:rsidRPr="006704E2">
        <w:rPr>
          <w:rFonts w:ascii="Garamond" w:hAnsi="Garamond"/>
          <w:sz w:val="24"/>
          <w:szCs w:val="24"/>
        </w:rPr>
        <w:t>; C-</w:t>
      </w:r>
      <w:proofErr w:type="spellStart"/>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"author" : [ { "dropping-particle" : "", "family" : "Kniesner", "given" : "Thomas J", "non-dropping-particle" : "", "parse-names" : false, "suffix" : "" }, { "dropping-particle" : "", "family" : "Viscusi", "given" : "W Kip", "non-dropping-particle" : "", "parse-names" : false, "suffix" : "" } ], "container-title" : "The American Economic Review: Papers and Proceedings of the One Hundred Seventeenth Annual Meeting of the American Economic Association", "id" : "ITEM-1", "issue" : "2", "issued" : { "date-parts" : [ [ "2005" ] ] }, "page" : "142-146", "publisher" : "American Economic Association", "publisher-place" : "Philadelphia, PA", "title" : "Value of a Statistical Life : Relative Position vs . Relative Age", "type" : "paper-conference", "volume" : "95" }, "uris" : [ "http://www.mendeley.com/documents/?uuid=12c05565-13ee-3b14-9b52-1f73cdc630af" ] } ], "mendeley" : { "formattedCitation" : "(Kniesner and Viscusi 2005)", "manualFormatting" : "Kniesner and Viscusi (2005)", "plainTextFormattedCitation" : "(Kniesner and Viscusi 2005)", "previouslyFormattedCitation" : "(Kniesner and Viscusi 2005)"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Kniesner</w:t>
      </w:r>
      <w:proofErr w:type="spellEnd"/>
      <w:r w:rsidRPr="006704E2">
        <w:rPr>
          <w:rFonts w:ascii="Garamond" w:hAnsi="Garamond"/>
          <w:noProof/>
          <w:sz w:val="24"/>
          <w:szCs w:val="24"/>
        </w:rPr>
        <w:t xml:space="preserve"> and Viscusi (2005)</w:t>
      </w:r>
      <w:r w:rsidRPr="006704E2">
        <w:rPr>
          <w:rFonts w:ascii="Garamond" w:hAnsi="Garamond"/>
          <w:sz w:val="24"/>
          <w:szCs w:val="24"/>
        </w:rPr>
        <w:fldChar w:fldCharType="end"/>
      </w:r>
      <w:r w:rsidRPr="006704E2">
        <w:rPr>
          <w:rFonts w:ascii="Garamond" w:hAnsi="Garamond"/>
          <w:sz w:val="24"/>
          <w:szCs w:val="24"/>
        </w:rPr>
        <w:t>;</w:t>
      </w:r>
      <w:r w:rsidR="00596668" w:rsidRPr="006704E2">
        <w:rPr>
          <w:rFonts w:ascii="Garamond" w:hAnsi="Garamond"/>
          <w:sz w:val="24"/>
          <w:szCs w:val="24"/>
        </w:rPr>
        <w:t xml:space="preserve"> </w:t>
      </w:r>
      <w:r w:rsidRPr="006704E2">
        <w:rPr>
          <w:rFonts w:ascii="Garamond" w:hAnsi="Garamond"/>
          <w:sz w:val="24"/>
          <w:szCs w:val="24"/>
        </w:rPr>
        <w:t>D-</w:t>
      </w:r>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"DOI" : "10.1007/s10640-008-9197-9", "ISBN" : "0924-6460", "ISSN" : "09246460", "abstract" : "This paper considers the factors responsible for differences with age in estimates of the wage compensation an individual requires to accept increased occupational fatality risk. We derive a relationship between the value of a statistical life (VSL) and the degree of complementarity between consumption and labor supplied when health status serves as a potential source of variation in this relationship. Our empirical analysis finds that variations in an individual\u2019s health status or quality of life and anticipated longevity threats lead to significant differences in the estimated wage/risk tradeoffs. We describe how extensions to the specification of hedonic wage models, including measures for quality of life and anticipated longevity threats, help to explain the diversity in past studies examining how the estimated wage\u2013risk tradeoff changes with age.", "author" : [ { "dropping-particle" : "", "family" : "Evans", "given" : "Mary F", "non-dropping-particle" : "", "parse-names" : false, "suffix" : "" }, { "dropping-particle" : "V", "family" : "Smith", "given" : "Kerry", "non-dropping-particle" : "", "parse-names" : false, "suffix" : "" } ], "container-title" : "Environmental and Resource Economics", "id" : "ITEM-1", "issue" : "3", "issued" : { "date-parts" : [ [ "2008" ] ] }, "page" : "381-400", "title" : "Complementarity and the measurement of individual risk tradeoffs: Accounting for quantity and quality of life effects", "type" : "article-journal", "volume" : "41" }, "uris" : [ "http://www.mendeley.com/documents/?uuid=55e4ca12-6563-3df1-aeff-fee4b0bd5bc5" ] } ], "mendeley" : { "formattedCitation" : "(Evans and Smith 2008)", "plainTextFormattedCitation" : "(Evans and Smith 2008)", "previouslyFormattedCitation" : "(Evans and Smith 2008)"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 xml:space="preserve">Evans and Smith </w:t>
      </w:r>
      <w:r w:rsidR="00596668" w:rsidRPr="006704E2">
        <w:rPr>
          <w:rFonts w:ascii="Garamond" w:hAnsi="Garamond"/>
          <w:noProof/>
          <w:sz w:val="24"/>
          <w:szCs w:val="24"/>
        </w:rPr>
        <w:t>(</w:t>
      </w:r>
      <w:r w:rsidRPr="006704E2">
        <w:rPr>
          <w:rFonts w:ascii="Garamond" w:hAnsi="Garamond"/>
          <w:noProof/>
          <w:sz w:val="24"/>
          <w:szCs w:val="24"/>
        </w:rPr>
        <w:t>2008)</w:t>
      </w:r>
      <w:r w:rsidRPr="006704E2">
        <w:rPr>
          <w:rFonts w:ascii="Garamond" w:hAnsi="Garamond"/>
          <w:sz w:val="24"/>
          <w:szCs w:val="24"/>
        </w:rPr>
        <w:fldChar w:fldCharType="end"/>
      </w:r>
      <w:r w:rsidRPr="006704E2">
        <w:rPr>
          <w:rFonts w:ascii="Garamond" w:hAnsi="Garamond"/>
          <w:sz w:val="24"/>
          <w:szCs w:val="24"/>
        </w:rPr>
        <w:t>; E-</w:t>
      </w:r>
      <w:proofErr w:type="spellStart"/>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"DOI" : "10.1016/j.jhealeco.2008.01.001", "ISBN" : "0167-6296 (Print)", "ISSN" : "01676296", "PMID" : "18342962", "abstract" : "This article estimates the mortality cost of smoking using the first labor market estimates of the value of statistical life by smoking status. The value of statistical life is $7 million for both smokers and nonsmokers. Using this value in conjunction with the increase in the mortality risk over the life cycle due to smoking, the value of statistical life by age and gender, and information on the number of packs smoked over the life cycle, the private mortality cost of smoking is $222 per pack for men and $94 per pack for women in $2006, based on a 3% discount rate. At discount rates of 15% or more, the cost decreases to under $25 per pack. \u00a9 2008 Elsevier B.V. All rights reserved.", "author" : [ { "dropping-particle" : "", "family" : "Viscusi", "given" : "W. Kip", "non-dropping-particle" : "", "parse-names" : false, "suffix" : "" }, { "dropping-particle" : "", "family" : "Hersch", "given" : "Joni", "non-dropping-particle" : "", "parse-names" : false, "suffix" : "" } ], "container-title" : "Journal of Health Economics", "id" : "ITEM-1", "issue" : "4", "issued" : { "date-parts" : [ [ "2008" ] ] }, "page" : "943-958", "title" : "The mortality cost to smokers", "type" : "article-journal", "volume" : "27" }, "uris" : [ "http://www.mendeley.com/documents/?uuid=9fb0f839-e99d-3bf3-accc-ef83cb85bc2c" ] } ], "mendeley" : { "formattedCitation" : "(Viscusi and Hersch 2008)", "manualFormatting" : "Viscusi and Hersch (2008)", "plainTextFormattedCitation" : "(Viscusi and Hersch 2008)", "previouslyFormattedCitation" : "(Viscusi and Hersch 2008)"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Viscusi</w:t>
      </w:r>
      <w:proofErr w:type="spellEnd"/>
      <w:r w:rsidRPr="006704E2">
        <w:rPr>
          <w:rFonts w:ascii="Garamond" w:hAnsi="Garamond"/>
          <w:noProof/>
          <w:sz w:val="24"/>
          <w:szCs w:val="24"/>
        </w:rPr>
        <w:t xml:space="preserve"> and Hersch (2008)</w:t>
      </w:r>
      <w:r w:rsidRPr="006704E2">
        <w:rPr>
          <w:rFonts w:ascii="Garamond" w:hAnsi="Garamond"/>
          <w:sz w:val="24"/>
          <w:szCs w:val="24"/>
        </w:rPr>
        <w:fldChar w:fldCharType="end"/>
      </w:r>
      <w:r w:rsidRPr="006704E2">
        <w:rPr>
          <w:rFonts w:ascii="Garamond" w:hAnsi="Garamond"/>
          <w:sz w:val="24"/>
          <w:szCs w:val="24"/>
        </w:rPr>
        <w:t>; F-</w:t>
      </w:r>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"DOI" : "10.1016/j.jeem.2009.11.004", "ISBN" : "0095-0696", "ISSN" : "00950696", "abstract" : "In theory, heterogeneity in individual characteristics translates into variation in the marginal willingness to pay for a mortality risk reduction. Two dimensions of heterogeneity, with respect to income and age, have recently received attention due to their policy relevance. We propose a quantile regression approach to simultaneously explore these two sources of heterogeneity and their interactions within the context of the hedonic wage model, the most common revealed preference approach for obtaining value of statistical life estimates. We illustrate the approach using data from the Health and Retirement Study (HRS). We find that the impact of age on the wage-risk tradeoff varies across the wage distribution. This result indicates important interactions between age and income heterogeneity. Thus, the conventional mean hedonic wage regression, even when the mean effect is allowed to vary with age, masks important heterogeneity. \u00a9 2009 Elsevier Inc. All rights reserved.", "author" : [ { "dropping-particle" : "", "family" : "Evans", "given" : "Mary F.", "non-dropping-particle" : "", "parse-names" : false, "suffix" : "" }, { "dropping-particle" : "", "family" : "Schaur", "given" : "Georg", "non-dropping-particle" : "", "parse-names" : false, "suffix" : "" } ], "container-title" : "Journal of Environmental Economics and Management", "id" : "ITEM-1", "issue" : "3", "issued" : { "date-parts" : [ [ "2010" ] ] }, "page" : "260-270", "title" : "A quantile estimation approach to identify income and age variation in the value of a statistical life", "type" : "article-journal", "volume" : "59" }, "uris" : [ "http://www.mendeley.com/documents/?uuid=10c96d64-b9b9-3a2f-8bb9-b1f20cc279ca" ] } ], "mendeley" : { "formattedCitation" : "(Evans and Schaur 2010)", "manualFormatting" : "Evans and Schaur (2010)", "plainTextFormattedCitation" : "(Evans and Schaur 2010)", "previouslyFormattedCitation" : "(Evans and Schaur 2010)"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Evans and Schaur (2010)</w:t>
      </w:r>
      <w:r w:rsidRPr="006704E2">
        <w:rPr>
          <w:rFonts w:ascii="Garamond" w:hAnsi="Garamond"/>
          <w:sz w:val="24"/>
          <w:szCs w:val="24"/>
        </w:rPr>
        <w:fldChar w:fldCharType="end"/>
      </w:r>
      <w:r w:rsidR="00596668" w:rsidRPr="006704E2">
        <w:rPr>
          <w:rFonts w:ascii="Garamond" w:hAnsi="Garamond"/>
          <w:sz w:val="24"/>
          <w:szCs w:val="24"/>
        </w:rPr>
        <w:t>; G</w:t>
      </w:r>
      <w:r w:rsidRPr="006704E2">
        <w:rPr>
          <w:rFonts w:ascii="Garamond" w:hAnsi="Garamond"/>
          <w:sz w:val="24"/>
          <w:szCs w:val="24"/>
        </w:rPr>
        <w:t>-</w:t>
      </w:r>
      <w:proofErr w:type="spellStart"/>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"ISBN" : "0022166X", "ISSN" : "0022166X", "abstract" : "Using data from the Current Population Survey and the New Immigrant Survey, this paper examines the common perception that immigrants are concentrated in high-risk jobs for which they receive little wage compensation. Compared to native U.S. workers, non-Mexican immigrants are not at higher risk and have substantial values of statistical life. However, Mexican immigrants incur much higher fatality risks than native U.S. workers and do not receive wage compensation for these risks. Mexican immigrants who do not understand English fare especially poorly. The evidence is consistent with Mexican immigrants facing different wage offer curves.", "author" : [ { "dropping-particle" : "", "family" : "Hersch", "given" : "Joni", "non-dropping-particle" : "", "parse-names" : false, "suffix" : "" }, { "dropping-particle" : "", "family" : "Viscusi", "given" : "W Kip", "non-dropping-particle" : "", "parse-names" : false, "suffix" : "" } ], "container-title" : "Journal of Human Resources", "id" : "ITEM-1", "issue" : "3", "issued" : { "date-parts" : [ [ "2010" ] ] }, "page" : "749-771", "title" : "Immigrant Status and the Value of Statistical Life", "type" : "article-journal", "volume" : "45" }, "uris" : [ "http://www.mendeley.com/documents/?uuid=bd520682-e432-4a9f-8581-4d893777b80a" ] } ], "mendeley" : { "formattedCitation" : "(Hersch and Viscusi 2010)", "manualFormatting" : "Hersch and Viscusi (2010)", "plainTextFormattedCitation" : "(Hersch and Viscusi 2010)", "previouslyFormattedCitation" : "(Hersch and Viscusi 2010)"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Hersch</w:t>
      </w:r>
      <w:proofErr w:type="spellEnd"/>
      <w:r w:rsidRPr="006704E2">
        <w:rPr>
          <w:rFonts w:ascii="Garamond" w:hAnsi="Garamond"/>
          <w:noProof/>
          <w:sz w:val="24"/>
          <w:szCs w:val="24"/>
        </w:rPr>
        <w:t xml:space="preserve"> and Viscusi (2010)</w:t>
      </w:r>
      <w:r w:rsidRPr="006704E2">
        <w:rPr>
          <w:rFonts w:ascii="Garamond" w:hAnsi="Garamond"/>
          <w:sz w:val="24"/>
          <w:szCs w:val="24"/>
        </w:rPr>
        <w:fldChar w:fldCharType="end"/>
      </w:r>
      <w:r w:rsidR="00596668" w:rsidRPr="006704E2">
        <w:rPr>
          <w:rFonts w:ascii="Garamond" w:hAnsi="Garamond"/>
          <w:sz w:val="24"/>
          <w:szCs w:val="24"/>
        </w:rPr>
        <w:t>; H</w:t>
      </w:r>
      <w:r w:rsidRPr="006704E2">
        <w:rPr>
          <w:rFonts w:ascii="Garamond" w:hAnsi="Garamond"/>
          <w:sz w:val="24"/>
          <w:szCs w:val="24"/>
        </w:rPr>
        <w:t>-</w:t>
      </w:r>
      <w:proofErr w:type="spellStart"/>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"DOI" : "10.1007/s11166-009-9084-y", "ISSN" : "08955646", "abstract" : "We examine differences in the value of statistical life (VSL) across potential wage levels in panel data using quantile regressions with intercept heterogeneity. Latent heterogeneity is econometrically important and affects the estimated VSL. Our findings indicate that a reasonable average cost per expected life saved cut-off for health and safety regulations is $7 million to $8 million per life saved, but the VSL varies considerably across the labor force. Our results reconcile the previous discrepancies between hedonic VSL estimates and the values implied by theories linked to the coefficient of relative risk aversion. Because the VSL varies elastically with income, regulatory agencies should regularly update the VSL used in benefit assessments, increasing the VSL proportionally with changes in income over time.", "author" : [ { "dropping-particle" : "", "family" : "Kniesner", "given" : "Thomas J", "non-dropping-particle" : "", "parse-names" : false, "suffix" : "" }, { "dropping-particle" : "", "family" : "Viscusi", "given" : "W Kip", "non-dropping-particle" : "", "parse-names" : false, "suffix" : "" }, { "dropping-particle" : "", "family" : "Ziliak", "given" : "James P", "non-dropping-particle" : "", "parse-names" : false, "suffix" : "" } ], "container-title" : "Journal of Risk and Uncertainty", "id" : "ITEM-1", "issue" : "1", "issued" : { "date-parts" : [ [ "2010" ] ] }, "page" : "15-31", "title" : "Policy relevant heterogeneity in the value of statistical life: New evidence from panel data quantile regressions", "type" : "article-journal", "volume" : "40" }, "uris" : [ "http://www.mendeley.com/documents/?uuid=7fccf869-d085-3dbd-a7f2-857ff4485ef3" ] } ], "mendeley" : { "formattedCitation" : "(Kniesner et al. 2010)", "manualFormatting" : "Kniesner et al. (2010)", "plainTextFormattedCitation" : "(Kniesner et al. 2010)", "previouslyFormattedCitation" : "(Kniesner et al. 2010)"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Kniesner</w:t>
      </w:r>
      <w:proofErr w:type="spellEnd"/>
      <w:r w:rsidRPr="006704E2">
        <w:rPr>
          <w:rFonts w:ascii="Garamond" w:hAnsi="Garamond"/>
          <w:noProof/>
          <w:sz w:val="24"/>
          <w:szCs w:val="24"/>
        </w:rPr>
        <w:t xml:space="preserve"> et al. (2010)</w:t>
      </w:r>
      <w:r w:rsidRPr="006704E2">
        <w:rPr>
          <w:rFonts w:ascii="Garamond" w:hAnsi="Garamond"/>
          <w:sz w:val="24"/>
          <w:szCs w:val="24"/>
        </w:rPr>
        <w:fldChar w:fldCharType="end"/>
      </w:r>
      <w:r w:rsidR="00596668" w:rsidRPr="006704E2">
        <w:rPr>
          <w:rFonts w:ascii="Garamond" w:hAnsi="Garamond"/>
          <w:sz w:val="24"/>
          <w:szCs w:val="24"/>
        </w:rPr>
        <w:t>; I</w:t>
      </w:r>
      <w:r w:rsidRPr="006704E2">
        <w:rPr>
          <w:rFonts w:ascii="Garamond" w:hAnsi="Garamond"/>
          <w:sz w:val="24"/>
          <w:szCs w:val="24"/>
        </w:rPr>
        <w:t>-</w:t>
      </w:r>
      <w:proofErr w:type="spellStart"/>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"DOI" : "10.1016/j.reseneeco.2010.06.001", "ISBN" : "0928-7655", "ISSN" : "09287655", "abstract" : "Our study expands the hedonic wage framework to take advantage of the inherent differences in workplace deaths, both in type and probability of occurrence, and examines revealed preferences over these heterogeneous risks. We use data on all fatal workplace deaths in the US from 1992 to 1997 and develop risk rates that are differentiated by how the fatal injury occurred. Within sample tests of the equality of compensating wage differentials for heterogeneous risks indicate that we can reject aggregation of homicide risks with other sources of workplace fatalities. However, our results are not without qualification and highlight important nuances of the labor market as related to estimating compensating wage differentials for risks that have generally been ignored in the previous literature. ?? 2010 Elsevier B.V.", "author" : [ { "dropping-particle" : "", "family" : "Scotton", "given" : "Carol R", "non-dropping-particle" : "", "parse-names" : false, "suffix" : "" }, { "dropping-particle" : "", "family" : "Taylor", "given" : "Laura O", "non-dropping-particle" : "", "parse-names" : false, "suffix" : "" } ], "container-title" : "Resource and Energy Economics", "id" : "ITEM-1", "issue" : "2", "issued" : { "date-parts" : [ [ "2011" ] ] }, "page" : "381-397", "title" : "Valuing risk reductions: Incorporating risk heterogeneity into a revealed preference framework", "type" : "article-journal", "volume" : "33" }, "uris" : [ "http://www.mendeley.com/documents/?uuid=d967f49e-0364-37bc-bbf3-1d6a2f4e40d6" ] } ], "mendeley" : { "formattedCitation" : "(Scotton and Taylor 2011)", "manualFormatting" : "Scotton and Taylor (2011)", "plainTextFormattedCitation" : "(Scotton and Taylor 2011)", "previouslyFormattedCitation" : "(Scotton and Taylor 2011)"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Scotton</w:t>
      </w:r>
      <w:proofErr w:type="spellEnd"/>
      <w:r w:rsidRPr="006704E2">
        <w:rPr>
          <w:rFonts w:ascii="Garamond" w:hAnsi="Garamond"/>
          <w:noProof/>
          <w:sz w:val="24"/>
          <w:szCs w:val="24"/>
        </w:rPr>
        <w:t xml:space="preserve"> and Taylor (2011)</w:t>
      </w:r>
      <w:r w:rsidRPr="006704E2">
        <w:rPr>
          <w:rFonts w:ascii="Garamond" w:hAnsi="Garamond"/>
          <w:sz w:val="24"/>
          <w:szCs w:val="24"/>
        </w:rPr>
        <w:fldChar w:fldCharType="end"/>
      </w:r>
      <w:r w:rsidR="00596668" w:rsidRPr="006704E2">
        <w:rPr>
          <w:rFonts w:ascii="Garamond" w:hAnsi="Garamond"/>
          <w:sz w:val="24"/>
          <w:szCs w:val="24"/>
        </w:rPr>
        <w:t>; J</w:t>
      </w:r>
      <w:r w:rsidRPr="006704E2">
        <w:rPr>
          <w:rFonts w:ascii="Garamond" w:hAnsi="Garamond"/>
          <w:sz w:val="24"/>
          <w:szCs w:val="24"/>
        </w:rPr>
        <w:t>-</w:t>
      </w:r>
      <w:proofErr w:type="spellStart"/>
      <w:r w:rsidRPr="006704E2">
        <w:rPr>
          <w:rFonts w:ascii="Garamond" w:hAnsi="Garamond"/>
          <w:sz w:val="24"/>
          <w:szCs w:val="24"/>
        </w:rPr>
        <w:fldChar w:fldCharType="begin" w:fldLock="1"/>
      </w:r>
      <w:r w:rsidRPr="006704E2">
        <w:rPr>
          <w:rFonts w:ascii="Garamond" w:hAnsi="Garamond"/>
          <w:sz w:val="24"/>
          <w:szCs w:val="24"/>
        </w:rPr>
        <w:instrText>ADDIN CSL_CITATION { "citationItems" : [ { "id" : "ITEM-1", "itemData" : { "DOI" : "10.1162/REST_a_00229", "ISSN" : "0034-6535", "abstract" : "\u2014We address long-standing concerns in the literature on com- pensating wage differentials: the econometric properties of the estimated value of statistical life (VSL) and the wide range of such estimates. We confront prominent econometric issues using panel data, a more accurate fatality risk measure, and systematic application of panel data estimators. Controlling for measurement error, endogeneity, latent individual hetero- geneity possibly correlated with regressors, state dependence, and sample composition yields VSL estimates of $4 million to $10 million. The com- paratively narrow range clarifies the cost-effectiveness of regulatory deci- sions. Most important econometrically is controlling for latent heteroge- neity; less important is how one does it.", "author" : [ { "dropping-particle" : "", "family" : "Kniesner", "given" : "Thomas J.", "non-dropping-particle" : "", "parse-names" : false, "suffix" : "" }, { "dropping-particle" : "", "family" : "Viscusi", "given" : "W. Kip", "non-dropping-particle" : "", "parse-names" : false, "suffix" : "" }, { "dropping-particle" : "", "family" : "Woock", "given" : "Christopher", "non-dropping-particle" : "", "parse-names" : false, "suffix" : "" }, { "dropping-particle" : "", "family" : "Ziliak", "given" : "James P.", "non-dropping-particle" : "", "parse-names" : false, "suffix" : "" } ], "container-title" : "Review of Economics and Statistics", "id" : "ITEM-1", "issue" : "1", "issued" : { "date-parts" : [ [ "2012" ] ] }, "page" : "74-87", "title" : "The Value of a Statistical Life: Evidence from Panel Data", "type" : "article-journal", "volume" : "94" }, "uris" : [ "http://www.mendeley.com/documents/?uuid=05251204-2c3f-4f50-b1ca-b9edb8541018" ] } ], "mendeley" : { "formattedCitation" : "(Kniesner et al. 2012)", "manualFormatting" : "Kniesner et al. (2012)", "plainTextFormattedCitation" : "(Kniesner et al. 2012)", "previouslyFormattedCitation" : "(Kniesner et al. 2012)"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Kniesner</w:t>
      </w:r>
      <w:proofErr w:type="spellEnd"/>
      <w:r w:rsidRPr="006704E2">
        <w:rPr>
          <w:rFonts w:ascii="Garamond" w:hAnsi="Garamond"/>
          <w:noProof/>
          <w:sz w:val="24"/>
          <w:szCs w:val="24"/>
        </w:rPr>
        <w:t xml:space="preserve"> et al. (2012)</w:t>
      </w:r>
      <w:r w:rsidRPr="006704E2">
        <w:rPr>
          <w:rFonts w:ascii="Garamond" w:hAnsi="Garamond"/>
          <w:sz w:val="24"/>
          <w:szCs w:val="24"/>
        </w:rPr>
        <w:fldChar w:fldCharType="end"/>
      </w:r>
      <w:r w:rsidR="00596668" w:rsidRPr="006704E2">
        <w:rPr>
          <w:rFonts w:ascii="Garamond" w:hAnsi="Garamond"/>
          <w:sz w:val="24"/>
          <w:szCs w:val="24"/>
        </w:rPr>
        <w:t>; K</w:t>
      </w:r>
      <w:r w:rsidRPr="006704E2">
        <w:rPr>
          <w:rFonts w:ascii="Garamond" w:hAnsi="Garamond"/>
          <w:sz w:val="24"/>
          <w:szCs w:val="24"/>
        </w:rPr>
        <w:t>-</w:t>
      </w:r>
      <w:proofErr w:type="spellStart"/>
      <w:r w:rsidRPr="006704E2">
        <w:rPr>
          <w:rFonts w:ascii="Garamond" w:hAnsi="Garamond"/>
          <w:sz w:val="24"/>
          <w:szCs w:val="24"/>
        </w:rPr>
        <w:fldChar w:fldCharType="begin" w:fldLock="1"/>
      </w:r>
      <w:r w:rsidR="00944613" w:rsidRPr="006704E2">
        <w:rPr>
          <w:rFonts w:ascii="Garamond" w:hAnsi="Garamond"/>
          <w:sz w:val="24"/>
          <w:szCs w:val="24"/>
        </w:rPr>
        <w:instrText>ADDIN CSL_CITATION { "citationItems" : [ { "id" : "ITEM-1", "itemData" : { "DOI" : "10.1162/REST_a_00229", "ISSN" : "0034-6535", "abstract" : "\u2014We address long-standing concerns in the literature on com- pensating wage differentials: the econometric properties of the estimated value of statistical life (VSL) and the wide range of such estimates. We confront prominent econometric issues using panel data, a more accurate fatality risk measure, and systematic application of panel data estimators. Controlling for measurement error, endogeneity, latent individual hetero- geneity possibly correlated with regressors, state dependence, and sample composition yields VSL estimates of $4 million to $10 million. The com- paratively narrow range clarifies the cost-effectiveness of regulatory deci- sions. Most important econometrically is controlling for latent heteroge- neity; less important is how one does it.", "author" : [ { "dropping-particle" : "", "family" : "Kniesner", "given" : "Thomas J.", "non-dropping-particle" : "", "parse-names" : false, "suffix" : "" }, { "dropping-particle" : "", "family" : "Viscusi", "given" : "W. Kip", "non-dropping-particle" : "", "parse-names" : false, "suffix" : "" }, { "dropping-particle" : "", "family" : "Woock", "given" : "Christopher", "non-dropping-particle" : "", "parse-names" : false, "suffix" : "" }, { "dropping-particle" : "", "family" : "Ziliak", "given" : "James P.", "non-dropping-particle" : "", "parse-names" : false, "suffix" : "" } ], "container-title" : "Review of Economics and Statistics", "id" : "ITEM-1", "issue" : "1", "issued" : { "date-parts" : [ [ "2012" ] ] }, "page" : "74-87", "title" : "The Value of a Statistical Life: Evidence from Panel Data", "type" : "article-journal", "volume" : "94" }, "uris" : [ "http://www.mendeley.com/documents/?uuid=05251204-2c3f-4f50-b1ca-b9edb8541018" ] } ], "mendeley" : { "formattedCitation" : "(Kniesner et al. 2012)", "manualFormatting" : "Kniesner et al. (2012)", "plainTextFormattedCitation" : "(Kniesner et al. 2012)", "previouslyFormattedCitation" : "(Kniesner et al. 2012)" }, "properties" : { "noteIndex" : 14 }, "schema" : "https://github.com/citation-style-language/schema/raw/master/csl-citation.json" }</w:instrText>
      </w:r>
      <w:r w:rsidRPr="006704E2">
        <w:rPr>
          <w:rFonts w:ascii="Garamond" w:hAnsi="Garamond"/>
          <w:sz w:val="24"/>
          <w:szCs w:val="24"/>
        </w:rPr>
        <w:fldChar w:fldCharType="separate"/>
      </w:r>
      <w:r w:rsidRPr="006704E2">
        <w:rPr>
          <w:rFonts w:ascii="Garamond" w:hAnsi="Garamond"/>
          <w:noProof/>
          <w:sz w:val="24"/>
          <w:szCs w:val="24"/>
        </w:rPr>
        <w:t>Kniesner</w:t>
      </w:r>
      <w:proofErr w:type="spellEnd"/>
      <w:r w:rsidRPr="006704E2">
        <w:rPr>
          <w:rFonts w:ascii="Garamond" w:hAnsi="Garamond"/>
          <w:noProof/>
          <w:sz w:val="24"/>
          <w:szCs w:val="24"/>
        </w:rPr>
        <w:t xml:space="preserve"> et al. (2012)</w:t>
      </w:r>
      <w:r w:rsidRPr="006704E2">
        <w:rPr>
          <w:rFonts w:ascii="Garamond" w:hAnsi="Garamond"/>
          <w:sz w:val="24"/>
          <w:szCs w:val="24"/>
        </w:rPr>
        <w:fldChar w:fldCharType="end"/>
      </w:r>
      <w:r w:rsidRPr="006704E2">
        <w:rPr>
          <w:rFonts w:ascii="Garamond" w:hAnsi="Garamond"/>
          <w:sz w:val="24"/>
          <w:szCs w:val="24"/>
        </w:rPr>
        <w:t>. Total mortality costs estimates discussed in the main text are marked by bold fonts.</w:t>
      </w:r>
    </w:p>
    <w:p w14:paraId="1608623A" w14:textId="6401B748" w:rsidR="000E781E" w:rsidRPr="006704E2" w:rsidRDefault="000E781E" w:rsidP="000E781E">
      <w:pPr>
        <w:rPr>
          <w:rFonts w:ascii="Garamond" w:hAnsi="Garamond"/>
          <w:sz w:val="24"/>
          <w:szCs w:val="24"/>
        </w:rPr>
      </w:pPr>
      <w:r w:rsidRPr="006704E2">
        <w:rPr>
          <w:rFonts w:ascii="Garamond" w:hAnsi="Garamond"/>
          <w:sz w:val="24"/>
          <w:szCs w:val="24"/>
        </w:rPr>
        <w:br w:type="page"/>
      </w:r>
    </w:p>
    <w:p w14:paraId="799D7B2A" w14:textId="77777777" w:rsidR="002266F2" w:rsidRPr="006704E2" w:rsidRDefault="002266F2" w:rsidP="00597B56">
      <w:pPr>
        <w:pStyle w:val="Heading2"/>
        <w:numPr>
          <w:ilvl w:val="1"/>
          <w:numId w:val="17"/>
        </w:numPr>
        <w:spacing w:line="480" w:lineRule="auto"/>
        <w:rPr>
          <w:rFonts w:ascii="Garamond" w:hAnsi="Garamond"/>
          <w:color w:val="auto"/>
        </w:rPr>
      </w:pPr>
      <w:bookmarkStart w:id="16" w:name="_Toc392863192"/>
      <w:r w:rsidRPr="006704E2">
        <w:rPr>
          <w:rFonts w:ascii="Garamond" w:hAnsi="Garamond"/>
          <w:color w:val="auto"/>
        </w:rPr>
        <w:lastRenderedPageBreak/>
        <w:t>Age-based &amp; Year-Specific Daily Production Value</w:t>
      </w:r>
      <w:bookmarkEnd w:id="16"/>
    </w:p>
    <w:p w14:paraId="298AEC27" w14:textId="77777777" w:rsidR="00600B80" w:rsidRPr="006704E2" w:rsidRDefault="00600B80" w:rsidP="00597B56">
      <w:pPr>
        <w:pStyle w:val="Heading3"/>
        <w:numPr>
          <w:ilvl w:val="2"/>
          <w:numId w:val="17"/>
        </w:numPr>
        <w:spacing w:line="480" w:lineRule="auto"/>
        <w:ind w:firstLine="0"/>
        <w:rPr>
          <w:rFonts w:ascii="Garamond" w:hAnsi="Garamond"/>
          <w:color w:val="auto"/>
        </w:rPr>
      </w:pPr>
      <w:bookmarkStart w:id="17" w:name="_Toc392863193"/>
      <w:r w:rsidRPr="006704E2">
        <w:rPr>
          <w:rFonts w:ascii="Garamond" w:hAnsi="Garamond"/>
          <w:color w:val="auto"/>
        </w:rPr>
        <w:t>Method</w:t>
      </w:r>
      <w:bookmarkEnd w:id="17"/>
    </w:p>
    <w:p w14:paraId="27E03468" w14:textId="56A9BC45" w:rsidR="00261DED" w:rsidRPr="006704E2" w:rsidRDefault="00600B80" w:rsidP="00261DED">
      <w:pPr>
        <w:spacing w:line="480" w:lineRule="auto"/>
        <w:ind w:left="720"/>
        <w:rPr>
          <w:rFonts w:ascii="Garamond" w:hAnsi="Garamond"/>
          <w:sz w:val="24"/>
          <w:szCs w:val="24"/>
        </w:rPr>
      </w:pPr>
      <w:r w:rsidRPr="006704E2">
        <w:rPr>
          <w:rFonts w:ascii="Garamond" w:hAnsi="Garamond"/>
          <w:sz w:val="24"/>
          <w:szCs w:val="24"/>
        </w:rPr>
        <w:t xml:space="preserve">The daily production value is based on </w:t>
      </w:r>
      <w:r w:rsidR="00944613" w:rsidRPr="006704E2">
        <w:rPr>
          <w:rFonts w:ascii="Garamond" w:hAnsi="Garamond"/>
          <w:sz w:val="24"/>
          <w:szCs w:val="24"/>
        </w:rPr>
        <w:fldChar w:fldCharType="begin" w:fldLock="1"/>
      </w:r>
      <w:r w:rsidR="009F0BBB" w:rsidRPr="006704E2">
        <w:rPr>
          <w:rFonts w:ascii="Garamond" w:hAnsi="Garamond"/>
          <w:sz w:val="24"/>
          <w:szCs w:val="24"/>
        </w:rPr>
        <w:instrText>ADDIN CSL_CITATION { "citationItems" : [ { "id" : "ITEM-1", "itemData" : { "DOI" : "10.1097/MLR.0b013e31819c9571", "ISBN" : "0025-7079", "ISSN" : "1537-1948", "PMID" : "19536021", "abstract" : "BACKGROUND: Human capital estimates of labor productivity are often used to estimate the economic impact of diseases and injuries that cause incapacitation or death. OBJECTIVES: Estimates of average hourly, annual, and lifetime economic productivity, both market and household, were calculated in 2007 US dollars for 5-year age groups for men, women, and both sexes in the United States. RESEARCH DESIGN: Data from the American Time Use Survey were used to estimate hours of paid work and household services and hourly and annual earnings and household productivity. Present values of discounted lifetime earnings were calculated for each age group using the 2004 US life tables and a discount rate of 3% per year and assuming future productivity growth of 1% per year. SUBJECTS: The estimates of hours and productivity were calculated using the time diaries of 72,922 persons included in the American Time Use Survey for the years 2003 to 2007. RESULTS: The present value of lifetime productivity is approximately $1.2 million in 2007 dollars for children under 5 years of age. For adults in their 20s and 30s, it is approximately $1.6 million and then it declines with increasing age. Productivity estimates are higher for males than for females, more for market productivity than for total productivity. CONCLUSIONS: Changes in hours of paid employment and household services can affect economic productivity by age and sex. This is the first publication to include estimates of household services based on contemporary time use data for the US population.", "author" : [ { "dropping-particle" : "", "family" : "Grosse", "given" : "Scott D", "non-dropping-particle" : "", "parse-names" : false, "suffix" : "" }, { "dropping-particle" : "V", "family" : "Krueger", "given" : "Kurt", "non-dropping-particle" : "", "parse-names" : false, "suffix" : "" }, { "dropping-particle" : "", "family" : "Mvundura", "given" : "Mercy", "non-dropping-particle" : "", "parse-names" : false, "suffix" : "" } ], "container-title" : "Medical care", "id" : "ITEM-1", "issue" : "7 Suppl 1", "issued" : { "date-parts" : [ [ "2009" ] ] }, "page" : "S94-S103", "title" : "Economic productivity by age and sex: 2007 estimates for the United States.", "type" : "article-journal", "volume" : "47" }, "uris" : [ "http://www.mendeley.com/documents/?uuid=e1f0984f-48d5-4c32-96e3-29c890776422" ] } ], "mendeley" : { "formattedCitation" : "(Grosse et al. 2009)", "manualFormatting" : "Grosse et al. (2009)", "plainTextFormattedCitation" : "(Grosse et al. 2009)", "previouslyFormattedCitation" : "(Grosse et al. 2009)" }, "properties" : { "noteIndex" : 16 }, "schema" : "https://github.com/citation-style-language/schema/raw/master/csl-citation.json" }</w:instrText>
      </w:r>
      <w:r w:rsidR="00944613" w:rsidRPr="006704E2">
        <w:rPr>
          <w:rFonts w:ascii="Garamond" w:hAnsi="Garamond"/>
          <w:sz w:val="24"/>
          <w:szCs w:val="24"/>
        </w:rPr>
        <w:fldChar w:fldCharType="separate"/>
      </w:r>
      <w:r w:rsidR="00944613" w:rsidRPr="006704E2">
        <w:rPr>
          <w:rFonts w:ascii="Garamond" w:hAnsi="Garamond"/>
          <w:noProof/>
          <w:sz w:val="24"/>
          <w:szCs w:val="24"/>
        </w:rPr>
        <w:t>Grosse et al. (2009)</w:t>
      </w:r>
      <w:r w:rsidR="00944613" w:rsidRPr="006704E2">
        <w:rPr>
          <w:rFonts w:ascii="Garamond" w:hAnsi="Garamond"/>
          <w:sz w:val="24"/>
          <w:szCs w:val="24"/>
        </w:rPr>
        <w:fldChar w:fldCharType="end"/>
      </w:r>
      <w:r w:rsidR="00944613" w:rsidRPr="006704E2">
        <w:rPr>
          <w:rFonts w:ascii="Garamond" w:hAnsi="Garamond"/>
          <w:sz w:val="24"/>
          <w:szCs w:val="24"/>
        </w:rPr>
        <w:t xml:space="preserve"> </w:t>
      </w:r>
      <w:r w:rsidRPr="006704E2">
        <w:rPr>
          <w:rFonts w:ascii="Garamond" w:hAnsi="Garamond"/>
          <w:sz w:val="24"/>
          <w:szCs w:val="24"/>
        </w:rPr>
        <w:t xml:space="preserve">titled “Economic Productivity by Age and Sex </w:t>
      </w:r>
      <w:r w:rsidRPr="006704E2">
        <w:rPr>
          <w:rFonts w:ascii="Garamond" w:hAnsi="Garamond"/>
          <w:i/>
          <w:sz w:val="24"/>
          <w:szCs w:val="24"/>
        </w:rPr>
        <w:t>2007 Estimates for the United States</w:t>
      </w:r>
      <w:r w:rsidRPr="006704E2">
        <w:rPr>
          <w:rFonts w:ascii="Garamond" w:hAnsi="Garamond"/>
          <w:sz w:val="24"/>
          <w:szCs w:val="24"/>
        </w:rPr>
        <w:t xml:space="preserve">”. In their study, DPV is the sum of daily market compensation (from working at a job) and household service daily value (e.g. </w:t>
      </w:r>
      <w:r w:rsidR="002D4313" w:rsidRPr="006704E2">
        <w:rPr>
          <w:rFonts w:ascii="Garamond" w:hAnsi="Garamond"/>
          <w:sz w:val="24"/>
          <w:szCs w:val="24"/>
        </w:rPr>
        <w:t>household management</w:t>
      </w:r>
      <w:r w:rsidR="002F10FB" w:rsidRPr="006704E2">
        <w:rPr>
          <w:rFonts w:ascii="Garamond" w:hAnsi="Garamond"/>
          <w:sz w:val="24"/>
          <w:szCs w:val="24"/>
        </w:rPr>
        <w:t>). Here, we convert DPV for other years using the following equation:</w:t>
      </w:r>
    </w:p>
    <w:p w14:paraId="3AE2792D" w14:textId="3599A5A5" w:rsidR="00E95826" w:rsidRPr="006704E2" w:rsidRDefault="005D0E13" w:rsidP="00E95826">
      <w:pPr>
        <w:spacing w:line="480" w:lineRule="auto"/>
        <w:ind w:left="720"/>
        <w:rPr>
          <w:rFonts w:ascii="Garamond" w:eastAsiaTheme="minorEastAsia" w:hAnsi="Garamond"/>
          <w:sz w:val="24"/>
          <w:szCs w:val="24"/>
        </w:rPr>
      </w:pPr>
      <m:oMathPara>
        <m:oMath>
          <m:m>
            <m:mPr>
              <m:mcs>
                <m:mc>
                  <m:mcPr>
                    <m:count m:val="1"/>
                    <m:mcJc m:val="center"/>
                  </m:mcPr>
                </m:mc>
                <m:mc>
                  <m:mcPr>
                    <m:count m:val="1"/>
                    <m:mcJc m:val="left"/>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DPV</m:t>
                    </m:r>
                  </m:e>
                  <m:sub>
                    <m:r>
                      <w:rPr>
                        <w:rFonts w:ascii="Cambria Math" w:hAnsi="Cambria Math"/>
                        <w:sz w:val="24"/>
                        <w:szCs w:val="24"/>
                      </w:rPr>
                      <m:t>year</m:t>
                    </m:r>
                  </m:sub>
                </m:sSub>
                <m:d>
                  <m:dPr>
                    <m:ctrlPr>
                      <w:rPr>
                        <w:rFonts w:ascii="Cambria Math" w:hAnsi="Cambria Math"/>
                        <w:i/>
                        <w:sz w:val="24"/>
                        <w:szCs w:val="24"/>
                      </w:rPr>
                    </m:ctrlPr>
                  </m:dPr>
                  <m:e>
                    <m:r>
                      <w:rPr>
                        <w:rFonts w:ascii="Cambria Math" w:hAnsi="Cambria Math"/>
                        <w:sz w:val="24"/>
                        <w:szCs w:val="24"/>
                      </w:rPr>
                      <m:t>$2016</m:t>
                    </m:r>
                  </m:e>
                </m:d>
              </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DPV</m:t>
                    </m:r>
                  </m:e>
                  <m:sub>
                    <m:r>
                      <w:rPr>
                        <w:rFonts w:ascii="Cambria Math" w:hAnsi="Cambria Math"/>
                        <w:sz w:val="24"/>
                        <w:szCs w:val="24"/>
                      </w:rPr>
                      <m:t>2007</m:t>
                    </m:r>
                  </m:sub>
                </m:sSub>
                <m:d>
                  <m:dPr>
                    <m:ctrlPr>
                      <w:rPr>
                        <w:rFonts w:ascii="Cambria Math" w:hAnsi="Cambria Math"/>
                        <w:i/>
                        <w:sz w:val="24"/>
                        <w:szCs w:val="24"/>
                      </w:rPr>
                    </m:ctrlPr>
                  </m:dPr>
                  <m:e>
                    <m:r>
                      <w:rPr>
                        <w:rFonts w:ascii="Cambria Math" w:hAnsi="Cambria Math"/>
                        <w:sz w:val="24"/>
                        <w:szCs w:val="24"/>
                      </w:rPr>
                      <m:t>$2007</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year</m:t>
                        </m:r>
                      </m:sub>
                    </m:sSub>
                  </m:num>
                  <m:den>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2007</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2016</m:t>
                        </m:r>
                      </m:sub>
                    </m:sSub>
                  </m:num>
                  <m:den>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year</m:t>
                        </m:r>
                      </m:sub>
                    </m:sSub>
                  </m:den>
                </m:f>
              </m:e>
            </m:mr>
            <m:mr>
              <m:e>
                <m:r>
                  <w:rPr>
                    <w:rFonts w:ascii="Cambria Math" w:hAnsi="Cambria Math"/>
                    <w:sz w:val="24"/>
                    <w:szCs w:val="24"/>
                  </w:rPr>
                  <m:t xml:space="preserve"> </m:t>
                </m:r>
              </m:e>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DPV</m:t>
                    </m:r>
                  </m:e>
                  <m:sub>
                    <m:r>
                      <w:rPr>
                        <w:rFonts w:ascii="Cambria Math" w:hAnsi="Cambria Math"/>
                        <w:sz w:val="24"/>
                        <w:szCs w:val="24"/>
                      </w:rPr>
                      <m:t>2007</m:t>
                    </m:r>
                  </m:sub>
                </m:sSub>
                <m:d>
                  <m:dPr>
                    <m:ctrlPr>
                      <w:rPr>
                        <w:rFonts w:ascii="Cambria Math" w:hAnsi="Cambria Math"/>
                        <w:i/>
                        <w:sz w:val="24"/>
                        <w:szCs w:val="24"/>
                      </w:rPr>
                    </m:ctrlPr>
                  </m:dPr>
                  <m:e>
                    <m:r>
                      <w:rPr>
                        <w:rFonts w:ascii="Cambria Math" w:hAnsi="Cambria Math"/>
                        <w:sz w:val="24"/>
                        <w:szCs w:val="24"/>
                      </w:rPr>
                      <m:t>$2007</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2016</m:t>
                        </m:r>
                      </m:sub>
                    </m:sSub>
                  </m:num>
                  <m:den>
                    <m:sSub>
                      <m:sSubPr>
                        <m:ctrlPr>
                          <w:rPr>
                            <w:rFonts w:ascii="Cambria Math" w:hAnsi="Cambria Math"/>
                            <w:i/>
                            <w:sz w:val="24"/>
                            <w:szCs w:val="24"/>
                          </w:rPr>
                        </m:ctrlPr>
                      </m:sSubPr>
                      <m:e>
                        <m:r>
                          <w:rPr>
                            <w:rFonts w:ascii="Cambria Math" w:hAnsi="Cambria Math"/>
                            <w:sz w:val="24"/>
                            <w:szCs w:val="24"/>
                          </w:rPr>
                          <m:t>CPI</m:t>
                        </m:r>
                      </m:e>
                      <m:sub>
                        <m:r>
                          <w:rPr>
                            <w:rFonts w:ascii="Cambria Math" w:hAnsi="Cambria Math"/>
                            <w:sz w:val="24"/>
                            <w:szCs w:val="24"/>
                          </w:rPr>
                          <m:t>2007</m:t>
                        </m:r>
                      </m:sub>
                    </m:sSub>
                  </m:den>
                </m:f>
              </m:e>
            </m:mr>
          </m:m>
        </m:oMath>
      </m:oMathPara>
    </w:p>
    <w:p w14:paraId="7DB98D28" w14:textId="36A005A7" w:rsidR="009F0BBB" w:rsidRPr="006704E2" w:rsidRDefault="009F0BBB" w:rsidP="00E95826">
      <w:pPr>
        <w:spacing w:line="480" w:lineRule="auto"/>
        <w:ind w:left="720"/>
        <w:rPr>
          <w:rFonts w:ascii="Garamond" w:eastAsiaTheme="minorEastAsia" w:hAnsi="Garamond"/>
          <w:sz w:val="24"/>
          <w:szCs w:val="24"/>
        </w:rPr>
      </w:pPr>
      <w:r w:rsidRPr="006704E2">
        <w:rPr>
          <w:rFonts w:ascii="Garamond" w:eastAsiaTheme="minorEastAsia" w:hAnsi="Garamond"/>
          <w:sz w:val="24"/>
          <w:szCs w:val="24"/>
        </w:rPr>
        <w:t xml:space="preserve">This section continues to use the CPI values identified above from the U.S. Bureau of Labor Statistics </w:t>
      </w:r>
      <w:r w:rsidRPr="006704E2">
        <w:rPr>
          <w:rFonts w:ascii="Garamond" w:eastAsiaTheme="minorEastAsia" w:hAnsi="Garamond"/>
          <w:sz w:val="24"/>
          <w:szCs w:val="24"/>
        </w:rPr>
        <w:fldChar w:fldCharType="begin" w:fldLock="1"/>
      </w:r>
      <w:r w:rsidR="00FE44BF" w:rsidRPr="006704E2">
        <w:rPr>
          <w:rFonts w:ascii="Garamond" w:eastAsiaTheme="minorEastAsia" w:hAnsi="Garamond"/>
          <w:sz w:val="24"/>
          <w:szCs w:val="24"/>
        </w:rPr>
        <w:instrText>ADDIN CSL_CITATION { "citationItems" : [ { "id" : "ITEM-1", "itemData" : { "author" : [ { "dropping-particle" : "", "family" : "U.S. Bureau of Labor Statistics", "given" : "", "non-dropping-particle" : "", "parse-names" : false, "suffix" : "" } ], "id" : "ITEM-1", "issued" : { "date-parts" : [ [ "2017" ] ] }, "publisher-place" : "Washington, DC", "title" : "Consumer Price Index Historical Table, Minneapolis-St. Paul", "type" : "report" }, "uris" : [ "http://www.mendeley.com/documents/?uuid=8e7c2db8-c6ce-31d9-9655-f61bf46c9e9e" ] } ], "mendeley" : { "formattedCitation" : "(U.S. Bureau of Labor Statistics 2017)", "plainTextFormattedCitation" : "(U.S. Bureau of Labor Statistics 2017)", "previouslyFormattedCitation" : "(U.S. Bureau of Labor Statistics 2017)" }, "properties" : { "noteIndex" : 16 }, "schema" : "https://github.com/citation-style-language/schema/raw/master/csl-citation.json" }</w:instrText>
      </w:r>
      <w:r w:rsidRPr="006704E2">
        <w:rPr>
          <w:rFonts w:ascii="Garamond" w:eastAsiaTheme="minorEastAsia" w:hAnsi="Garamond"/>
          <w:sz w:val="24"/>
          <w:szCs w:val="24"/>
        </w:rPr>
        <w:fldChar w:fldCharType="separate"/>
      </w:r>
      <w:r w:rsidRPr="006704E2">
        <w:rPr>
          <w:rFonts w:ascii="Garamond" w:eastAsiaTheme="minorEastAsia" w:hAnsi="Garamond"/>
          <w:noProof/>
          <w:sz w:val="24"/>
          <w:szCs w:val="24"/>
        </w:rPr>
        <w:t>(U.S. Bureau of Labor Statistics 2017)</w:t>
      </w:r>
      <w:r w:rsidRPr="006704E2">
        <w:rPr>
          <w:rFonts w:ascii="Garamond" w:eastAsiaTheme="minorEastAsia" w:hAnsi="Garamond"/>
          <w:sz w:val="24"/>
          <w:szCs w:val="24"/>
        </w:rPr>
        <w:fldChar w:fldCharType="end"/>
      </w:r>
      <w:r w:rsidRPr="006704E2">
        <w:rPr>
          <w:rFonts w:ascii="Garamond" w:eastAsiaTheme="minorEastAsia" w:hAnsi="Garamond"/>
          <w:sz w:val="24"/>
          <w:szCs w:val="24"/>
        </w:rPr>
        <w:t>.</w:t>
      </w:r>
      <w:r w:rsidR="00593998">
        <w:rPr>
          <w:rFonts w:ascii="Garamond" w:eastAsiaTheme="minorEastAsia" w:hAnsi="Garamond"/>
          <w:sz w:val="24"/>
          <w:szCs w:val="24"/>
        </w:rPr>
        <w:t xml:space="preserve"> The term “$year” represents the USD value during that corresponding year.</w:t>
      </w:r>
    </w:p>
    <w:p w14:paraId="6D9DF8E8" w14:textId="77777777" w:rsidR="009F0BBB" w:rsidRPr="006704E2" w:rsidRDefault="009F0BBB" w:rsidP="00E95826">
      <w:pPr>
        <w:spacing w:line="480" w:lineRule="auto"/>
        <w:ind w:left="720"/>
        <w:rPr>
          <w:rFonts w:ascii="Garamond" w:eastAsiaTheme="minorEastAsia" w:hAnsi="Garamond"/>
          <w:sz w:val="24"/>
          <w:szCs w:val="24"/>
        </w:rPr>
      </w:pPr>
    </w:p>
    <w:p w14:paraId="46C95A4A" w14:textId="2A5906DE" w:rsidR="00EB054E" w:rsidRPr="006704E2" w:rsidRDefault="00E95826" w:rsidP="00E95826">
      <w:pPr>
        <w:rPr>
          <w:rFonts w:ascii="Garamond" w:eastAsiaTheme="minorEastAsia" w:hAnsi="Garamond"/>
          <w:sz w:val="24"/>
          <w:szCs w:val="24"/>
        </w:rPr>
      </w:pPr>
      <w:r w:rsidRPr="006704E2">
        <w:rPr>
          <w:rFonts w:ascii="Garamond" w:eastAsiaTheme="minorEastAsia" w:hAnsi="Garamond"/>
          <w:sz w:val="24"/>
          <w:szCs w:val="24"/>
        </w:rPr>
        <w:br w:type="page"/>
      </w:r>
    </w:p>
    <w:p w14:paraId="10DF70FE" w14:textId="7D90213B" w:rsidR="00C864DD" w:rsidRPr="006704E2" w:rsidRDefault="002F10FB" w:rsidP="00597B56">
      <w:pPr>
        <w:pStyle w:val="Heading3"/>
        <w:numPr>
          <w:ilvl w:val="2"/>
          <w:numId w:val="17"/>
        </w:numPr>
        <w:ind w:firstLine="0"/>
        <w:rPr>
          <w:rFonts w:ascii="Garamond" w:hAnsi="Garamond"/>
          <w:color w:val="auto"/>
        </w:rPr>
      </w:pPr>
      <w:bookmarkStart w:id="18" w:name="_Toc392863194"/>
      <w:r w:rsidRPr="006704E2">
        <w:rPr>
          <w:rFonts w:ascii="Garamond" w:hAnsi="Garamond"/>
          <w:color w:val="auto"/>
        </w:rPr>
        <w:lastRenderedPageBreak/>
        <w:t>DPV by Age Groups</w:t>
      </w:r>
      <w:bookmarkEnd w:id="18"/>
    </w:p>
    <w:p w14:paraId="1D57C98D" w14:textId="77777777" w:rsidR="002F10FB" w:rsidRPr="006704E2" w:rsidRDefault="002F10FB" w:rsidP="002F10FB">
      <w:pPr>
        <w:rPr>
          <w:rFonts w:ascii="Garamond" w:hAnsi="Garamond"/>
        </w:rPr>
      </w:pPr>
    </w:p>
    <w:tbl>
      <w:tblPr>
        <w:tblW w:w="0" w:type="auto"/>
        <w:jc w:val="center"/>
        <w:tblCellMar>
          <w:left w:w="0" w:type="dxa"/>
          <w:right w:w="0" w:type="dxa"/>
        </w:tblCellMar>
        <w:tblLook w:val="04A0" w:firstRow="1" w:lastRow="0" w:firstColumn="1" w:lastColumn="0" w:noHBand="0" w:noVBand="1"/>
      </w:tblPr>
      <w:tblGrid>
        <w:gridCol w:w="615"/>
        <w:gridCol w:w="3221"/>
        <w:gridCol w:w="1378"/>
        <w:gridCol w:w="2415"/>
      </w:tblGrid>
      <w:tr w:rsidR="00EB054E" w:rsidRPr="006704E2" w14:paraId="1E375F38" w14:textId="77777777" w:rsidTr="00013628">
        <w:trPr>
          <w:trHeight w:val="315"/>
          <w:jc w:val="center"/>
        </w:trPr>
        <w:tc>
          <w:tcPr>
            <w:tcW w:w="0" w:type="auto"/>
            <w:tcBorders>
              <w:bottom w:val="single" w:sz="4" w:space="0" w:color="auto"/>
              <w:right w:val="single" w:sz="4" w:space="0" w:color="auto"/>
            </w:tcBorders>
            <w:tcMar>
              <w:top w:w="30" w:type="dxa"/>
              <w:left w:w="45" w:type="dxa"/>
              <w:bottom w:w="30" w:type="dxa"/>
              <w:right w:w="45" w:type="dxa"/>
            </w:tcMar>
            <w:vAlign w:val="center"/>
            <w:hideMark/>
          </w:tcPr>
          <w:p w14:paraId="66FE6A28" w14:textId="77777777" w:rsidR="00EB054E" w:rsidRPr="006704E2" w:rsidRDefault="00EB054E" w:rsidP="00EB054E">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Age</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93B6EFA" w14:textId="77777777" w:rsidR="00EB054E" w:rsidRPr="006704E2" w:rsidRDefault="00EB054E" w:rsidP="00EB054E">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Proportion of Total Population</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81D3C9F" w14:textId="77777777" w:rsidR="00EB054E" w:rsidRPr="006704E2" w:rsidRDefault="00EB054E" w:rsidP="00EB054E">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DPV ($2007)</w:t>
            </w:r>
          </w:p>
        </w:tc>
        <w:tc>
          <w:tcPr>
            <w:tcW w:w="0" w:type="auto"/>
            <w:tcBorders>
              <w:left w:val="single" w:sz="4" w:space="0" w:color="auto"/>
              <w:bottom w:val="single" w:sz="4" w:space="0" w:color="auto"/>
            </w:tcBorders>
            <w:tcMar>
              <w:top w:w="30" w:type="dxa"/>
              <w:left w:w="45" w:type="dxa"/>
              <w:bottom w:w="30" w:type="dxa"/>
              <w:right w:w="45" w:type="dxa"/>
            </w:tcMar>
            <w:vAlign w:val="center"/>
            <w:hideMark/>
          </w:tcPr>
          <w:p w14:paraId="64AB6465" w14:textId="77777777" w:rsidR="00EB054E" w:rsidRPr="006704E2" w:rsidRDefault="00EB054E" w:rsidP="00EB054E">
            <w:pPr>
              <w:spacing w:after="0" w:line="240" w:lineRule="auto"/>
              <w:jc w:val="center"/>
              <w:rPr>
                <w:rFonts w:ascii="Garamond" w:eastAsia="Times New Roman" w:hAnsi="Garamond" w:cs="Times New Roman"/>
                <w:b/>
                <w:sz w:val="24"/>
                <w:szCs w:val="24"/>
              </w:rPr>
            </w:pPr>
            <w:r w:rsidRPr="006704E2">
              <w:rPr>
                <w:rFonts w:ascii="Garamond" w:eastAsia="Times New Roman" w:hAnsi="Garamond" w:cs="Times New Roman"/>
                <w:b/>
                <w:sz w:val="24"/>
                <w:szCs w:val="24"/>
              </w:rPr>
              <w:t xml:space="preserve">Weighted DPV </w:t>
            </w:r>
            <w:r w:rsidR="00CA2D0D" w:rsidRPr="006704E2">
              <w:rPr>
                <w:rFonts w:ascii="Garamond" w:eastAsia="Times New Roman" w:hAnsi="Garamond" w:cs="Times New Roman"/>
                <w:b/>
                <w:sz w:val="24"/>
                <w:szCs w:val="24"/>
              </w:rPr>
              <w:t>($2007)</w:t>
            </w:r>
          </w:p>
        </w:tc>
      </w:tr>
      <w:tr w:rsidR="00EB054E" w:rsidRPr="006704E2" w14:paraId="28709C93" w14:textId="77777777" w:rsidTr="00013628">
        <w:trPr>
          <w:trHeight w:val="315"/>
          <w:jc w:val="center"/>
        </w:trPr>
        <w:tc>
          <w:tcPr>
            <w:tcW w:w="0" w:type="auto"/>
            <w:tcBorders>
              <w:top w:val="single" w:sz="4" w:space="0" w:color="auto"/>
              <w:right w:val="single" w:sz="4" w:space="0" w:color="auto"/>
            </w:tcBorders>
            <w:tcMar>
              <w:top w:w="30" w:type="dxa"/>
              <w:left w:w="45" w:type="dxa"/>
              <w:bottom w:w="30" w:type="dxa"/>
              <w:right w:w="45" w:type="dxa"/>
            </w:tcMar>
            <w:vAlign w:val="center"/>
            <w:hideMark/>
          </w:tcPr>
          <w:p w14:paraId="4D4CA9BB"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0-4</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1118423A"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7.3</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6AB175FF"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w:t>
            </w:r>
          </w:p>
        </w:tc>
        <w:tc>
          <w:tcPr>
            <w:tcW w:w="0" w:type="auto"/>
            <w:vMerge w:val="restart"/>
            <w:tcBorders>
              <w:top w:val="single" w:sz="4" w:space="0" w:color="auto"/>
              <w:left w:val="single" w:sz="4" w:space="0" w:color="auto"/>
            </w:tcBorders>
            <w:tcMar>
              <w:top w:w="30" w:type="dxa"/>
              <w:left w:w="45" w:type="dxa"/>
              <w:bottom w:w="30" w:type="dxa"/>
              <w:right w:w="45" w:type="dxa"/>
            </w:tcMar>
            <w:vAlign w:val="center"/>
            <w:hideMark/>
          </w:tcPr>
          <w:p w14:paraId="3508AA0E"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8.74</w:t>
            </w:r>
          </w:p>
        </w:tc>
      </w:tr>
      <w:tr w:rsidR="00EB054E" w:rsidRPr="006704E2" w14:paraId="5247081E"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33383CE"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6A54257D"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392F1A55"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w:t>
            </w:r>
          </w:p>
        </w:tc>
        <w:tc>
          <w:tcPr>
            <w:tcW w:w="0" w:type="auto"/>
            <w:vMerge/>
            <w:tcBorders>
              <w:left w:val="single" w:sz="4" w:space="0" w:color="auto"/>
            </w:tcBorders>
            <w:vAlign w:val="center"/>
            <w:hideMark/>
          </w:tcPr>
          <w:p w14:paraId="5F120B44"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1C04E778"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A0F4DA1"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10-14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821CE17"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13EC0F77"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w:t>
            </w:r>
          </w:p>
        </w:tc>
        <w:tc>
          <w:tcPr>
            <w:tcW w:w="0" w:type="auto"/>
            <w:vMerge/>
            <w:tcBorders>
              <w:left w:val="single" w:sz="4" w:space="0" w:color="auto"/>
            </w:tcBorders>
            <w:vAlign w:val="center"/>
            <w:hideMark/>
          </w:tcPr>
          <w:p w14:paraId="621A0A2A"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2C02E2FA" w14:textId="77777777" w:rsidTr="00013628">
        <w:trPr>
          <w:trHeight w:val="315"/>
          <w:jc w:val="center"/>
        </w:trPr>
        <w:tc>
          <w:tcPr>
            <w:tcW w:w="0" w:type="auto"/>
            <w:tcBorders>
              <w:bottom w:val="single" w:sz="4" w:space="0" w:color="auto"/>
              <w:right w:val="single" w:sz="4" w:space="0" w:color="auto"/>
            </w:tcBorders>
            <w:tcMar>
              <w:top w:w="30" w:type="dxa"/>
              <w:left w:w="45" w:type="dxa"/>
              <w:bottom w:w="30" w:type="dxa"/>
              <w:right w:w="45" w:type="dxa"/>
            </w:tcMar>
            <w:vAlign w:val="center"/>
            <w:hideMark/>
          </w:tcPr>
          <w:p w14:paraId="0330A3E4"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15-19</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C0C0544"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432FEAF"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30.73</w:t>
            </w:r>
          </w:p>
        </w:tc>
        <w:tc>
          <w:tcPr>
            <w:tcW w:w="0" w:type="auto"/>
            <w:vMerge/>
            <w:tcBorders>
              <w:left w:val="single" w:sz="4" w:space="0" w:color="auto"/>
              <w:bottom w:val="single" w:sz="4" w:space="0" w:color="auto"/>
            </w:tcBorders>
            <w:vAlign w:val="center"/>
            <w:hideMark/>
          </w:tcPr>
          <w:p w14:paraId="63616F97"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7D71544B" w14:textId="77777777" w:rsidTr="00013628">
        <w:trPr>
          <w:trHeight w:val="315"/>
          <w:jc w:val="center"/>
        </w:trPr>
        <w:tc>
          <w:tcPr>
            <w:tcW w:w="0" w:type="auto"/>
            <w:tcBorders>
              <w:top w:val="single" w:sz="4" w:space="0" w:color="auto"/>
              <w:right w:val="single" w:sz="4" w:space="0" w:color="auto"/>
            </w:tcBorders>
            <w:tcMar>
              <w:top w:w="30" w:type="dxa"/>
              <w:left w:w="45" w:type="dxa"/>
              <w:bottom w:w="30" w:type="dxa"/>
              <w:right w:w="45" w:type="dxa"/>
            </w:tcMar>
            <w:vAlign w:val="center"/>
            <w:hideMark/>
          </w:tcPr>
          <w:p w14:paraId="05CA529C"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20-24</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3DCFF095"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9.7</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6D4D49A9"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90.19</w:t>
            </w:r>
          </w:p>
        </w:tc>
        <w:tc>
          <w:tcPr>
            <w:tcW w:w="0" w:type="auto"/>
            <w:vMerge w:val="restart"/>
            <w:tcBorders>
              <w:top w:val="single" w:sz="4" w:space="0" w:color="auto"/>
              <w:left w:val="single" w:sz="4" w:space="0" w:color="auto"/>
            </w:tcBorders>
            <w:tcMar>
              <w:top w:w="30" w:type="dxa"/>
              <w:left w:w="45" w:type="dxa"/>
              <w:bottom w:w="30" w:type="dxa"/>
              <w:right w:w="45" w:type="dxa"/>
            </w:tcMar>
            <w:vAlign w:val="center"/>
            <w:hideMark/>
          </w:tcPr>
          <w:p w14:paraId="490FC7D0"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175.78</w:t>
            </w:r>
          </w:p>
        </w:tc>
      </w:tr>
      <w:tr w:rsidR="00EB054E" w:rsidRPr="006704E2" w14:paraId="2CF5A9CB"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7FBBCA5C"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25-29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624F3B35"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9.1</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149F4FFA"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152.69</w:t>
            </w:r>
          </w:p>
        </w:tc>
        <w:tc>
          <w:tcPr>
            <w:tcW w:w="0" w:type="auto"/>
            <w:vMerge/>
            <w:tcBorders>
              <w:left w:val="single" w:sz="4" w:space="0" w:color="auto"/>
            </w:tcBorders>
            <w:vAlign w:val="center"/>
            <w:hideMark/>
          </w:tcPr>
          <w:p w14:paraId="3ECBD6A1"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2FCE96EC"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677F9946"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30-34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5280C0A"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9.1</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C62ADE8"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190.86</w:t>
            </w:r>
          </w:p>
        </w:tc>
        <w:tc>
          <w:tcPr>
            <w:tcW w:w="0" w:type="auto"/>
            <w:vMerge/>
            <w:tcBorders>
              <w:left w:val="single" w:sz="4" w:space="0" w:color="auto"/>
            </w:tcBorders>
            <w:vAlign w:val="center"/>
            <w:hideMark/>
          </w:tcPr>
          <w:p w14:paraId="40B661B1"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545A2E19"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2380AA7C"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35-39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1A192D38"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7.95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52E86C79"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209.24</w:t>
            </w:r>
          </w:p>
        </w:tc>
        <w:tc>
          <w:tcPr>
            <w:tcW w:w="0" w:type="auto"/>
            <w:vMerge/>
            <w:tcBorders>
              <w:left w:val="single" w:sz="4" w:space="0" w:color="auto"/>
            </w:tcBorders>
            <w:vAlign w:val="center"/>
            <w:hideMark/>
          </w:tcPr>
          <w:p w14:paraId="39964176"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6B450F2A"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22A753F2"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40-44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84C1CBF"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7.95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6AF776D8"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212.71</w:t>
            </w:r>
          </w:p>
        </w:tc>
        <w:tc>
          <w:tcPr>
            <w:tcW w:w="0" w:type="auto"/>
            <w:vMerge/>
            <w:tcBorders>
              <w:left w:val="single" w:sz="4" w:space="0" w:color="auto"/>
            </w:tcBorders>
            <w:vAlign w:val="center"/>
            <w:hideMark/>
          </w:tcPr>
          <w:p w14:paraId="329723CC"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43556513"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5363B817"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45-49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339A31AF"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7.05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3D70CC8F"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211.71</w:t>
            </w:r>
          </w:p>
        </w:tc>
        <w:tc>
          <w:tcPr>
            <w:tcW w:w="0" w:type="auto"/>
            <w:vMerge/>
            <w:tcBorders>
              <w:left w:val="single" w:sz="4" w:space="0" w:color="auto"/>
            </w:tcBorders>
            <w:vAlign w:val="center"/>
            <w:hideMark/>
          </w:tcPr>
          <w:p w14:paraId="2B645674"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35394B7B"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3E1367F0"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50-54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9873A75"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7.05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3DA4CEF"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205.86</w:t>
            </w:r>
          </w:p>
        </w:tc>
        <w:tc>
          <w:tcPr>
            <w:tcW w:w="0" w:type="auto"/>
            <w:vMerge/>
            <w:tcBorders>
              <w:left w:val="single" w:sz="4" w:space="0" w:color="auto"/>
            </w:tcBorders>
            <w:vAlign w:val="center"/>
            <w:hideMark/>
          </w:tcPr>
          <w:p w14:paraId="08C629AB"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2CD3FCF7"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721176A9"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55-59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3022E74"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5BCD1C3"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175.8</w:t>
            </w:r>
          </w:p>
        </w:tc>
        <w:tc>
          <w:tcPr>
            <w:tcW w:w="0" w:type="auto"/>
            <w:vMerge/>
            <w:tcBorders>
              <w:left w:val="single" w:sz="4" w:space="0" w:color="auto"/>
            </w:tcBorders>
            <w:vAlign w:val="center"/>
            <w:hideMark/>
          </w:tcPr>
          <w:p w14:paraId="57C7F377"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5D48070F" w14:textId="77777777" w:rsidTr="00013628">
        <w:trPr>
          <w:trHeight w:val="315"/>
          <w:jc w:val="center"/>
        </w:trPr>
        <w:tc>
          <w:tcPr>
            <w:tcW w:w="0" w:type="auto"/>
            <w:tcBorders>
              <w:bottom w:val="single" w:sz="4" w:space="0" w:color="auto"/>
              <w:right w:val="single" w:sz="4" w:space="0" w:color="auto"/>
            </w:tcBorders>
            <w:tcMar>
              <w:top w:w="30" w:type="dxa"/>
              <w:left w:w="45" w:type="dxa"/>
              <w:bottom w:w="30" w:type="dxa"/>
              <w:right w:w="45" w:type="dxa"/>
            </w:tcMar>
            <w:vAlign w:val="center"/>
            <w:hideMark/>
          </w:tcPr>
          <w:p w14:paraId="5B9C5650"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60-64</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7A818F3"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3.7</w:t>
            </w:r>
          </w:p>
        </w:tc>
        <w:tc>
          <w:tcPr>
            <w:tcW w:w="0" w:type="auto"/>
            <w:tcBorders>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D1EC9C"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142.82</w:t>
            </w:r>
          </w:p>
        </w:tc>
        <w:tc>
          <w:tcPr>
            <w:tcW w:w="0" w:type="auto"/>
            <w:vMerge/>
            <w:tcBorders>
              <w:left w:val="single" w:sz="4" w:space="0" w:color="auto"/>
              <w:bottom w:val="single" w:sz="4" w:space="0" w:color="auto"/>
            </w:tcBorders>
            <w:vAlign w:val="center"/>
            <w:hideMark/>
          </w:tcPr>
          <w:p w14:paraId="5E6ED757" w14:textId="77777777" w:rsidR="00EB054E" w:rsidRPr="006704E2" w:rsidRDefault="00EB054E" w:rsidP="00EB054E">
            <w:pPr>
              <w:spacing w:after="0" w:line="240" w:lineRule="auto"/>
              <w:jc w:val="center"/>
              <w:rPr>
                <w:rFonts w:ascii="Garamond" w:eastAsia="Times New Roman" w:hAnsi="Garamond" w:cs="Arial"/>
                <w:sz w:val="24"/>
                <w:szCs w:val="24"/>
              </w:rPr>
            </w:pPr>
          </w:p>
        </w:tc>
      </w:tr>
      <w:tr w:rsidR="00EB054E" w:rsidRPr="006704E2" w14:paraId="014A4AF0" w14:textId="77777777" w:rsidTr="00013628">
        <w:trPr>
          <w:trHeight w:val="315"/>
          <w:jc w:val="center"/>
        </w:trPr>
        <w:tc>
          <w:tcPr>
            <w:tcW w:w="0" w:type="auto"/>
            <w:tcBorders>
              <w:top w:val="single" w:sz="4" w:space="0" w:color="auto"/>
              <w:right w:val="single" w:sz="4" w:space="0" w:color="auto"/>
            </w:tcBorders>
            <w:tcMar>
              <w:top w:w="30" w:type="dxa"/>
              <w:left w:w="45" w:type="dxa"/>
              <w:bottom w:w="30" w:type="dxa"/>
              <w:right w:w="45" w:type="dxa"/>
            </w:tcMar>
            <w:vAlign w:val="center"/>
            <w:hideMark/>
          </w:tcPr>
          <w:p w14:paraId="2F43BE37"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65-69</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54E50FCF"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1.95</w:t>
            </w:r>
          </w:p>
        </w:tc>
        <w:tc>
          <w:tcPr>
            <w:tcW w:w="0" w:type="auto"/>
            <w:tcBorders>
              <w:top w:val="single" w:sz="4" w:space="0" w:color="auto"/>
              <w:left w:val="single" w:sz="4" w:space="0" w:color="auto"/>
              <w:right w:val="single" w:sz="4" w:space="0" w:color="auto"/>
            </w:tcBorders>
            <w:tcMar>
              <w:top w:w="30" w:type="dxa"/>
              <w:left w:w="45" w:type="dxa"/>
              <w:bottom w:w="30" w:type="dxa"/>
              <w:right w:w="45" w:type="dxa"/>
            </w:tcMar>
            <w:vAlign w:val="center"/>
            <w:hideMark/>
          </w:tcPr>
          <w:p w14:paraId="729C4B24"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79.39</w:t>
            </w:r>
          </w:p>
        </w:tc>
        <w:tc>
          <w:tcPr>
            <w:tcW w:w="0" w:type="auto"/>
            <w:vMerge w:val="restart"/>
            <w:tcBorders>
              <w:top w:val="single" w:sz="4" w:space="0" w:color="auto"/>
              <w:left w:val="single" w:sz="4" w:space="0" w:color="auto"/>
            </w:tcBorders>
            <w:tcMar>
              <w:top w:w="30" w:type="dxa"/>
              <w:left w:w="45" w:type="dxa"/>
              <w:bottom w:w="30" w:type="dxa"/>
              <w:right w:w="45" w:type="dxa"/>
            </w:tcMar>
            <w:vAlign w:val="center"/>
            <w:hideMark/>
          </w:tcPr>
          <w:p w14:paraId="70FBA733"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57.12</w:t>
            </w:r>
          </w:p>
        </w:tc>
      </w:tr>
      <w:tr w:rsidR="00EB054E" w:rsidRPr="006704E2" w14:paraId="5A1924A2"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1A2992F6"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70-74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47F79C91"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1.95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13E4AAC"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63.89</w:t>
            </w:r>
          </w:p>
        </w:tc>
        <w:tc>
          <w:tcPr>
            <w:tcW w:w="0" w:type="auto"/>
            <w:vMerge/>
            <w:tcBorders>
              <w:left w:val="single" w:sz="4" w:space="0" w:color="auto"/>
            </w:tcBorders>
            <w:vAlign w:val="center"/>
            <w:hideMark/>
          </w:tcPr>
          <w:p w14:paraId="4DC35823" w14:textId="77777777" w:rsidR="00EB054E" w:rsidRPr="006704E2" w:rsidRDefault="00EB054E" w:rsidP="00EB054E">
            <w:pPr>
              <w:spacing w:after="0" w:line="240" w:lineRule="auto"/>
              <w:rPr>
                <w:rFonts w:ascii="Garamond" w:eastAsia="Times New Roman" w:hAnsi="Garamond" w:cs="Arial"/>
                <w:sz w:val="24"/>
                <w:szCs w:val="24"/>
              </w:rPr>
            </w:pPr>
          </w:p>
        </w:tc>
      </w:tr>
      <w:tr w:rsidR="00EB054E" w:rsidRPr="006704E2" w14:paraId="3E6B52D9"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119F5211"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75-79</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81C0947"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569CBDFC"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50.83</w:t>
            </w:r>
          </w:p>
        </w:tc>
        <w:tc>
          <w:tcPr>
            <w:tcW w:w="0" w:type="auto"/>
            <w:vMerge/>
            <w:tcBorders>
              <w:left w:val="single" w:sz="4" w:space="0" w:color="auto"/>
            </w:tcBorders>
            <w:vAlign w:val="center"/>
            <w:hideMark/>
          </w:tcPr>
          <w:p w14:paraId="56315A8A" w14:textId="77777777" w:rsidR="00EB054E" w:rsidRPr="006704E2" w:rsidRDefault="00EB054E" w:rsidP="00EB054E">
            <w:pPr>
              <w:spacing w:after="0" w:line="240" w:lineRule="auto"/>
              <w:rPr>
                <w:rFonts w:ascii="Garamond" w:eastAsia="Times New Roman" w:hAnsi="Garamond" w:cs="Arial"/>
                <w:sz w:val="24"/>
                <w:szCs w:val="24"/>
              </w:rPr>
            </w:pPr>
          </w:p>
        </w:tc>
      </w:tr>
      <w:tr w:rsidR="00EB054E" w:rsidRPr="006704E2" w14:paraId="6A104176"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36562C32"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80-84</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22EA3A14"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EC2E8C9"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41.91</w:t>
            </w:r>
          </w:p>
        </w:tc>
        <w:tc>
          <w:tcPr>
            <w:tcW w:w="0" w:type="auto"/>
            <w:vMerge/>
            <w:tcBorders>
              <w:left w:val="single" w:sz="4" w:space="0" w:color="auto"/>
            </w:tcBorders>
            <w:vAlign w:val="center"/>
            <w:hideMark/>
          </w:tcPr>
          <w:p w14:paraId="6669207D" w14:textId="77777777" w:rsidR="00EB054E" w:rsidRPr="006704E2" w:rsidRDefault="00EB054E" w:rsidP="00EB054E">
            <w:pPr>
              <w:spacing w:after="0" w:line="240" w:lineRule="auto"/>
              <w:rPr>
                <w:rFonts w:ascii="Garamond" w:eastAsia="Times New Roman" w:hAnsi="Garamond" w:cs="Arial"/>
                <w:sz w:val="24"/>
                <w:szCs w:val="24"/>
              </w:rPr>
            </w:pPr>
          </w:p>
        </w:tc>
      </w:tr>
      <w:tr w:rsidR="00EB054E" w:rsidRPr="006704E2" w14:paraId="0014DB02" w14:textId="77777777" w:rsidTr="00013628">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0CAC34D8"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4574084D"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1.6</w:t>
            </w:r>
          </w:p>
        </w:tc>
        <w:tc>
          <w:tcPr>
            <w:tcW w:w="0" w:type="auto"/>
            <w:tcBorders>
              <w:left w:val="single" w:sz="4" w:space="0" w:color="auto"/>
              <w:right w:val="single" w:sz="4" w:space="0" w:color="auto"/>
            </w:tcBorders>
            <w:tcMar>
              <w:top w:w="30" w:type="dxa"/>
              <w:left w:w="45" w:type="dxa"/>
              <w:bottom w:w="30" w:type="dxa"/>
              <w:right w:w="45" w:type="dxa"/>
            </w:tcMar>
            <w:vAlign w:val="center"/>
            <w:hideMark/>
          </w:tcPr>
          <w:p w14:paraId="0F6F56E8" w14:textId="77777777" w:rsidR="00EB054E" w:rsidRPr="006704E2" w:rsidRDefault="00EB054E" w:rsidP="00EB054E">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41.91</w:t>
            </w:r>
          </w:p>
        </w:tc>
        <w:tc>
          <w:tcPr>
            <w:tcW w:w="0" w:type="auto"/>
            <w:vMerge/>
            <w:tcBorders>
              <w:left w:val="single" w:sz="4" w:space="0" w:color="auto"/>
            </w:tcBorders>
            <w:vAlign w:val="center"/>
            <w:hideMark/>
          </w:tcPr>
          <w:p w14:paraId="3D65A918" w14:textId="77777777" w:rsidR="00EB054E" w:rsidRPr="006704E2" w:rsidRDefault="00EB054E" w:rsidP="00EB054E">
            <w:pPr>
              <w:spacing w:after="0" w:line="240" w:lineRule="auto"/>
              <w:rPr>
                <w:rFonts w:ascii="Garamond" w:eastAsia="Times New Roman" w:hAnsi="Garamond" w:cs="Arial"/>
                <w:sz w:val="24"/>
                <w:szCs w:val="24"/>
              </w:rPr>
            </w:pPr>
          </w:p>
        </w:tc>
      </w:tr>
    </w:tbl>
    <w:p w14:paraId="3B2294AC" w14:textId="70909C53" w:rsidR="00201AA5" w:rsidRPr="006704E2" w:rsidRDefault="00201AA5" w:rsidP="00DA031E">
      <w:pPr>
        <w:pStyle w:val="Heading3"/>
        <w:rPr>
          <w:rFonts w:ascii="Garamond" w:hAnsi="Garamond"/>
          <w:color w:val="auto"/>
        </w:rPr>
      </w:pPr>
    </w:p>
    <w:p w14:paraId="7B6D61A1" w14:textId="1C430DC2" w:rsidR="002F10FB" w:rsidRPr="006704E2" w:rsidRDefault="002F10FB" w:rsidP="002F10FB">
      <w:pPr>
        <w:rPr>
          <w:rFonts w:ascii="Garamond" w:hAnsi="Garamond"/>
        </w:rPr>
      </w:pPr>
      <w:r w:rsidRPr="006704E2">
        <w:rPr>
          <w:rFonts w:ascii="Garamond" w:hAnsi="Garamond"/>
        </w:rPr>
        <w:tab/>
        <w:t>The Weighted DPV ($2007) is calculated as the following:</w:t>
      </w:r>
    </w:p>
    <w:p w14:paraId="0485CE2C" w14:textId="1A4D943C" w:rsidR="002F10FB" w:rsidRPr="006704E2" w:rsidRDefault="005D0E13" w:rsidP="001B2739">
      <w:pPr>
        <w:jc w:val="center"/>
        <w:rPr>
          <w:rFonts w:ascii="Garamond" w:hAnsi="Garamond"/>
        </w:rPr>
      </w:pPr>
      <m:oMathPara>
        <m:oMathParaPr>
          <m:jc m:val="center"/>
        </m:oMathParaPr>
        <m:oMath>
          <m:sSub>
            <m:sSubPr>
              <m:ctrlPr>
                <w:rPr>
                  <w:rFonts w:ascii="Cambria Math" w:hAnsi="Cambria Math"/>
                  <w:i/>
                </w:rPr>
              </m:ctrlPr>
            </m:sSubPr>
            <m:e>
              <m:r>
                <w:rPr>
                  <w:rFonts w:ascii="Cambria Math" w:hAnsi="Garamond"/>
                </w:rPr>
                <m:t>D</m:t>
              </m:r>
              <m:r>
                <w:rPr>
                  <w:rFonts w:ascii="Cambria Math" w:hAnsi="Cambria Math"/>
                </w:rPr>
                <m:t>PV</m:t>
              </m:r>
            </m:e>
            <m:sub>
              <m:r>
                <w:rPr>
                  <w:rFonts w:ascii="Cambria Math" w:hAnsi="Cambria Math"/>
                </w:rPr>
                <m:t>ag</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i∈ag</m:t>
              </m:r>
            </m:sub>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ag</m:t>
                      </m:r>
                    </m:sub>
                  </m:sSub>
                </m:den>
              </m:f>
              <m:r>
                <w:rPr>
                  <w:rFonts w:ascii="Cambria Math" w:hAnsi="Cambria Math"/>
                </w:rPr>
                <m:t>*</m:t>
              </m:r>
              <m:sSub>
                <m:sSubPr>
                  <m:ctrlPr>
                    <w:rPr>
                      <w:rFonts w:ascii="Cambria Math" w:hAnsi="Cambria Math"/>
                      <w:i/>
                    </w:rPr>
                  </m:ctrlPr>
                </m:sSubPr>
                <m:e>
                  <m:r>
                    <w:rPr>
                      <w:rFonts w:ascii="Cambria Math" w:hAnsi="Cambria Math"/>
                    </w:rPr>
                    <m:t>DPV</m:t>
                  </m:r>
                </m:e>
                <m:sub>
                  <m:r>
                    <w:rPr>
                      <w:rFonts w:ascii="Cambria Math" w:hAnsi="Cambria Math"/>
                    </w:rPr>
                    <m:t>i</m:t>
                  </m:r>
                </m:sub>
              </m:sSub>
            </m:e>
          </m:nary>
        </m:oMath>
      </m:oMathPara>
    </w:p>
    <w:p w14:paraId="28C58995" w14:textId="7BD91C5D" w:rsidR="00593998" w:rsidRPr="006704E2" w:rsidRDefault="001B2739" w:rsidP="00593998">
      <w:pPr>
        <w:spacing w:line="480" w:lineRule="auto"/>
        <w:ind w:left="720"/>
        <w:rPr>
          <w:rFonts w:ascii="Garamond" w:eastAsiaTheme="minorEastAsia" w:hAnsi="Garamond"/>
          <w:sz w:val="24"/>
          <w:szCs w:val="24"/>
        </w:rPr>
      </w:pPr>
      <w:r w:rsidRPr="006704E2">
        <w:rPr>
          <w:rFonts w:ascii="Garamond" w:hAnsi="Garamond"/>
        </w:rPr>
        <w:t xml:space="preserve">where </w:t>
      </w:r>
      <m:oMath>
        <m:sSub>
          <m:sSubPr>
            <m:ctrlPr>
              <w:rPr>
                <w:rFonts w:ascii="Cambria Math" w:hAnsi="Cambria Math"/>
                <w:i/>
              </w:rPr>
            </m:ctrlPr>
          </m:sSubPr>
          <m:e>
            <m:r>
              <w:rPr>
                <w:rFonts w:ascii="Cambria Math" w:hAnsi="Cambria Math"/>
              </w:rPr>
              <m:t>DPV</m:t>
            </m:r>
          </m:e>
          <m:sub>
            <m:r>
              <w:rPr>
                <w:rFonts w:ascii="Cambria Math" w:hAnsi="Cambria Math"/>
              </w:rPr>
              <m:t>ag</m:t>
            </m:r>
          </m:sub>
        </m:sSub>
      </m:oMath>
      <w:r w:rsidRPr="006704E2">
        <w:rPr>
          <w:rFonts w:ascii="Garamond" w:hAnsi="Garamond"/>
        </w:rPr>
        <w:t xml:space="preserve"> is the weighted DPV of a given age group (</w:t>
      </w:r>
      <w:r w:rsidRPr="006704E2">
        <w:rPr>
          <w:rFonts w:ascii="Garamond" w:hAnsi="Garamond"/>
          <w:i/>
        </w:rPr>
        <w:t>ag</w:t>
      </w:r>
      <w:r w:rsidRPr="006704E2">
        <w:rPr>
          <w:rFonts w:ascii="Garamond" w:hAnsi="Garamond"/>
        </w:rPr>
        <w:t xml:space="preserve">), </w:t>
      </w:r>
      <w:proofErr w:type="spellStart"/>
      <w:r w:rsidRPr="006704E2">
        <w:rPr>
          <w:rFonts w:ascii="Garamond" w:hAnsi="Garamond"/>
          <w:i/>
        </w:rPr>
        <w:t>i</w:t>
      </w:r>
      <w:proofErr w:type="spellEnd"/>
      <w:r w:rsidRPr="006704E2">
        <w:rPr>
          <w:rFonts w:ascii="Garamond" w:hAnsi="Garamond"/>
        </w:rPr>
        <w:t xml:space="preserve"> is a 5-yea</w:t>
      </w:r>
      <w:r w:rsidR="00245811" w:rsidRPr="006704E2">
        <w:rPr>
          <w:rFonts w:ascii="Garamond" w:hAnsi="Garamond"/>
        </w:rPr>
        <w:t xml:space="preserve">r age range that belongs to </w:t>
      </w:r>
      <w:r w:rsidR="00245811" w:rsidRPr="006704E2">
        <w:rPr>
          <w:rFonts w:ascii="Garamond" w:hAnsi="Garamond"/>
          <w:i/>
        </w:rPr>
        <w:t>ag</w:t>
      </w:r>
      <w:r w:rsidRPr="006704E2">
        <w:rPr>
          <w:rFonts w:ascii="Garamond" w:hAnsi="Garamond"/>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6704E2">
        <w:rPr>
          <w:rFonts w:ascii="Garamond" w:hAnsi="Garamond"/>
        </w:rPr>
        <w:t xml:space="preserve"> is the proportion of </w:t>
      </w:r>
      <w:r w:rsidRPr="006704E2">
        <w:rPr>
          <w:rFonts w:ascii="Garamond" w:hAnsi="Garamond"/>
          <w:lang w:eastAsia="zh-CN"/>
        </w:rPr>
        <w:t xml:space="preserve">age range </w:t>
      </w:r>
      <w:proofErr w:type="spellStart"/>
      <w:r w:rsidRPr="006704E2">
        <w:rPr>
          <w:rFonts w:ascii="Garamond" w:hAnsi="Garamond"/>
          <w:i/>
          <w:lang w:eastAsia="zh-CN"/>
        </w:rPr>
        <w:t>i</w:t>
      </w:r>
      <w:proofErr w:type="spellEnd"/>
      <w:r w:rsidRPr="006704E2">
        <w:rPr>
          <w:rFonts w:ascii="Garamond" w:hAnsi="Garamond"/>
          <w:i/>
          <w:lang w:eastAsia="zh-CN"/>
        </w:rPr>
        <w:t xml:space="preserve"> </w:t>
      </w:r>
      <w:r w:rsidRPr="006704E2">
        <w:rPr>
          <w:rFonts w:ascii="Garamond" w:hAnsi="Garamond"/>
          <w:lang w:eastAsia="zh-CN"/>
        </w:rPr>
        <w:t xml:space="preserve">in the total population, </w:t>
      </w:r>
      <m:oMath>
        <m:sSub>
          <m:sSubPr>
            <m:ctrlPr>
              <w:rPr>
                <w:rFonts w:ascii="Cambria Math" w:hAnsi="Cambria Math"/>
                <w:i/>
              </w:rPr>
            </m:ctrlPr>
          </m:sSubPr>
          <m:e>
            <m:r>
              <w:rPr>
                <w:rFonts w:ascii="Cambria Math" w:hAnsi="Cambria Math"/>
              </w:rPr>
              <m:t>p</m:t>
            </m:r>
          </m:e>
          <m:sub>
            <m:r>
              <w:rPr>
                <w:rFonts w:ascii="Cambria Math" w:hAnsi="Cambria Math"/>
              </w:rPr>
              <m:t>ag</m:t>
            </m:r>
          </m:sub>
        </m:sSub>
      </m:oMath>
      <w:r w:rsidRPr="006704E2">
        <w:rPr>
          <w:rFonts w:ascii="Garamond" w:hAnsi="Garamond"/>
        </w:rPr>
        <w:t xml:space="preserve"> i</w:t>
      </w:r>
      <w:proofErr w:type="spellStart"/>
      <w:r w:rsidR="00245811" w:rsidRPr="006704E2">
        <w:rPr>
          <w:rFonts w:ascii="Garamond" w:hAnsi="Garamond"/>
        </w:rPr>
        <w:t>s</w:t>
      </w:r>
      <w:proofErr w:type="spellEnd"/>
      <w:r w:rsidR="00245811" w:rsidRPr="006704E2">
        <w:rPr>
          <w:rFonts w:ascii="Garamond" w:hAnsi="Garamond"/>
        </w:rPr>
        <w:t xml:space="preserve"> the proportion of </w:t>
      </w:r>
      <w:r w:rsidR="00245811" w:rsidRPr="006704E2">
        <w:rPr>
          <w:rFonts w:ascii="Garamond" w:hAnsi="Garamond"/>
          <w:i/>
        </w:rPr>
        <w:t>ag</w:t>
      </w:r>
      <w:r w:rsidR="00245811" w:rsidRPr="006704E2">
        <w:rPr>
          <w:rFonts w:ascii="Garamond" w:hAnsi="Garamond"/>
        </w:rPr>
        <w:t xml:space="preserve"> in the total population, and </w:t>
      </w:r>
      <m:oMath>
        <m:sSub>
          <m:sSubPr>
            <m:ctrlPr>
              <w:rPr>
                <w:rFonts w:ascii="Cambria Math" w:hAnsi="Cambria Math"/>
                <w:i/>
              </w:rPr>
            </m:ctrlPr>
          </m:sSubPr>
          <m:e>
            <m:r>
              <w:rPr>
                <w:rFonts w:ascii="Cambria Math" w:hAnsi="Cambria Math"/>
              </w:rPr>
              <m:t>DPV</m:t>
            </m:r>
          </m:e>
          <m:sub>
            <m:r>
              <w:rPr>
                <w:rFonts w:ascii="Cambria Math" w:hAnsi="Cambria Math"/>
              </w:rPr>
              <m:t>i</m:t>
            </m:r>
          </m:sub>
        </m:sSub>
      </m:oMath>
      <w:r w:rsidR="00245811" w:rsidRPr="006704E2">
        <w:rPr>
          <w:rFonts w:ascii="Garamond" w:hAnsi="Garamond"/>
        </w:rPr>
        <w:t xml:space="preserve"> is the DPV of age range </w:t>
      </w:r>
      <w:proofErr w:type="spellStart"/>
      <w:r w:rsidR="00245811" w:rsidRPr="006704E2">
        <w:rPr>
          <w:rFonts w:ascii="Garamond" w:hAnsi="Garamond"/>
          <w:i/>
        </w:rPr>
        <w:t>i</w:t>
      </w:r>
      <w:proofErr w:type="spellEnd"/>
      <w:r w:rsidR="00245811" w:rsidRPr="006704E2">
        <w:rPr>
          <w:rFonts w:ascii="Garamond" w:hAnsi="Garamond"/>
        </w:rPr>
        <w:t>.</w:t>
      </w:r>
      <w:r w:rsidR="009F0BBB" w:rsidRPr="006704E2">
        <w:rPr>
          <w:rFonts w:ascii="Garamond" w:hAnsi="Garamond"/>
        </w:rPr>
        <w:t xml:space="preserve"> </w:t>
      </w:r>
      <w:r w:rsidR="00593998">
        <w:rPr>
          <w:rFonts w:ascii="Garamond" w:hAnsi="Garamond"/>
        </w:rPr>
        <w:t xml:space="preserve">The term </w:t>
      </w:r>
      <w:r w:rsidR="00593998">
        <w:rPr>
          <w:rFonts w:ascii="Garamond" w:eastAsiaTheme="minorEastAsia" w:hAnsi="Garamond"/>
          <w:sz w:val="24"/>
          <w:szCs w:val="24"/>
        </w:rPr>
        <w:t>“$year” represents the USD value during that corresponding year.</w:t>
      </w:r>
    </w:p>
    <w:p w14:paraId="58DBBABC" w14:textId="24A52AAC" w:rsidR="001B2739" w:rsidRPr="006704E2" w:rsidRDefault="001B2739" w:rsidP="001B2739">
      <w:pPr>
        <w:ind w:left="720"/>
        <w:rPr>
          <w:rFonts w:ascii="Garamond" w:hAnsi="Garamond"/>
          <w:lang w:eastAsia="zh-CN"/>
        </w:rPr>
      </w:pPr>
    </w:p>
    <w:p w14:paraId="3B981C02" w14:textId="36056B03" w:rsidR="00EE531F" w:rsidRPr="001C4E17" w:rsidRDefault="00201AA5">
      <w:pPr>
        <w:rPr>
          <w:rFonts w:ascii="Garamond" w:eastAsiaTheme="majorEastAsia" w:hAnsi="Garamond" w:cstheme="majorBidi"/>
          <w:sz w:val="24"/>
          <w:szCs w:val="24"/>
        </w:rPr>
      </w:pPr>
      <w:r w:rsidRPr="006704E2">
        <w:rPr>
          <w:rFonts w:ascii="Garamond" w:hAnsi="Garamond"/>
          <w:sz w:val="24"/>
          <w:szCs w:val="24"/>
        </w:rPr>
        <w:br w:type="page"/>
      </w:r>
    </w:p>
    <w:p w14:paraId="557759C2" w14:textId="77777777" w:rsidR="00EE531F" w:rsidRPr="006704E2" w:rsidRDefault="00EE531F" w:rsidP="00EE531F">
      <w:pPr>
        <w:pStyle w:val="Heading1"/>
        <w:numPr>
          <w:ilvl w:val="0"/>
          <w:numId w:val="17"/>
        </w:numPr>
        <w:rPr>
          <w:rFonts w:ascii="Garamond" w:hAnsi="Garamond"/>
          <w:color w:val="auto"/>
          <w:sz w:val="28"/>
          <w:szCs w:val="28"/>
        </w:rPr>
      </w:pPr>
      <w:bookmarkStart w:id="19" w:name="_Toc392863195"/>
      <w:r w:rsidRPr="006704E2">
        <w:rPr>
          <w:rFonts w:ascii="Garamond" w:hAnsi="Garamond"/>
          <w:color w:val="auto"/>
          <w:sz w:val="28"/>
          <w:szCs w:val="28"/>
        </w:rPr>
        <w:lastRenderedPageBreak/>
        <w:t>Minimum Effect Temperature</w:t>
      </w:r>
      <w:bookmarkEnd w:id="19"/>
    </w:p>
    <w:p w14:paraId="5EBB49EE" w14:textId="77777777" w:rsidR="00EE531F" w:rsidRPr="006704E2" w:rsidRDefault="00EE531F" w:rsidP="00EE531F">
      <w:pPr>
        <w:rPr>
          <w:rFonts w:ascii="Garamond" w:hAnsi="Garamond"/>
        </w:rPr>
      </w:pPr>
    </w:p>
    <w:tbl>
      <w:tblPr>
        <w:tblW w:w="0" w:type="auto"/>
        <w:jc w:val="center"/>
        <w:tblCellMar>
          <w:left w:w="0" w:type="dxa"/>
          <w:right w:w="0" w:type="dxa"/>
        </w:tblCellMar>
        <w:tblLook w:val="04A0" w:firstRow="1" w:lastRow="0" w:firstColumn="1" w:lastColumn="0" w:noHBand="0" w:noVBand="1"/>
      </w:tblPr>
      <w:tblGrid>
        <w:gridCol w:w="1148"/>
        <w:gridCol w:w="1018"/>
        <w:gridCol w:w="1018"/>
        <w:gridCol w:w="1018"/>
      </w:tblGrid>
      <w:tr w:rsidR="00EE531F" w:rsidRPr="006704E2" w14:paraId="17E7D181" w14:textId="77777777" w:rsidTr="003B6CF1">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52102339" w14:textId="77777777" w:rsidR="00EE531F" w:rsidRPr="006704E2" w:rsidRDefault="00EE531F" w:rsidP="003B6CF1">
            <w:pPr>
              <w:spacing w:after="0" w:line="240" w:lineRule="auto"/>
              <w:jc w:val="center"/>
              <w:rPr>
                <w:rFonts w:ascii="Garamond" w:eastAsia="Times New Roman" w:hAnsi="Garamond" w:cs="Arial"/>
                <w:sz w:val="24"/>
                <w:szCs w:val="24"/>
              </w:rPr>
            </w:pPr>
          </w:p>
        </w:tc>
        <w:tc>
          <w:tcPr>
            <w:tcW w:w="0" w:type="auto"/>
            <w:gridSpan w:val="3"/>
            <w:tcBorders>
              <w:left w:val="single" w:sz="4" w:space="0" w:color="auto"/>
            </w:tcBorders>
            <w:tcMar>
              <w:top w:w="30" w:type="dxa"/>
              <w:left w:w="45" w:type="dxa"/>
              <w:bottom w:w="30" w:type="dxa"/>
              <w:right w:w="45" w:type="dxa"/>
            </w:tcMar>
            <w:vAlign w:val="center"/>
            <w:hideMark/>
          </w:tcPr>
          <w:p w14:paraId="502433E6" w14:textId="77777777" w:rsidR="00EE531F" w:rsidRPr="006704E2" w:rsidRDefault="00EE531F" w:rsidP="003B6CF1">
            <w:pPr>
              <w:spacing w:after="0" w:line="240" w:lineRule="auto"/>
              <w:jc w:val="center"/>
              <w:rPr>
                <w:rFonts w:ascii="Garamond" w:eastAsia="Times New Roman" w:hAnsi="Garamond" w:cs="Arial"/>
                <w:b/>
                <w:sz w:val="24"/>
                <w:szCs w:val="24"/>
              </w:rPr>
            </w:pPr>
            <w:r w:rsidRPr="006704E2">
              <w:rPr>
                <w:rFonts w:ascii="Garamond" w:eastAsia="Times New Roman" w:hAnsi="Garamond" w:cs="Arial"/>
                <w:b/>
                <w:sz w:val="24"/>
                <w:szCs w:val="24"/>
              </w:rPr>
              <w:t>MET</w:t>
            </w:r>
          </w:p>
        </w:tc>
      </w:tr>
      <w:tr w:rsidR="00EE531F" w:rsidRPr="006704E2" w14:paraId="4A2C5E6A" w14:textId="77777777" w:rsidTr="003B6CF1">
        <w:trPr>
          <w:trHeight w:val="315"/>
          <w:jc w:val="center"/>
        </w:trPr>
        <w:tc>
          <w:tcPr>
            <w:tcW w:w="0" w:type="auto"/>
            <w:tcBorders>
              <w:bottom w:val="single" w:sz="4" w:space="0" w:color="auto"/>
              <w:right w:val="single" w:sz="4" w:space="0" w:color="auto"/>
            </w:tcBorders>
            <w:tcMar>
              <w:top w:w="30" w:type="dxa"/>
              <w:left w:w="45" w:type="dxa"/>
              <w:bottom w:w="30" w:type="dxa"/>
              <w:right w:w="45" w:type="dxa"/>
            </w:tcMar>
            <w:vAlign w:val="center"/>
            <w:hideMark/>
          </w:tcPr>
          <w:p w14:paraId="335CF843"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Age Group</w:t>
            </w:r>
          </w:p>
        </w:tc>
        <w:tc>
          <w:tcPr>
            <w:tcW w:w="0" w:type="auto"/>
            <w:tcBorders>
              <w:left w:val="single" w:sz="4" w:space="0" w:color="auto"/>
              <w:bottom w:val="single" w:sz="4" w:space="0" w:color="auto"/>
            </w:tcBorders>
            <w:tcMar>
              <w:top w:w="30" w:type="dxa"/>
              <w:left w:w="45" w:type="dxa"/>
              <w:bottom w:w="30" w:type="dxa"/>
              <w:right w:w="45" w:type="dxa"/>
            </w:tcMar>
            <w:vAlign w:val="center"/>
            <w:hideMark/>
          </w:tcPr>
          <w:p w14:paraId="10ACF73D"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MORT</w:t>
            </w:r>
          </w:p>
          <w:p w14:paraId="56958AEB"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 xml:space="preserve"> °F (%</w:t>
            </w:r>
            <w:proofErr w:type="spellStart"/>
            <w:r w:rsidRPr="006704E2">
              <w:rPr>
                <w:rFonts w:ascii="Garamond" w:eastAsia="Times New Roman" w:hAnsi="Garamond" w:cs="Arial"/>
                <w:sz w:val="24"/>
                <w:szCs w:val="24"/>
              </w:rPr>
              <w:t>ile</w:t>
            </w:r>
            <w:proofErr w:type="spellEnd"/>
            <w:r w:rsidRPr="006704E2">
              <w:rPr>
                <w:rFonts w:ascii="Garamond" w:eastAsia="Times New Roman" w:hAnsi="Garamond" w:cs="Arial"/>
                <w:sz w:val="24"/>
                <w:szCs w:val="24"/>
              </w:rPr>
              <w:t>)</w:t>
            </w:r>
          </w:p>
        </w:tc>
        <w:tc>
          <w:tcPr>
            <w:tcW w:w="0" w:type="auto"/>
            <w:tcBorders>
              <w:bottom w:val="single" w:sz="4" w:space="0" w:color="auto"/>
            </w:tcBorders>
            <w:tcMar>
              <w:top w:w="30" w:type="dxa"/>
              <w:left w:w="45" w:type="dxa"/>
              <w:bottom w:w="30" w:type="dxa"/>
              <w:right w:w="45" w:type="dxa"/>
            </w:tcMar>
            <w:vAlign w:val="center"/>
            <w:hideMark/>
          </w:tcPr>
          <w:p w14:paraId="41FF3635"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EDV</w:t>
            </w:r>
          </w:p>
          <w:p w14:paraId="76CF6B1D"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°F (%</w:t>
            </w:r>
            <w:proofErr w:type="spellStart"/>
            <w:r w:rsidRPr="006704E2">
              <w:rPr>
                <w:rFonts w:ascii="Garamond" w:eastAsia="Times New Roman" w:hAnsi="Garamond" w:cs="Arial"/>
                <w:sz w:val="24"/>
                <w:szCs w:val="24"/>
              </w:rPr>
              <w:t>ile</w:t>
            </w:r>
            <w:proofErr w:type="spellEnd"/>
            <w:r w:rsidRPr="006704E2">
              <w:rPr>
                <w:rFonts w:ascii="Garamond" w:eastAsia="Times New Roman" w:hAnsi="Garamond" w:cs="Arial"/>
                <w:sz w:val="24"/>
                <w:szCs w:val="24"/>
              </w:rPr>
              <w:t>)</w:t>
            </w:r>
          </w:p>
        </w:tc>
        <w:tc>
          <w:tcPr>
            <w:tcW w:w="0" w:type="auto"/>
            <w:tcBorders>
              <w:bottom w:val="single" w:sz="4" w:space="0" w:color="auto"/>
            </w:tcBorders>
            <w:tcMar>
              <w:top w:w="30" w:type="dxa"/>
              <w:left w:w="45" w:type="dxa"/>
              <w:bottom w:w="30" w:type="dxa"/>
              <w:right w:w="45" w:type="dxa"/>
            </w:tcMar>
            <w:vAlign w:val="center"/>
            <w:hideMark/>
          </w:tcPr>
          <w:p w14:paraId="0E4D2BE7"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EDHSP</w:t>
            </w:r>
          </w:p>
          <w:p w14:paraId="4199F3D7"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°F (%</w:t>
            </w:r>
            <w:proofErr w:type="spellStart"/>
            <w:r w:rsidRPr="006704E2">
              <w:rPr>
                <w:rFonts w:ascii="Garamond" w:eastAsia="Times New Roman" w:hAnsi="Garamond" w:cs="Arial"/>
                <w:sz w:val="24"/>
                <w:szCs w:val="24"/>
              </w:rPr>
              <w:t>ile</w:t>
            </w:r>
            <w:proofErr w:type="spellEnd"/>
            <w:r w:rsidRPr="006704E2">
              <w:rPr>
                <w:rFonts w:ascii="Garamond" w:eastAsia="Times New Roman" w:hAnsi="Garamond" w:cs="Arial"/>
                <w:sz w:val="24"/>
                <w:szCs w:val="24"/>
              </w:rPr>
              <w:t>)</w:t>
            </w:r>
          </w:p>
        </w:tc>
      </w:tr>
      <w:tr w:rsidR="00EE531F" w:rsidRPr="006704E2" w14:paraId="25611937" w14:textId="77777777" w:rsidTr="003B6CF1">
        <w:trPr>
          <w:trHeight w:val="315"/>
          <w:jc w:val="center"/>
        </w:trPr>
        <w:tc>
          <w:tcPr>
            <w:tcW w:w="0" w:type="auto"/>
            <w:tcBorders>
              <w:top w:val="single" w:sz="4" w:space="0" w:color="auto"/>
              <w:right w:val="single" w:sz="4" w:space="0" w:color="auto"/>
            </w:tcBorders>
            <w:tcMar>
              <w:top w:w="30" w:type="dxa"/>
              <w:left w:w="45" w:type="dxa"/>
              <w:bottom w:w="30" w:type="dxa"/>
              <w:right w:w="45" w:type="dxa"/>
            </w:tcMar>
            <w:vAlign w:val="center"/>
            <w:hideMark/>
          </w:tcPr>
          <w:p w14:paraId="232EE426"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0-19</w:t>
            </w:r>
          </w:p>
        </w:tc>
        <w:tc>
          <w:tcPr>
            <w:tcW w:w="0" w:type="auto"/>
            <w:tcBorders>
              <w:top w:val="single" w:sz="4" w:space="0" w:color="auto"/>
              <w:left w:val="single" w:sz="4" w:space="0" w:color="auto"/>
            </w:tcBorders>
            <w:shd w:val="clear" w:color="auto" w:fill="auto"/>
            <w:tcMar>
              <w:top w:w="30" w:type="dxa"/>
              <w:left w:w="45" w:type="dxa"/>
              <w:bottom w:w="30" w:type="dxa"/>
              <w:right w:w="45" w:type="dxa"/>
            </w:tcMar>
            <w:vAlign w:val="center"/>
            <w:hideMark/>
          </w:tcPr>
          <w:p w14:paraId="58F33EE6"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Borders>
              <w:top w:val="single" w:sz="4" w:space="0" w:color="auto"/>
            </w:tcBorders>
            <w:tcMar>
              <w:top w:w="30" w:type="dxa"/>
              <w:left w:w="45" w:type="dxa"/>
              <w:bottom w:w="30" w:type="dxa"/>
              <w:right w:w="45" w:type="dxa"/>
            </w:tcMar>
            <w:vAlign w:val="center"/>
            <w:hideMark/>
          </w:tcPr>
          <w:p w14:paraId="06C0E722"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71 (62.46)</w:t>
            </w:r>
          </w:p>
        </w:tc>
        <w:tc>
          <w:tcPr>
            <w:tcW w:w="0" w:type="auto"/>
            <w:tcBorders>
              <w:top w:val="single" w:sz="4" w:space="0" w:color="auto"/>
            </w:tcBorders>
            <w:tcMar>
              <w:top w:w="30" w:type="dxa"/>
              <w:left w:w="45" w:type="dxa"/>
              <w:bottom w:w="30" w:type="dxa"/>
              <w:right w:w="45" w:type="dxa"/>
            </w:tcMar>
            <w:vAlign w:val="center"/>
            <w:hideMark/>
          </w:tcPr>
          <w:p w14:paraId="316FB435"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84 (89.13)</w:t>
            </w:r>
          </w:p>
        </w:tc>
      </w:tr>
      <w:tr w:rsidR="00EE531F" w:rsidRPr="006704E2" w14:paraId="5C95DD8B" w14:textId="77777777" w:rsidTr="003B6CF1">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19112328"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20-64</w:t>
            </w:r>
          </w:p>
        </w:tc>
        <w:tc>
          <w:tcPr>
            <w:tcW w:w="0" w:type="auto"/>
            <w:tcBorders>
              <w:left w:val="single" w:sz="4" w:space="0" w:color="auto"/>
            </w:tcBorders>
            <w:shd w:val="clear" w:color="auto" w:fill="auto"/>
            <w:tcMar>
              <w:top w:w="30" w:type="dxa"/>
              <w:left w:w="45" w:type="dxa"/>
              <w:bottom w:w="30" w:type="dxa"/>
              <w:right w:w="45" w:type="dxa"/>
            </w:tcMar>
            <w:vAlign w:val="center"/>
            <w:hideMark/>
          </w:tcPr>
          <w:p w14:paraId="417E76A5"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w:t>
            </w:r>
          </w:p>
        </w:tc>
        <w:tc>
          <w:tcPr>
            <w:tcW w:w="0" w:type="auto"/>
            <w:tcMar>
              <w:top w:w="30" w:type="dxa"/>
              <w:left w:w="45" w:type="dxa"/>
              <w:bottom w:w="30" w:type="dxa"/>
              <w:right w:w="45" w:type="dxa"/>
            </w:tcMar>
            <w:vAlign w:val="center"/>
            <w:hideMark/>
          </w:tcPr>
          <w:p w14:paraId="2B9A6BDD"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73 (63.75)</w:t>
            </w:r>
          </w:p>
        </w:tc>
        <w:tc>
          <w:tcPr>
            <w:tcW w:w="0" w:type="auto"/>
            <w:tcMar>
              <w:top w:w="30" w:type="dxa"/>
              <w:left w:w="45" w:type="dxa"/>
              <w:bottom w:w="30" w:type="dxa"/>
              <w:right w:w="45" w:type="dxa"/>
            </w:tcMar>
            <w:vAlign w:val="center"/>
            <w:hideMark/>
          </w:tcPr>
          <w:p w14:paraId="5E28C18B"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70 (61.99)</w:t>
            </w:r>
          </w:p>
        </w:tc>
      </w:tr>
      <w:tr w:rsidR="00EE531F" w:rsidRPr="006704E2" w14:paraId="58E1DE09" w14:textId="77777777" w:rsidTr="003B6CF1">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7C60F47C"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65+</w:t>
            </w:r>
          </w:p>
        </w:tc>
        <w:tc>
          <w:tcPr>
            <w:tcW w:w="0" w:type="auto"/>
            <w:tcBorders>
              <w:left w:val="single" w:sz="4" w:space="0" w:color="auto"/>
            </w:tcBorders>
            <w:tcMar>
              <w:top w:w="30" w:type="dxa"/>
              <w:left w:w="45" w:type="dxa"/>
              <w:bottom w:w="30" w:type="dxa"/>
              <w:right w:w="45" w:type="dxa"/>
            </w:tcMar>
            <w:vAlign w:val="center"/>
            <w:hideMark/>
          </w:tcPr>
          <w:p w14:paraId="2E9034D4"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85 (90.39)</w:t>
            </w:r>
          </w:p>
        </w:tc>
        <w:tc>
          <w:tcPr>
            <w:tcW w:w="0" w:type="auto"/>
            <w:tcMar>
              <w:top w:w="30" w:type="dxa"/>
              <w:left w:w="45" w:type="dxa"/>
              <w:bottom w:w="30" w:type="dxa"/>
              <w:right w:w="45" w:type="dxa"/>
            </w:tcMar>
            <w:vAlign w:val="center"/>
            <w:hideMark/>
          </w:tcPr>
          <w:p w14:paraId="6D47858D"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75 (66.98)</w:t>
            </w:r>
          </w:p>
        </w:tc>
        <w:tc>
          <w:tcPr>
            <w:tcW w:w="0" w:type="auto"/>
            <w:tcMar>
              <w:top w:w="30" w:type="dxa"/>
              <w:left w:w="45" w:type="dxa"/>
              <w:bottom w:w="30" w:type="dxa"/>
              <w:right w:w="45" w:type="dxa"/>
            </w:tcMar>
            <w:vAlign w:val="center"/>
            <w:hideMark/>
          </w:tcPr>
          <w:p w14:paraId="6BDB5893"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70 (61.99)</w:t>
            </w:r>
          </w:p>
        </w:tc>
      </w:tr>
      <w:tr w:rsidR="00EE531F" w:rsidRPr="006704E2" w14:paraId="64DE0090" w14:textId="77777777" w:rsidTr="003B6CF1">
        <w:trPr>
          <w:trHeight w:val="315"/>
          <w:jc w:val="center"/>
        </w:trPr>
        <w:tc>
          <w:tcPr>
            <w:tcW w:w="0" w:type="auto"/>
            <w:tcBorders>
              <w:right w:val="single" w:sz="4" w:space="0" w:color="auto"/>
            </w:tcBorders>
            <w:tcMar>
              <w:top w:w="30" w:type="dxa"/>
              <w:left w:w="45" w:type="dxa"/>
              <w:bottom w:w="30" w:type="dxa"/>
              <w:right w:w="45" w:type="dxa"/>
            </w:tcMar>
            <w:vAlign w:val="center"/>
            <w:hideMark/>
          </w:tcPr>
          <w:p w14:paraId="6C0FE8FE"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All</w:t>
            </w:r>
          </w:p>
        </w:tc>
        <w:tc>
          <w:tcPr>
            <w:tcW w:w="0" w:type="auto"/>
            <w:tcBorders>
              <w:left w:val="single" w:sz="4" w:space="0" w:color="auto"/>
            </w:tcBorders>
            <w:tcMar>
              <w:top w:w="30" w:type="dxa"/>
              <w:left w:w="45" w:type="dxa"/>
              <w:bottom w:w="30" w:type="dxa"/>
              <w:right w:w="45" w:type="dxa"/>
            </w:tcMar>
            <w:vAlign w:val="center"/>
            <w:hideMark/>
          </w:tcPr>
          <w:p w14:paraId="396A3D6D"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84 (89.13)</w:t>
            </w:r>
          </w:p>
        </w:tc>
        <w:tc>
          <w:tcPr>
            <w:tcW w:w="0" w:type="auto"/>
            <w:tcMar>
              <w:top w:w="30" w:type="dxa"/>
              <w:left w:w="45" w:type="dxa"/>
              <w:bottom w:w="30" w:type="dxa"/>
              <w:right w:w="45" w:type="dxa"/>
            </w:tcMar>
            <w:vAlign w:val="center"/>
            <w:hideMark/>
          </w:tcPr>
          <w:p w14:paraId="3BC360D4"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72 (63.09)</w:t>
            </w:r>
          </w:p>
        </w:tc>
        <w:tc>
          <w:tcPr>
            <w:tcW w:w="0" w:type="auto"/>
            <w:tcMar>
              <w:top w:w="30" w:type="dxa"/>
              <w:left w:w="45" w:type="dxa"/>
              <w:bottom w:w="30" w:type="dxa"/>
              <w:right w:w="45" w:type="dxa"/>
            </w:tcMar>
            <w:vAlign w:val="center"/>
            <w:hideMark/>
          </w:tcPr>
          <w:p w14:paraId="516683E0" w14:textId="77777777" w:rsidR="00EE531F" w:rsidRPr="006704E2" w:rsidRDefault="00EE531F" w:rsidP="003B6CF1">
            <w:pPr>
              <w:spacing w:after="0" w:line="240" w:lineRule="auto"/>
              <w:jc w:val="center"/>
              <w:rPr>
                <w:rFonts w:ascii="Garamond" w:eastAsia="Times New Roman" w:hAnsi="Garamond" w:cs="Arial"/>
                <w:sz w:val="24"/>
                <w:szCs w:val="24"/>
              </w:rPr>
            </w:pPr>
            <w:r w:rsidRPr="006704E2">
              <w:rPr>
                <w:rFonts w:ascii="Garamond" w:eastAsia="Times New Roman" w:hAnsi="Garamond" w:cs="Arial"/>
                <w:sz w:val="24"/>
                <w:szCs w:val="24"/>
              </w:rPr>
              <w:t>71 (62.46)</w:t>
            </w:r>
          </w:p>
        </w:tc>
      </w:tr>
    </w:tbl>
    <w:p w14:paraId="33C88C80" w14:textId="77777777" w:rsidR="00EE531F" w:rsidRPr="006704E2" w:rsidRDefault="00EE531F" w:rsidP="00EE531F">
      <w:pPr>
        <w:rPr>
          <w:rFonts w:ascii="Garamond" w:hAnsi="Garamond"/>
          <w:sz w:val="24"/>
          <w:szCs w:val="24"/>
        </w:rPr>
      </w:pPr>
      <w:r w:rsidRPr="006704E2">
        <w:rPr>
          <w:rFonts w:ascii="Garamond" w:hAnsi="Garamond"/>
          <w:sz w:val="24"/>
          <w:szCs w:val="24"/>
        </w:rPr>
        <w:tab/>
      </w:r>
    </w:p>
    <w:p w14:paraId="2FC2CB77" w14:textId="77777777" w:rsidR="00EE531F" w:rsidRPr="006704E2" w:rsidRDefault="00EE531F" w:rsidP="00EE531F">
      <w:pPr>
        <w:spacing w:line="480" w:lineRule="auto"/>
        <w:ind w:left="720"/>
        <w:rPr>
          <w:rFonts w:ascii="Garamond" w:hAnsi="Garamond"/>
          <w:sz w:val="24"/>
          <w:szCs w:val="24"/>
        </w:rPr>
      </w:pPr>
      <w:r w:rsidRPr="006704E2">
        <w:rPr>
          <w:rFonts w:ascii="Garamond" w:hAnsi="Garamond"/>
          <w:sz w:val="24"/>
          <w:szCs w:val="24"/>
        </w:rPr>
        <w:t xml:space="preserve">MET is the most comfortable temperature for human body regarding different population health outcomes (MORT, EDV, EDHSP) and different age strata (0-19 </w:t>
      </w:r>
      <w:proofErr w:type="spellStart"/>
      <w:r w:rsidRPr="006704E2">
        <w:rPr>
          <w:rFonts w:ascii="Garamond" w:hAnsi="Garamond"/>
          <w:sz w:val="24"/>
          <w:szCs w:val="24"/>
        </w:rPr>
        <w:t>yo</w:t>
      </w:r>
      <w:proofErr w:type="spellEnd"/>
      <w:r w:rsidRPr="006704E2">
        <w:rPr>
          <w:rFonts w:ascii="Garamond" w:hAnsi="Garamond"/>
          <w:sz w:val="24"/>
          <w:szCs w:val="24"/>
        </w:rPr>
        <w:t xml:space="preserve">, 20-64 </w:t>
      </w:r>
      <w:proofErr w:type="spellStart"/>
      <w:r w:rsidRPr="006704E2">
        <w:rPr>
          <w:rFonts w:ascii="Garamond" w:hAnsi="Garamond"/>
          <w:sz w:val="24"/>
          <w:szCs w:val="24"/>
        </w:rPr>
        <w:t>yo</w:t>
      </w:r>
      <w:proofErr w:type="spellEnd"/>
      <w:r w:rsidRPr="006704E2">
        <w:rPr>
          <w:rFonts w:ascii="Garamond" w:hAnsi="Garamond"/>
          <w:sz w:val="24"/>
          <w:szCs w:val="24"/>
        </w:rPr>
        <w:t xml:space="preserve">, 65+ </w:t>
      </w:r>
      <w:proofErr w:type="spellStart"/>
      <w:r w:rsidRPr="006704E2">
        <w:rPr>
          <w:rFonts w:ascii="Garamond" w:hAnsi="Garamond"/>
          <w:sz w:val="24"/>
          <w:szCs w:val="24"/>
        </w:rPr>
        <w:t>yo</w:t>
      </w:r>
      <w:proofErr w:type="spellEnd"/>
      <w:r w:rsidRPr="006704E2">
        <w:rPr>
          <w:rFonts w:ascii="Garamond" w:hAnsi="Garamond"/>
          <w:sz w:val="24"/>
          <w:szCs w:val="24"/>
        </w:rPr>
        <w:t>, and all). Specific to MORT, MET is commonly seen in literature as minimum mortality temperature (MMT). This study uses MET to indicate that such most comfortable temperatures are relevant for both mortality and morbidity outcomes.</w:t>
      </w:r>
    </w:p>
    <w:p w14:paraId="030F0D36" w14:textId="77777777" w:rsidR="00A913C6" w:rsidRPr="006704E2" w:rsidRDefault="00A913C6" w:rsidP="005B351B">
      <w:pPr>
        <w:spacing w:line="480" w:lineRule="auto"/>
        <w:ind w:left="720"/>
        <w:rPr>
          <w:rFonts w:ascii="Garamond" w:hAnsi="Garamond"/>
          <w:sz w:val="24"/>
          <w:szCs w:val="24"/>
        </w:rPr>
      </w:pPr>
    </w:p>
    <w:p w14:paraId="57CF16E7" w14:textId="77777777" w:rsidR="00A913C6" w:rsidRPr="006704E2" w:rsidRDefault="00A913C6">
      <w:pPr>
        <w:rPr>
          <w:rFonts w:ascii="Garamond" w:hAnsi="Garamond"/>
          <w:sz w:val="24"/>
          <w:szCs w:val="24"/>
        </w:rPr>
      </w:pPr>
      <w:r w:rsidRPr="006704E2">
        <w:rPr>
          <w:rFonts w:ascii="Garamond" w:hAnsi="Garamond"/>
          <w:sz w:val="24"/>
          <w:szCs w:val="24"/>
        </w:rPr>
        <w:br w:type="page"/>
      </w:r>
    </w:p>
    <w:p w14:paraId="30146889" w14:textId="382DAE59" w:rsidR="007D5D93" w:rsidRPr="006704E2" w:rsidRDefault="00A913C6" w:rsidP="007D5D93">
      <w:pPr>
        <w:pStyle w:val="Heading1"/>
        <w:numPr>
          <w:ilvl w:val="0"/>
          <w:numId w:val="17"/>
        </w:numPr>
        <w:rPr>
          <w:rFonts w:ascii="Garamond" w:hAnsi="Garamond"/>
          <w:color w:val="auto"/>
          <w:sz w:val="28"/>
          <w:szCs w:val="28"/>
        </w:rPr>
      </w:pPr>
      <w:bookmarkStart w:id="20" w:name="_Toc392863196"/>
      <w:r w:rsidRPr="006704E2">
        <w:rPr>
          <w:rFonts w:ascii="Garamond" w:hAnsi="Garamond"/>
          <w:color w:val="auto"/>
          <w:sz w:val="28"/>
          <w:szCs w:val="28"/>
        </w:rPr>
        <w:lastRenderedPageBreak/>
        <w:t>Data used to generate Figure 2 and Figure 3 in Main Text</w:t>
      </w:r>
      <w:bookmarkEnd w:id="20"/>
    </w:p>
    <w:p w14:paraId="4B866D24" w14:textId="28A58471" w:rsidR="007D5D93" w:rsidRPr="006704E2" w:rsidRDefault="00D3537F" w:rsidP="00E34E51">
      <w:pPr>
        <w:pStyle w:val="Heading2"/>
        <w:ind w:left="360"/>
        <w:rPr>
          <w:rFonts w:ascii="Garamond" w:hAnsi="Garamond"/>
          <w:color w:val="auto"/>
        </w:rPr>
      </w:pPr>
      <w:bookmarkStart w:id="21" w:name="_Toc392863197"/>
      <w:r>
        <w:rPr>
          <w:rFonts w:ascii="Garamond" w:hAnsi="Garamond"/>
          <w:color w:val="auto"/>
        </w:rPr>
        <w:t>6</w:t>
      </w:r>
      <w:r w:rsidR="003F2255" w:rsidRPr="006704E2">
        <w:rPr>
          <w:rFonts w:ascii="Garamond" w:hAnsi="Garamond"/>
          <w:color w:val="auto"/>
        </w:rPr>
        <w:t>.1 Attributable</w:t>
      </w:r>
      <w:r w:rsidR="007D5D93" w:rsidRPr="006704E2">
        <w:rPr>
          <w:rFonts w:ascii="Garamond" w:hAnsi="Garamond"/>
          <w:color w:val="auto"/>
        </w:rPr>
        <w:t xml:space="preserve"> Fraction and Attributable Cases Estimates given Moderate to Extreme Exposures</w:t>
      </w:r>
      <w:bookmarkEnd w:id="21"/>
    </w:p>
    <w:tbl>
      <w:tblPr>
        <w:tblpPr w:leftFromText="180" w:rightFromText="180" w:vertAnchor="text" w:horzAnchor="margin" w:tblpY="42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5"/>
        <w:gridCol w:w="840"/>
        <w:gridCol w:w="1620"/>
        <w:gridCol w:w="2250"/>
        <w:gridCol w:w="1980"/>
        <w:gridCol w:w="1980"/>
      </w:tblGrid>
      <w:tr w:rsidR="007D5D93" w:rsidRPr="006704E2" w14:paraId="66C04F96" w14:textId="77777777" w:rsidTr="002B69F9">
        <w:trPr>
          <w:trHeight w:val="300"/>
        </w:trPr>
        <w:tc>
          <w:tcPr>
            <w:tcW w:w="1135" w:type="dxa"/>
            <w:tcMar>
              <w:top w:w="0" w:type="dxa"/>
              <w:left w:w="45" w:type="dxa"/>
              <w:bottom w:w="0" w:type="dxa"/>
              <w:right w:w="45" w:type="dxa"/>
            </w:tcMar>
            <w:vAlign w:val="center"/>
            <w:hideMark/>
          </w:tcPr>
          <w:p w14:paraId="29CFC7EE"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840" w:type="dxa"/>
            <w:tcMar>
              <w:top w:w="0" w:type="dxa"/>
              <w:left w:w="45" w:type="dxa"/>
              <w:bottom w:w="0" w:type="dxa"/>
              <w:right w:w="45" w:type="dxa"/>
            </w:tcMar>
            <w:vAlign w:val="center"/>
            <w:hideMark/>
          </w:tcPr>
          <w:p w14:paraId="2335ABA3"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3870" w:type="dxa"/>
            <w:gridSpan w:val="2"/>
            <w:tcMar>
              <w:top w:w="0" w:type="dxa"/>
              <w:left w:w="45" w:type="dxa"/>
              <w:bottom w:w="0" w:type="dxa"/>
              <w:right w:w="45" w:type="dxa"/>
            </w:tcMar>
            <w:vAlign w:val="center"/>
            <w:hideMark/>
          </w:tcPr>
          <w:p w14:paraId="5D064C34"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Moderate-Extreme Cold Exposure</w:t>
            </w:r>
            <w:r w:rsidRPr="006704E2">
              <w:rPr>
                <w:rFonts w:ascii="Garamond" w:eastAsia="Times New Roman" w:hAnsi="Garamond" w:cs="Times New Roman"/>
                <w:sz w:val="24"/>
                <w:szCs w:val="24"/>
              </w:rPr>
              <w:br/>
            </w:r>
            <w:proofErr w:type="spellStart"/>
            <w:r w:rsidRPr="006704E2">
              <w:rPr>
                <w:rFonts w:ascii="Garamond" w:eastAsia="Times New Roman" w:hAnsi="Garamond" w:cs="Times New Roman"/>
                <w:sz w:val="24"/>
                <w:szCs w:val="24"/>
              </w:rPr>
              <w:t>HI_max</w:t>
            </w:r>
            <w:proofErr w:type="spellEnd"/>
            <w:r w:rsidRPr="006704E2">
              <w:rPr>
                <w:rFonts w:ascii="Garamond" w:eastAsia="Times New Roman" w:hAnsi="Garamond" w:cs="Times New Roman"/>
                <w:sz w:val="24"/>
                <w:szCs w:val="24"/>
              </w:rPr>
              <w:t xml:space="preserve"> &lt; 30th %</w:t>
            </w:r>
            <w:proofErr w:type="spellStart"/>
            <w:r w:rsidRPr="006704E2">
              <w:rPr>
                <w:rFonts w:ascii="Garamond" w:eastAsia="Times New Roman" w:hAnsi="Garamond" w:cs="Times New Roman"/>
                <w:sz w:val="24"/>
                <w:szCs w:val="24"/>
              </w:rPr>
              <w:t>ile</w:t>
            </w:r>
            <w:proofErr w:type="spellEnd"/>
          </w:p>
        </w:tc>
        <w:tc>
          <w:tcPr>
            <w:tcW w:w="3960" w:type="dxa"/>
            <w:gridSpan w:val="2"/>
            <w:tcMar>
              <w:top w:w="0" w:type="dxa"/>
              <w:left w:w="45" w:type="dxa"/>
              <w:bottom w:w="0" w:type="dxa"/>
              <w:right w:w="45" w:type="dxa"/>
            </w:tcMar>
            <w:vAlign w:val="center"/>
            <w:hideMark/>
          </w:tcPr>
          <w:p w14:paraId="55A64560"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Moderate-Extreme Heat Exposure</w:t>
            </w:r>
            <w:r w:rsidRPr="006704E2">
              <w:rPr>
                <w:rFonts w:ascii="Garamond" w:eastAsia="Times New Roman" w:hAnsi="Garamond" w:cs="Times New Roman"/>
                <w:sz w:val="24"/>
                <w:szCs w:val="24"/>
              </w:rPr>
              <w:br/>
            </w:r>
            <w:proofErr w:type="spellStart"/>
            <w:r w:rsidRPr="006704E2">
              <w:rPr>
                <w:rFonts w:ascii="Garamond" w:eastAsia="Times New Roman" w:hAnsi="Garamond" w:cs="Times New Roman"/>
                <w:sz w:val="24"/>
                <w:szCs w:val="24"/>
              </w:rPr>
              <w:t>HI_max</w:t>
            </w:r>
            <w:proofErr w:type="spellEnd"/>
            <w:r w:rsidRPr="006704E2">
              <w:rPr>
                <w:rFonts w:ascii="Garamond" w:eastAsia="Times New Roman" w:hAnsi="Garamond" w:cs="Times New Roman"/>
                <w:sz w:val="24"/>
                <w:szCs w:val="24"/>
              </w:rPr>
              <w:t xml:space="preserve"> &gt; 70th %</w:t>
            </w:r>
            <w:proofErr w:type="spellStart"/>
            <w:r w:rsidRPr="006704E2">
              <w:rPr>
                <w:rFonts w:ascii="Garamond" w:eastAsia="Times New Roman" w:hAnsi="Garamond" w:cs="Times New Roman"/>
                <w:sz w:val="24"/>
                <w:szCs w:val="24"/>
              </w:rPr>
              <w:t>ile</w:t>
            </w:r>
            <w:proofErr w:type="spellEnd"/>
          </w:p>
        </w:tc>
      </w:tr>
      <w:tr w:rsidR="007D5D93" w:rsidRPr="006704E2" w14:paraId="4FCD1033" w14:textId="77777777" w:rsidTr="002B69F9">
        <w:trPr>
          <w:trHeight w:val="696"/>
        </w:trPr>
        <w:tc>
          <w:tcPr>
            <w:tcW w:w="1135" w:type="dxa"/>
            <w:tcMar>
              <w:top w:w="0" w:type="dxa"/>
              <w:left w:w="45" w:type="dxa"/>
              <w:bottom w:w="0" w:type="dxa"/>
              <w:right w:w="45" w:type="dxa"/>
            </w:tcMar>
            <w:vAlign w:val="center"/>
            <w:hideMark/>
          </w:tcPr>
          <w:p w14:paraId="7ABA13EA"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Health Outcome</w:t>
            </w:r>
          </w:p>
        </w:tc>
        <w:tc>
          <w:tcPr>
            <w:tcW w:w="840" w:type="dxa"/>
            <w:tcMar>
              <w:top w:w="0" w:type="dxa"/>
              <w:left w:w="45" w:type="dxa"/>
              <w:bottom w:w="0" w:type="dxa"/>
              <w:right w:w="45" w:type="dxa"/>
            </w:tcMar>
            <w:vAlign w:val="center"/>
            <w:hideMark/>
          </w:tcPr>
          <w:p w14:paraId="4F9B03D3"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Age Group</w:t>
            </w:r>
          </w:p>
        </w:tc>
        <w:tc>
          <w:tcPr>
            <w:tcW w:w="1620" w:type="dxa"/>
            <w:tcMar>
              <w:top w:w="0" w:type="dxa"/>
              <w:left w:w="45" w:type="dxa"/>
              <w:bottom w:w="0" w:type="dxa"/>
              <w:right w:w="45" w:type="dxa"/>
            </w:tcMar>
            <w:vAlign w:val="center"/>
            <w:hideMark/>
          </w:tcPr>
          <w:p w14:paraId="08EE8D66" w14:textId="57B40F3E"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A</w:t>
            </w:r>
            <w:r w:rsidR="00D938C2">
              <w:rPr>
                <w:rFonts w:ascii="Garamond" w:eastAsia="Times New Roman" w:hAnsi="Garamond" w:cs="Times New Roman"/>
                <w:sz w:val="24"/>
                <w:szCs w:val="24"/>
              </w:rPr>
              <w:t>F</w:t>
            </w:r>
          </w:p>
          <w:p w14:paraId="42B32A11"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c>
          <w:tcPr>
            <w:tcW w:w="2250" w:type="dxa"/>
            <w:tcMar>
              <w:top w:w="0" w:type="dxa"/>
              <w:left w:w="45" w:type="dxa"/>
              <w:bottom w:w="0" w:type="dxa"/>
              <w:right w:w="45" w:type="dxa"/>
            </w:tcMar>
            <w:vAlign w:val="center"/>
            <w:hideMark/>
          </w:tcPr>
          <w:p w14:paraId="6E61A7DD" w14:textId="31B992F1" w:rsidR="007D5D93" w:rsidRPr="006704E2" w:rsidRDefault="00816B3E"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A</w:t>
            </w:r>
            <w:r w:rsidR="00D938C2">
              <w:rPr>
                <w:rFonts w:ascii="Garamond" w:eastAsia="Times New Roman" w:hAnsi="Garamond" w:cs="Times New Roman"/>
                <w:sz w:val="24"/>
                <w:szCs w:val="24"/>
              </w:rPr>
              <w:t>C</w:t>
            </w:r>
          </w:p>
          <w:p w14:paraId="3371B362"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c>
          <w:tcPr>
            <w:tcW w:w="1980" w:type="dxa"/>
            <w:tcMar>
              <w:top w:w="0" w:type="dxa"/>
              <w:left w:w="45" w:type="dxa"/>
              <w:bottom w:w="0" w:type="dxa"/>
              <w:right w:w="45" w:type="dxa"/>
            </w:tcMar>
            <w:vAlign w:val="center"/>
            <w:hideMark/>
          </w:tcPr>
          <w:p w14:paraId="2BFB983C" w14:textId="37470417" w:rsidR="007D5D93" w:rsidRPr="006704E2" w:rsidRDefault="00816B3E" w:rsidP="00985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A</w:t>
            </w:r>
            <w:r w:rsidR="00D938C2">
              <w:rPr>
                <w:rFonts w:ascii="Garamond" w:eastAsia="Times New Roman" w:hAnsi="Garamond" w:cs="Times New Roman"/>
                <w:sz w:val="24"/>
                <w:szCs w:val="24"/>
              </w:rPr>
              <w:t>F</w:t>
            </w:r>
          </w:p>
          <w:p w14:paraId="6E0C0345"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c>
          <w:tcPr>
            <w:tcW w:w="1980" w:type="dxa"/>
            <w:tcMar>
              <w:top w:w="0" w:type="dxa"/>
              <w:left w:w="45" w:type="dxa"/>
              <w:bottom w:w="0" w:type="dxa"/>
              <w:right w:w="45" w:type="dxa"/>
            </w:tcMar>
            <w:vAlign w:val="center"/>
            <w:hideMark/>
          </w:tcPr>
          <w:p w14:paraId="5DE66739" w14:textId="3A74A658" w:rsidR="007D5D93" w:rsidRPr="006704E2" w:rsidRDefault="00816B3E" w:rsidP="00985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A</w:t>
            </w:r>
            <w:r w:rsidR="00D938C2">
              <w:rPr>
                <w:rFonts w:ascii="Garamond" w:eastAsia="Times New Roman" w:hAnsi="Garamond" w:cs="Times New Roman"/>
                <w:sz w:val="24"/>
                <w:szCs w:val="24"/>
              </w:rPr>
              <w:t>C</w:t>
            </w:r>
          </w:p>
          <w:p w14:paraId="6B12EAF8"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r>
      <w:tr w:rsidR="007D5D93" w:rsidRPr="006704E2" w14:paraId="060F8F72" w14:textId="77777777" w:rsidTr="002B69F9">
        <w:trPr>
          <w:trHeight w:val="288"/>
        </w:trPr>
        <w:tc>
          <w:tcPr>
            <w:tcW w:w="1135" w:type="dxa"/>
            <w:vMerge w:val="restart"/>
            <w:tcMar>
              <w:top w:w="0" w:type="dxa"/>
              <w:left w:w="45" w:type="dxa"/>
              <w:bottom w:w="0" w:type="dxa"/>
              <w:right w:w="45" w:type="dxa"/>
            </w:tcMar>
            <w:vAlign w:val="center"/>
            <w:hideMark/>
          </w:tcPr>
          <w:p w14:paraId="18E170F1"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Mort</w:t>
            </w:r>
          </w:p>
          <w:p w14:paraId="08F341C8" w14:textId="1BB68F6A" w:rsidR="002B69F9" w:rsidRPr="006704E2" w:rsidRDefault="002B69F9"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(1998-2014)</w:t>
            </w:r>
          </w:p>
        </w:tc>
        <w:tc>
          <w:tcPr>
            <w:tcW w:w="840" w:type="dxa"/>
            <w:tcMar>
              <w:top w:w="0" w:type="dxa"/>
              <w:left w:w="45" w:type="dxa"/>
              <w:bottom w:w="0" w:type="dxa"/>
              <w:right w:w="45" w:type="dxa"/>
            </w:tcMar>
            <w:vAlign w:val="center"/>
            <w:hideMark/>
          </w:tcPr>
          <w:p w14:paraId="772F538B"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0-19</w:t>
            </w:r>
          </w:p>
        </w:tc>
        <w:tc>
          <w:tcPr>
            <w:tcW w:w="1620" w:type="dxa"/>
            <w:vMerge w:val="restart"/>
            <w:shd w:val="clear" w:color="auto" w:fill="A6A6A6" w:themeFill="background1" w:themeFillShade="A6"/>
            <w:tcMar>
              <w:top w:w="0" w:type="dxa"/>
              <w:left w:w="45" w:type="dxa"/>
              <w:bottom w:w="0" w:type="dxa"/>
              <w:right w:w="45" w:type="dxa"/>
            </w:tcMar>
            <w:vAlign w:val="center"/>
            <w:hideMark/>
          </w:tcPr>
          <w:p w14:paraId="6DA4FD0B"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2250" w:type="dxa"/>
            <w:vMerge w:val="restart"/>
            <w:shd w:val="clear" w:color="auto" w:fill="A6A6A6" w:themeFill="background1" w:themeFillShade="A6"/>
            <w:tcMar>
              <w:top w:w="0" w:type="dxa"/>
              <w:left w:w="45" w:type="dxa"/>
              <w:bottom w:w="0" w:type="dxa"/>
              <w:right w:w="45" w:type="dxa"/>
            </w:tcMar>
            <w:vAlign w:val="center"/>
            <w:hideMark/>
          </w:tcPr>
          <w:p w14:paraId="6D8C9172"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80" w:type="dxa"/>
            <w:vMerge w:val="restart"/>
            <w:shd w:val="clear" w:color="auto" w:fill="A6A6A6" w:themeFill="background1" w:themeFillShade="A6"/>
            <w:tcMar>
              <w:top w:w="0" w:type="dxa"/>
              <w:left w:w="45" w:type="dxa"/>
              <w:bottom w:w="0" w:type="dxa"/>
              <w:right w:w="45" w:type="dxa"/>
            </w:tcMar>
            <w:vAlign w:val="center"/>
            <w:hideMark/>
          </w:tcPr>
          <w:p w14:paraId="44B4A565"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80" w:type="dxa"/>
            <w:vMerge w:val="restart"/>
            <w:shd w:val="clear" w:color="auto" w:fill="A6A6A6" w:themeFill="background1" w:themeFillShade="A6"/>
            <w:vAlign w:val="center"/>
          </w:tcPr>
          <w:p w14:paraId="6139EB95" w14:textId="77777777" w:rsidR="007D5D93" w:rsidRPr="006704E2" w:rsidRDefault="007D5D93" w:rsidP="0098552F">
            <w:pPr>
              <w:spacing w:after="0" w:line="240" w:lineRule="auto"/>
              <w:jc w:val="center"/>
              <w:rPr>
                <w:rFonts w:ascii="Garamond" w:eastAsia="Times New Roman" w:hAnsi="Garamond" w:cs="Times New Roman"/>
                <w:sz w:val="20"/>
                <w:szCs w:val="20"/>
              </w:rPr>
            </w:pPr>
          </w:p>
        </w:tc>
      </w:tr>
      <w:tr w:rsidR="007D5D93" w:rsidRPr="006704E2" w14:paraId="06BC9038" w14:textId="77777777" w:rsidTr="002B69F9">
        <w:trPr>
          <w:trHeight w:val="288"/>
        </w:trPr>
        <w:tc>
          <w:tcPr>
            <w:tcW w:w="1135" w:type="dxa"/>
            <w:vMerge/>
            <w:vAlign w:val="center"/>
            <w:hideMark/>
          </w:tcPr>
          <w:p w14:paraId="1DFEB380"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840" w:type="dxa"/>
            <w:tcMar>
              <w:top w:w="0" w:type="dxa"/>
              <w:left w:w="45" w:type="dxa"/>
              <w:bottom w:w="0" w:type="dxa"/>
              <w:right w:w="45" w:type="dxa"/>
            </w:tcMar>
            <w:vAlign w:val="center"/>
            <w:hideMark/>
          </w:tcPr>
          <w:p w14:paraId="4F38F9FC"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20-64</w:t>
            </w:r>
          </w:p>
        </w:tc>
        <w:tc>
          <w:tcPr>
            <w:tcW w:w="1620" w:type="dxa"/>
            <w:vMerge/>
            <w:shd w:val="clear" w:color="auto" w:fill="A6A6A6" w:themeFill="background1" w:themeFillShade="A6"/>
            <w:tcMar>
              <w:top w:w="0" w:type="dxa"/>
              <w:left w:w="45" w:type="dxa"/>
              <w:bottom w:w="0" w:type="dxa"/>
              <w:right w:w="45" w:type="dxa"/>
            </w:tcMar>
            <w:vAlign w:val="center"/>
            <w:hideMark/>
          </w:tcPr>
          <w:p w14:paraId="57DB1322"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2250" w:type="dxa"/>
            <w:vMerge/>
            <w:shd w:val="clear" w:color="auto" w:fill="A6A6A6" w:themeFill="background1" w:themeFillShade="A6"/>
            <w:tcMar>
              <w:top w:w="0" w:type="dxa"/>
              <w:left w:w="45" w:type="dxa"/>
              <w:bottom w:w="0" w:type="dxa"/>
              <w:right w:w="45" w:type="dxa"/>
            </w:tcMar>
            <w:vAlign w:val="center"/>
            <w:hideMark/>
          </w:tcPr>
          <w:p w14:paraId="0A79F059"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80" w:type="dxa"/>
            <w:vMerge/>
            <w:shd w:val="clear" w:color="auto" w:fill="A6A6A6" w:themeFill="background1" w:themeFillShade="A6"/>
            <w:tcMar>
              <w:top w:w="0" w:type="dxa"/>
              <w:left w:w="45" w:type="dxa"/>
              <w:bottom w:w="0" w:type="dxa"/>
              <w:right w:w="45" w:type="dxa"/>
            </w:tcMar>
            <w:vAlign w:val="center"/>
            <w:hideMark/>
          </w:tcPr>
          <w:p w14:paraId="03063684"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80" w:type="dxa"/>
            <w:vMerge/>
            <w:shd w:val="clear" w:color="auto" w:fill="A6A6A6" w:themeFill="background1" w:themeFillShade="A6"/>
            <w:vAlign w:val="center"/>
          </w:tcPr>
          <w:p w14:paraId="20661190" w14:textId="77777777" w:rsidR="007D5D93" w:rsidRPr="006704E2" w:rsidRDefault="007D5D93" w:rsidP="0098552F">
            <w:pPr>
              <w:spacing w:after="0" w:line="240" w:lineRule="auto"/>
              <w:jc w:val="center"/>
              <w:rPr>
                <w:rFonts w:ascii="Garamond" w:eastAsia="Times New Roman" w:hAnsi="Garamond" w:cs="Times New Roman"/>
                <w:sz w:val="20"/>
                <w:szCs w:val="20"/>
              </w:rPr>
            </w:pPr>
          </w:p>
        </w:tc>
      </w:tr>
      <w:tr w:rsidR="007D5D93" w:rsidRPr="006704E2" w14:paraId="2E0C6ADD" w14:textId="77777777" w:rsidTr="007D262E">
        <w:trPr>
          <w:trHeight w:val="288"/>
        </w:trPr>
        <w:tc>
          <w:tcPr>
            <w:tcW w:w="1135" w:type="dxa"/>
            <w:vMerge/>
            <w:tcBorders>
              <w:bottom w:val="double" w:sz="4" w:space="0" w:color="auto"/>
            </w:tcBorders>
            <w:vAlign w:val="center"/>
            <w:hideMark/>
          </w:tcPr>
          <w:p w14:paraId="0AF562BA"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840" w:type="dxa"/>
            <w:tcBorders>
              <w:bottom w:val="double" w:sz="4" w:space="0" w:color="auto"/>
            </w:tcBorders>
            <w:tcMar>
              <w:top w:w="0" w:type="dxa"/>
              <w:left w:w="45" w:type="dxa"/>
              <w:bottom w:w="0" w:type="dxa"/>
              <w:right w:w="45" w:type="dxa"/>
            </w:tcMar>
            <w:vAlign w:val="center"/>
            <w:hideMark/>
          </w:tcPr>
          <w:p w14:paraId="02D93DC2"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65+</w:t>
            </w:r>
          </w:p>
        </w:tc>
        <w:tc>
          <w:tcPr>
            <w:tcW w:w="1620" w:type="dxa"/>
            <w:tcBorders>
              <w:bottom w:val="double" w:sz="4" w:space="0" w:color="auto"/>
            </w:tcBorders>
            <w:shd w:val="clear" w:color="auto" w:fill="auto"/>
            <w:tcMar>
              <w:top w:w="0" w:type="dxa"/>
              <w:left w:w="45" w:type="dxa"/>
              <w:bottom w:w="0" w:type="dxa"/>
              <w:right w:w="45" w:type="dxa"/>
            </w:tcMar>
            <w:vAlign w:val="center"/>
            <w:hideMark/>
          </w:tcPr>
          <w:p w14:paraId="6322FA31"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6.19</w:t>
            </w:r>
          </w:p>
          <w:p w14:paraId="4FE504EA"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[3.17, 9.02]</w:t>
            </w:r>
          </w:p>
        </w:tc>
        <w:tc>
          <w:tcPr>
            <w:tcW w:w="2250" w:type="dxa"/>
            <w:tcBorders>
              <w:bottom w:val="double" w:sz="4" w:space="0" w:color="auto"/>
            </w:tcBorders>
            <w:shd w:val="clear" w:color="auto" w:fill="auto"/>
            <w:tcMar>
              <w:top w:w="0" w:type="dxa"/>
              <w:left w:w="45" w:type="dxa"/>
              <w:bottom w:w="0" w:type="dxa"/>
              <w:right w:w="45" w:type="dxa"/>
            </w:tcMar>
            <w:vAlign w:val="center"/>
            <w:hideMark/>
          </w:tcPr>
          <w:p w14:paraId="1FFA710F" w14:textId="5C736782"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13</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991</w:t>
            </w:r>
          </w:p>
          <w:p w14:paraId="65CFFD13" w14:textId="65D974EC"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[7</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197, 20</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158]</w:t>
            </w:r>
          </w:p>
        </w:tc>
        <w:tc>
          <w:tcPr>
            <w:tcW w:w="1980" w:type="dxa"/>
            <w:tcBorders>
              <w:bottom w:val="double" w:sz="4" w:space="0" w:color="auto"/>
            </w:tcBorders>
            <w:shd w:val="clear" w:color="auto" w:fill="auto"/>
            <w:tcMar>
              <w:top w:w="0" w:type="dxa"/>
              <w:left w:w="45" w:type="dxa"/>
              <w:bottom w:w="0" w:type="dxa"/>
              <w:right w:w="45" w:type="dxa"/>
            </w:tcMar>
            <w:vAlign w:val="center"/>
            <w:hideMark/>
          </w:tcPr>
          <w:p w14:paraId="772CBDAE"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0.89</w:t>
            </w:r>
          </w:p>
          <w:p w14:paraId="0A75BF1D"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[0.38, 1.40]</w:t>
            </w:r>
          </w:p>
        </w:tc>
        <w:tc>
          <w:tcPr>
            <w:tcW w:w="1980" w:type="dxa"/>
            <w:tcBorders>
              <w:bottom w:val="double" w:sz="4" w:space="0" w:color="auto"/>
            </w:tcBorders>
            <w:shd w:val="clear" w:color="auto" w:fill="auto"/>
            <w:tcMar>
              <w:top w:w="0" w:type="dxa"/>
              <w:left w:w="45" w:type="dxa"/>
              <w:bottom w:w="0" w:type="dxa"/>
              <w:right w:w="45" w:type="dxa"/>
            </w:tcMar>
            <w:vAlign w:val="center"/>
            <w:hideMark/>
          </w:tcPr>
          <w:p w14:paraId="62317B99" w14:textId="26CD0098"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016</w:t>
            </w:r>
          </w:p>
          <w:p w14:paraId="1F5F820A" w14:textId="219C9B84"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[863, 3</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193]</w:t>
            </w:r>
          </w:p>
        </w:tc>
      </w:tr>
      <w:tr w:rsidR="007D5D93" w:rsidRPr="006704E2" w14:paraId="700EE4E0" w14:textId="77777777" w:rsidTr="007D262E">
        <w:trPr>
          <w:trHeight w:val="288"/>
        </w:trPr>
        <w:tc>
          <w:tcPr>
            <w:tcW w:w="1135" w:type="dxa"/>
            <w:vMerge w:val="restart"/>
            <w:tcBorders>
              <w:top w:val="double" w:sz="4" w:space="0" w:color="auto"/>
            </w:tcBorders>
            <w:tcMar>
              <w:top w:w="0" w:type="dxa"/>
              <w:left w:w="45" w:type="dxa"/>
              <w:bottom w:w="0" w:type="dxa"/>
              <w:right w:w="45" w:type="dxa"/>
            </w:tcMar>
            <w:vAlign w:val="center"/>
            <w:hideMark/>
          </w:tcPr>
          <w:p w14:paraId="5286BA85"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EDV</w:t>
            </w:r>
          </w:p>
          <w:p w14:paraId="2D6C60BA" w14:textId="15AE6FBD" w:rsidR="002B69F9" w:rsidRPr="006704E2" w:rsidRDefault="002B69F9"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(2005-2014)</w:t>
            </w:r>
          </w:p>
        </w:tc>
        <w:tc>
          <w:tcPr>
            <w:tcW w:w="840" w:type="dxa"/>
            <w:tcBorders>
              <w:top w:val="double" w:sz="4" w:space="0" w:color="auto"/>
            </w:tcBorders>
            <w:tcMar>
              <w:top w:w="0" w:type="dxa"/>
              <w:left w:w="45" w:type="dxa"/>
              <w:bottom w:w="0" w:type="dxa"/>
              <w:right w:w="45" w:type="dxa"/>
            </w:tcMar>
            <w:vAlign w:val="center"/>
            <w:hideMark/>
          </w:tcPr>
          <w:p w14:paraId="31C77B24"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0-19</w:t>
            </w:r>
          </w:p>
        </w:tc>
        <w:tc>
          <w:tcPr>
            <w:tcW w:w="1620" w:type="dxa"/>
            <w:tcBorders>
              <w:top w:val="double" w:sz="4" w:space="0" w:color="auto"/>
            </w:tcBorders>
            <w:shd w:val="clear" w:color="auto" w:fill="auto"/>
            <w:tcMar>
              <w:top w:w="0" w:type="dxa"/>
              <w:left w:w="45" w:type="dxa"/>
              <w:bottom w:w="0" w:type="dxa"/>
              <w:right w:w="45" w:type="dxa"/>
            </w:tcMar>
            <w:vAlign w:val="center"/>
            <w:hideMark/>
          </w:tcPr>
          <w:p w14:paraId="4CCBD710"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7.03</w:t>
            </w:r>
          </w:p>
          <w:p w14:paraId="4306697D"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[5.89, 8.10]</w:t>
            </w:r>
          </w:p>
        </w:tc>
        <w:tc>
          <w:tcPr>
            <w:tcW w:w="2250" w:type="dxa"/>
            <w:tcBorders>
              <w:top w:val="double" w:sz="4" w:space="0" w:color="auto"/>
            </w:tcBorders>
            <w:shd w:val="clear" w:color="auto" w:fill="auto"/>
            <w:tcMar>
              <w:top w:w="0" w:type="dxa"/>
              <w:left w:w="45" w:type="dxa"/>
              <w:bottom w:w="0" w:type="dxa"/>
              <w:right w:w="45" w:type="dxa"/>
            </w:tcMar>
            <w:vAlign w:val="center"/>
            <w:hideMark/>
          </w:tcPr>
          <w:p w14:paraId="6809B0BB" w14:textId="626771AD"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137</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622</w:t>
            </w:r>
          </w:p>
          <w:p w14:paraId="56CDEB58" w14:textId="2C68000A"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[115</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749, 157</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331]</w:t>
            </w:r>
          </w:p>
        </w:tc>
        <w:tc>
          <w:tcPr>
            <w:tcW w:w="1980" w:type="dxa"/>
            <w:tcBorders>
              <w:top w:val="double" w:sz="4" w:space="0" w:color="auto"/>
            </w:tcBorders>
            <w:shd w:val="clear" w:color="auto" w:fill="auto"/>
            <w:tcMar>
              <w:top w:w="0" w:type="dxa"/>
              <w:left w:w="45" w:type="dxa"/>
              <w:bottom w:w="0" w:type="dxa"/>
              <w:right w:w="45" w:type="dxa"/>
            </w:tcMar>
            <w:vAlign w:val="center"/>
            <w:hideMark/>
          </w:tcPr>
          <w:p w14:paraId="34CA8103"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1.2</w:t>
            </w:r>
          </w:p>
          <w:p w14:paraId="57C41519"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[0.44, 1.92]</w:t>
            </w:r>
          </w:p>
        </w:tc>
        <w:tc>
          <w:tcPr>
            <w:tcW w:w="1980" w:type="dxa"/>
            <w:tcBorders>
              <w:top w:val="double" w:sz="4" w:space="0" w:color="auto"/>
            </w:tcBorders>
            <w:shd w:val="clear" w:color="auto" w:fill="auto"/>
            <w:tcMar>
              <w:top w:w="0" w:type="dxa"/>
              <w:left w:w="45" w:type="dxa"/>
              <w:bottom w:w="0" w:type="dxa"/>
              <w:right w:w="45" w:type="dxa"/>
            </w:tcMar>
            <w:vAlign w:val="center"/>
            <w:hideMark/>
          </w:tcPr>
          <w:p w14:paraId="186A4517" w14:textId="1006D7B2"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23</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478</w:t>
            </w:r>
          </w:p>
          <w:p w14:paraId="3FE93123" w14:textId="718D78BD"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[8751, 37</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860]</w:t>
            </w:r>
          </w:p>
        </w:tc>
      </w:tr>
      <w:tr w:rsidR="007D5D93" w:rsidRPr="006704E2" w14:paraId="6F205B91" w14:textId="77777777" w:rsidTr="002B69F9">
        <w:trPr>
          <w:trHeight w:val="288"/>
        </w:trPr>
        <w:tc>
          <w:tcPr>
            <w:tcW w:w="1135" w:type="dxa"/>
            <w:vMerge/>
            <w:vAlign w:val="center"/>
            <w:hideMark/>
          </w:tcPr>
          <w:p w14:paraId="066F6B6D"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840" w:type="dxa"/>
            <w:tcMar>
              <w:top w:w="0" w:type="dxa"/>
              <w:left w:w="45" w:type="dxa"/>
              <w:bottom w:w="0" w:type="dxa"/>
              <w:right w:w="45" w:type="dxa"/>
            </w:tcMar>
            <w:vAlign w:val="center"/>
            <w:hideMark/>
          </w:tcPr>
          <w:p w14:paraId="7B78E66C"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20-64</w:t>
            </w:r>
          </w:p>
        </w:tc>
        <w:tc>
          <w:tcPr>
            <w:tcW w:w="1620" w:type="dxa"/>
            <w:shd w:val="clear" w:color="auto" w:fill="auto"/>
            <w:tcMar>
              <w:top w:w="0" w:type="dxa"/>
              <w:left w:w="45" w:type="dxa"/>
              <w:bottom w:w="0" w:type="dxa"/>
              <w:right w:w="45" w:type="dxa"/>
            </w:tcMar>
            <w:vAlign w:val="center"/>
            <w:hideMark/>
          </w:tcPr>
          <w:p w14:paraId="682CB56B"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1.77</w:t>
            </w:r>
          </w:p>
          <w:p w14:paraId="1638B133"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[0.97, 2.57]</w:t>
            </w:r>
          </w:p>
        </w:tc>
        <w:tc>
          <w:tcPr>
            <w:tcW w:w="2250" w:type="dxa"/>
            <w:shd w:val="clear" w:color="auto" w:fill="auto"/>
            <w:tcMar>
              <w:top w:w="0" w:type="dxa"/>
              <w:left w:w="45" w:type="dxa"/>
              <w:bottom w:w="0" w:type="dxa"/>
              <w:right w:w="45" w:type="dxa"/>
            </w:tcMar>
            <w:vAlign w:val="center"/>
            <w:hideMark/>
          </w:tcPr>
          <w:p w14:paraId="17F2B783" w14:textId="2CD6494A"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70</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464</w:t>
            </w:r>
          </w:p>
          <w:p w14:paraId="5576E917" w14:textId="5D0CC97E"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[37</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961, 102</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260]</w:t>
            </w:r>
          </w:p>
        </w:tc>
        <w:tc>
          <w:tcPr>
            <w:tcW w:w="1980" w:type="dxa"/>
            <w:shd w:val="clear" w:color="auto" w:fill="auto"/>
            <w:tcMar>
              <w:top w:w="0" w:type="dxa"/>
              <w:left w:w="45" w:type="dxa"/>
              <w:bottom w:w="0" w:type="dxa"/>
              <w:right w:w="45" w:type="dxa"/>
            </w:tcMar>
            <w:vAlign w:val="center"/>
            <w:hideMark/>
          </w:tcPr>
          <w:p w14:paraId="4DD902A7"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0.32</w:t>
            </w:r>
          </w:p>
          <w:p w14:paraId="19479EB5"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[-0.14, 0.79]</w:t>
            </w:r>
          </w:p>
        </w:tc>
        <w:tc>
          <w:tcPr>
            <w:tcW w:w="1980" w:type="dxa"/>
            <w:shd w:val="clear" w:color="auto" w:fill="auto"/>
            <w:tcMar>
              <w:top w:w="0" w:type="dxa"/>
              <w:left w:w="45" w:type="dxa"/>
              <w:bottom w:w="0" w:type="dxa"/>
              <w:right w:w="45" w:type="dxa"/>
            </w:tcMar>
            <w:vAlign w:val="center"/>
            <w:hideMark/>
          </w:tcPr>
          <w:p w14:paraId="6BA037A7" w14:textId="5B5DE9E3"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12</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733</w:t>
            </w:r>
          </w:p>
          <w:p w14:paraId="7C8400D1" w14:textId="5B4C7C8E"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[-5</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415, 31</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057]</w:t>
            </w:r>
          </w:p>
        </w:tc>
      </w:tr>
      <w:tr w:rsidR="007D5D93" w:rsidRPr="006704E2" w14:paraId="303EB048" w14:textId="77777777" w:rsidTr="002B69F9">
        <w:trPr>
          <w:trHeight w:val="288"/>
        </w:trPr>
        <w:tc>
          <w:tcPr>
            <w:tcW w:w="1135" w:type="dxa"/>
            <w:vMerge/>
            <w:vAlign w:val="center"/>
            <w:hideMark/>
          </w:tcPr>
          <w:p w14:paraId="4765BD71"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840" w:type="dxa"/>
            <w:tcMar>
              <w:top w:w="0" w:type="dxa"/>
              <w:left w:w="45" w:type="dxa"/>
              <w:bottom w:w="0" w:type="dxa"/>
              <w:right w:w="45" w:type="dxa"/>
            </w:tcMar>
            <w:vAlign w:val="center"/>
            <w:hideMark/>
          </w:tcPr>
          <w:p w14:paraId="252163F5"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65+</w:t>
            </w:r>
          </w:p>
        </w:tc>
        <w:tc>
          <w:tcPr>
            <w:tcW w:w="1620" w:type="dxa"/>
            <w:shd w:val="clear" w:color="auto" w:fill="auto"/>
            <w:tcMar>
              <w:top w:w="0" w:type="dxa"/>
              <w:left w:w="45" w:type="dxa"/>
              <w:bottom w:w="0" w:type="dxa"/>
              <w:right w:w="45" w:type="dxa"/>
            </w:tcMar>
            <w:vAlign w:val="center"/>
            <w:hideMark/>
          </w:tcPr>
          <w:p w14:paraId="0D04618F"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2.21</w:t>
            </w:r>
          </w:p>
          <w:p w14:paraId="7C1F5D39"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[0.62, 3.76]</w:t>
            </w:r>
          </w:p>
        </w:tc>
        <w:tc>
          <w:tcPr>
            <w:tcW w:w="2250" w:type="dxa"/>
            <w:shd w:val="clear" w:color="auto" w:fill="auto"/>
            <w:tcMar>
              <w:top w:w="0" w:type="dxa"/>
              <w:left w:w="45" w:type="dxa"/>
              <w:bottom w:w="0" w:type="dxa"/>
              <w:right w:w="45" w:type="dxa"/>
            </w:tcMar>
            <w:vAlign w:val="center"/>
            <w:hideMark/>
          </w:tcPr>
          <w:p w14:paraId="5A484F56" w14:textId="4E9AD72A"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15</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921</w:t>
            </w:r>
          </w:p>
          <w:p w14:paraId="23188B5B" w14:textId="3C77323C"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[4</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741, 26</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936]</w:t>
            </w:r>
          </w:p>
        </w:tc>
        <w:tc>
          <w:tcPr>
            <w:tcW w:w="1980" w:type="dxa"/>
            <w:shd w:val="clear" w:color="auto" w:fill="auto"/>
            <w:tcMar>
              <w:top w:w="0" w:type="dxa"/>
              <w:left w:w="45" w:type="dxa"/>
              <w:bottom w:w="0" w:type="dxa"/>
              <w:right w:w="45" w:type="dxa"/>
            </w:tcMar>
            <w:vAlign w:val="center"/>
            <w:hideMark/>
          </w:tcPr>
          <w:p w14:paraId="7FA6F839"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0.27</w:t>
            </w:r>
          </w:p>
          <w:p w14:paraId="438D9E90"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[-0.41, 0.94]</w:t>
            </w:r>
          </w:p>
        </w:tc>
        <w:tc>
          <w:tcPr>
            <w:tcW w:w="1980" w:type="dxa"/>
            <w:shd w:val="clear" w:color="auto" w:fill="auto"/>
            <w:tcMar>
              <w:top w:w="0" w:type="dxa"/>
              <w:left w:w="45" w:type="dxa"/>
              <w:bottom w:w="0" w:type="dxa"/>
              <w:right w:w="45" w:type="dxa"/>
            </w:tcMar>
            <w:vAlign w:val="center"/>
            <w:hideMark/>
          </w:tcPr>
          <w:p w14:paraId="2B08DDE5" w14:textId="0B0EF88F"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943</w:t>
            </w:r>
          </w:p>
          <w:p w14:paraId="0E355D08" w14:textId="340DA8BC"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[-3</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075, 6</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827]</w:t>
            </w:r>
          </w:p>
        </w:tc>
      </w:tr>
      <w:tr w:rsidR="007D5D93" w:rsidRPr="006704E2" w14:paraId="772F6C48" w14:textId="77777777" w:rsidTr="002B69F9">
        <w:trPr>
          <w:trHeight w:val="288"/>
        </w:trPr>
        <w:tc>
          <w:tcPr>
            <w:tcW w:w="1135" w:type="dxa"/>
            <w:vMerge w:val="restart"/>
            <w:tcMar>
              <w:top w:w="0" w:type="dxa"/>
              <w:left w:w="45" w:type="dxa"/>
              <w:bottom w:w="0" w:type="dxa"/>
              <w:right w:w="45" w:type="dxa"/>
            </w:tcMar>
            <w:vAlign w:val="center"/>
            <w:hideMark/>
          </w:tcPr>
          <w:p w14:paraId="07E44BA1"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EDHSP</w:t>
            </w:r>
          </w:p>
          <w:p w14:paraId="6FFD92B8" w14:textId="5C361117" w:rsidR="002B69F9" w:rsidRPr="006704E2" w:rsidRDefault="002B69F9"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(2005-2014)</w:t>
            </w:r>
          </w:p>
        </w:tc>
        <w:tc>
          <w:tcPr>
            <w:tcW w:w="840" w:type="dxa"/>
            <w:tcMar>
              <w:top w:w="0" w:type="dxa"/>
              <w:left w:w="45" w:type="dxa"/>
              <w:bottom w:w="0" w:type="dxa"/>
              <w:right w:w="45" w:type="dxa"/>
            </w:tcMar>
            <w:vAlign w:val="center"/>
            <w:hideMark/>
          </w:tcPr>
          <w:p w14:paraId="6DF29181"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0-19</w:t>
            </w:r>
          </w:p>
        </w:tc>
        <w:tc>
          <w:tcPr>
            <w:tcW w:w="1620" w:type="dxa"/>
            <w:shd w:val="clear" w:color="auto" w:fill="auto"/>
            <w:tcMar>
              <w:top w:w="0" w:type="dxa"/>
              <w:left w:w="45" w:type="dxa"/>
              <w:bottom w:w="0" w:type="dxa"/>
              <w:right w:w="45" w:type="dxa"/>
            </w:tcMar>
            <w:vAlign w:val="center"/>
            <w:hideMark/>
          </w:tcPr>
          <w:p w14:paraId="0DC4FB07"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6.63</w:t>
            </w:r>
          </w:p>
          <w:p w14:paraId="58DEE414"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[2.48, 10.27]</w:t>
            </w:r>
          </w:p>
        </w:tc>
        <w:tc>
          <w:tcPr>
            <w:tcW w:w="2250" w:type="dxa"/>
            <w:shd w:val="clear" w:color="auto" w:fill="auto"/>
            <w:tcMar>
              <w:top w:w="0" w:type="dxa"/>
              <w:left w:w="45" w:type="dxa"/>
              <w:bottom w:w="0" w:type="dxa"/>
              <w:right w:w="45" w:type="dxa"/>
            </w:tcMar>
            <w:vAlign w:val="center"/>
            <w:hideMark/>
          </w:tcPr>
          <w:p w14:paraId="79E0B75E" w14:textId="43CEF3B3"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9</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242</w:t>
            </w:r>
          </w:p>
          <w:p w14:paraId="3CE784C3" w14:textId="30063D31"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[3</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666, 14</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339]</w:t>
            </w:r>
          </w:p>
        </w:tc>
        <w:tc>
          <w:tcPr>
            <w:tcW w:w="1980" w:type="dxa"/>
            <w:shd w:val="clear" w:color="auto" w:fill="auto"/>
            <w:tcMar>
              <w:top w:w="0" w:type="dxa"/>
              <w:left w:w="45" w:type="dxa"/>
              <w:bottom w:w="0" w:type="dxa"/>
              <w:right w:w="45" w:type="dxa"/>
            </w:tcMar>
            <w:vAlign w:val="center"/>
            <w:hideMark/>
          </w:tcPr>
          <w:p w14:paraId="18DD112C"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0.78</w:t>
            </w:r>
          </w:p>
          <w:p w14:paraId="73E880C6"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[0.14, 1.39]</w:t>
            </w:r>
          </w:p>
        </w:tc>
        <w:tc>
          <w:tcPr>
            <w:tcW w:w="1980" w:type="dxa"/>
            <w:shd w:val="clear" w:color="auto" w:fill="auto"/>
            <w:tcMar>
              <w:top w:w="0" w:type="dxa"/>
              <w:left w:w="45" w:type="dxa"/>
              <w:bottom w:w="0" w:type="dxa"/>
              <w:right w:w="45" w:type="dxa"/>
            </w:tcMar>
            <w:vAlign w:val="center"/>
            <w:hideMark/>
          </w:tcPr>
          <w:p w14:paraId="39A12A2F" w14:textId="58624BA2"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089</w:t>
            </w:r>
          </w:p>
          <w:p w14:paraId="76DC2975" w14:textId="4DFC5CD8"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[194, 1</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929]</w:t>
            </w:r>
          </w:p>
        </w:tc>
      </w:tr>
      <w:tr w:rsidR="007D5D93" w:rsidRPr="006704E2" w14:paraId="4DA5F9BD" w14:textId="77777777" w:rsidTr="002B69F9">
        <w:trPr>
          <w:trHeight w:val="288"/>
        </w:trPr>
        <w:tc>
          <w:tcPr>
            <w:tcW w:w="1135" w:type="dxa"/>
            <w:vMerge/>
            <w:vAlign w:val="center"/>
            <w:hideMark/>
          </w:tcPr>
          <w:p w14:paraId="7159ECE1"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840" w:type="dxa"/>
            <w:tcMar>
              <w:top w:w="0" w:type="dxa"/>
              <w:left w:w="45" w:type="dxa"/>
              <w:bottom w:w="0" w:type="dxa"/>
              <w:right w:w="45" w:type="dxa"/>
            </w:tcMar>
            <w:vAlign w:val="center"/>
            <w:hideMark/>
          </w:tcPr>
          <w:p w14:paraId="21E17524"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20-64</w:t>
            </w:r>
          </w:p>
        </w:tc>
        <w:tc>
          <w:tcPr>
            <w:tcW w:w="1620" w:type="dxa"/>
            <w:shd w:val="clear" w:color="auto" w:fill="auto"/>
            <w:tcMar>
              <w:top w:w="0" w:type="dxa"/>
              <w:left w:w="45" w:type="dxa"/>
              <w:bottom w:w="0" w:type="dxa"/>
              <w:right w:w="45" w:type="dxa"/>
            </w:tcMar>
            <w:vAlign w:val="center"/>
            <w:hideMark/>
          </w:tcPr>
          <w:p w14:paraId="6157B43A"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2.57</w:t>
            </w:r>
          </w:p>
          <w:p w14:paraId="7CAA0037"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[1.25, 3.94]</w:t>
            </w:r>
          </w:p>
        </w:tc>
        <w:tc>
          <w:tcPr>
            <w:tcW w:w="2250" w:type="dxa"/>
            <w:shd w:val="clear" w:color="auto" w:fill="auto"/>
            <w:tcMar>
              <w:top w:w="0" w:type="dxa"/>
              <w:left w:w="45" w:type="dxa"/>
              <w:bottom w:w="0" w:type="dxa"/>
              <w:right w:w="45" w:type="dxa"/>
            </w:tcMar>
            <w:vAlign w:val="center"/>
            <w:hideMark/>
          </w:tcPr>
          <w:p w14:paraId="20D73472"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18504</w:t>
            </w:r>
          </w:p>
          <w:p w14:paraId="7B03B3A1" w14:textId="43039F02"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[8</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727, 27</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641]</w:t>
            </w:r>
          </w:p>
        </w:tc>
        <w:tc>
          <w:tcPr>
            <w:tcW w:w="1980" w:type="dxa"/>
            <w:shd w:val="clear" w:color="auto" w:fill="auto"/>
            <w:tcMar>
              <w:top w:w="0" w:type="dxa"/>
              <w:left w:w="45" w:type="dxa"/>
              <w:bottom w:w="0" w:type="dxa"/>
              <w:right w:w="45" w:type="dxa"/>
            </w:tcMar>
            <w:vAlign w:val="center"/>
            <w:hideMark/>
          </w:tcPr>
          <w:p w14:paraId="580F2CDC"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0.56</w:t>
            </w:r>
          </w:p>
          <w:p w14:paraId="5938DA0C"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[-0.46, 1.53]</w:t>
            </w:r>
          </w:p>
        </w:tc>
        <w:tc>
          <w:tcPr>
            <w:tcW w:w="1980" w:type="dxa"/>
            <w:shd w:val="clear" w:color="auto" w:fill="auto"/>
            <w:tcMar>
              <w:top w:w="0" w:type="dxa"/>
              <w:left w:w="45" w:type="dxa"/>
              <w:bottom w:w="0" w:type="dxa"/>
              <w:right w:w="45" w:type="dxa"/>
            </w:tcMar>
            <w:vAlign w:val="center"/>
            <w:hideMark/>
          </w:tcPr>
          <w:p w14:paraId="7511EE4D" w14:textId="65829FE3"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4</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026</w:t>
            </w:r>
          </w:p>
          <w:p w14:paraId="4BEFE80C" w14:textId="346C7A5A"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[-3</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036, 10</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829]</w:t>
            </w:r>
          </w:p>
        </w:tc>
      </w:tr>
      <w:tr w:rsidR="007D5D93" w:rsidRPr="006704E2" w14:paraId="606444A7" w14:textId="77777777" w:rsidTr="002B69F9">
        <w:trPr>
          <w:trHeight w:val="288"/>
        </w:trPr>
        <w:tc>
          <w:tcPr>
            <w:tcW w:w="1135" w:type="dxa"/>
            <w:vMerge/>
            <w:vAlign w:val="center"/>
            <w:hideMark/>
          </w:tcPr>
          <w:p w14:paraId="736A9848"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840" w:type="dxa"/>
            <w:tcMar>
              <w:top w:w="0" w:type="dxa"/>
              <w:left w:w="45" w:type="dxa"/>
              <w:bottom w:w="0" w:type="dxa"/>
              <w:right w:w="45" w:type="dxa"/>
            </w:tcMar>
            <w:vAlign w:val="center"/>
            <w:hideMark/>
          </w:tcPr>
          <w:p w14:paraId="5B60ED14"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65+</w:t>
            </w:r>
          </w:p>
        </w:tc>
        <w:tc>
          <w:tcPr>
            <w:tcW w:w="1620" w:type="dxa"/>
            <w:shd w:val="clear" w:color="auto" w:fill="auto"/>
            <w:tcMar>
              <w:top w:w="0" w:type="dxa"/>
              <w:left w:w="45" w:type="dxa"/>
              <w:bottom w:w="0" w:type="dxa"/>
              <w:right w:w="45" w:type="dxa"/>
            </w:tcMar>
            <w:vAlign w:val="center"/>
            <w:hideMark/>
          </w:tcPr>
          <w:p w14:paraId="3073F9E6"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4.13</w:t>
            </w:r>
          </w:p>
          <w:p w14:paraId="6C46BA07"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[2.68, 5.52]</w:t>
            </w:r>
          </w:p>
        </w:tc>
        <w:tc>
          <w:tcPr>
            <w:tcW w:w="2250" w:type="dxa"/>
            <w:shd w:val="clear" w:color="auto" w:fill="auto"/>
            <w:tcMar>
              <w:top w:w="0" w:type="dxa"/>
              <w:left w:w="45" w:type="dxa"/>
              <w:bottom w:w="0" w:type="dxa"/>
              <w:right w:w="45" w:type="dxa"/>
            </w:tcMar>
            <w:vAlign w:val="center"/>
            <w:hideMark/>
          </w:tcPr>
          <w:p w14:paraId="705B97B3" w14:textId="504C1461"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24</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252</w:t>
            </w:r>
          </w:p>
          <w:p w14:paraId="04D7A34B" w14:textId="11B6A462"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[15</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750, 32</w:t>
            </w:r>
            <w:r w:rsidR="003F1F1D"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327]</w:t>
            </w:r>
          </w:p>
        </w:tc>
        <w:tc>
          <w:tcPr>
            <w:tcW w:w="1980" w:type="dxa"/>
            <w:shd w:val="clear" w:color="auto" w:fill="auto"/>
            <w:tcMar>
              <w:top w:w="0" w:type="dxa"/>
              <w:left w:w="45" w:type="dxa"/>
              <w:bottom w:w="0" w:type="dxa"/>
              <w:right w:w="45" w:type="dxa"/>
            </w:tcMar>
            <w:vAlign w:val="center"/>
            <w:hideMark/>
          </w:tcPr>
          <w:p w14:paraId="5FA0320F"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0.87</w:t>
            </w:r>
          </w:p>
          <w:p w14:paraId="1FAD6409"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[-0.11, 1.84]</w:t>
            </w:r>
          </w:p>
        </w:tc>
        <w:tc>
          <w:tcPr>
            <w:tcW w:w="1980" w:type="dxa"/>
            <w:shd w:val="clear" w:color="auto" w:fill="auto"/>
            <w:tcMar>
              <w:top w:w="0" w:type="dxa"/>
              <w:left w:w="45" w:type="dxa"/>
              <w:bottom w:w="0" w:type="dxa"/>
              <w:right w:w="45" w:type="dxa"/>
            </w:tcMar>
            <w:vAlign w:val="center"/>
            <w:hideMark/>
          </w:tcPr>
          <w:p w14:paraId="59E3670A" w14:textId="409EAD2E"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5</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091</w:t>
            </w:r>
          </w:p>
          <w:p w14:paraId="03F4C633" w14:textId="2266996D"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[-802, 10</w:t>
            </w:r>
            <w:r w:rsidR="003F1F1D"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993]</w:t>
            </w:r>
          </w:p>
        </w:tc>
      </w:tr>
    </w:tbl>
    <w:p w14:paraId="6800556F" w14:textId="77777777" w:rsidR="007D5D93" w:rsidRPr="006704E2" w:rsidRDefault="007D5D93" w:rsidP="007D5D93"/>
    <w:p w14:paraId="69CAA70A" w14:textId="785D1F5C" w:rsidR="007D5D93" w:rsidRPr="006704E2" w:rsidRDefault="007D5D93" w:rsidP="007D5D93">
      <w:pPr>
        <w:rPr>
          <w:rFonts w:ascii="Garamond" w:eastAsiaTheme="majorEastAsia" w:hAnsi="Garamond" w:cstheme="majorBidi"/>
          <w:sz w:val="26"/>
          <w:szCs w:val="26"/>
        </w:rPr>
      </w:pPr>
      <w:r w:rsidRPr="006704E2">
        <w:rPr>
          <w:rFonts w:ascii="Garamond" w:hAnsi="Garamond"/>
        </w:rPr>
        <w:br w:type="page"/>
      </w:r>
    </w:p>
    <w:p w14:paraId="65B4A7FB" w14:textId="619B75E6" w:rsidR="007D5D93" w:rsidRPr="00D3537F" w:rsidRDefault="007D5D93" w:rsidP="00D3537F">
      <w:pPr>
        <w:pStyle w:val="Heading2"/>
        <w:numPr>
          <w:ilvl w:val="1"/>
          <w:numId w:val="29"/>
        </w:numPr>
        <w:rPr>
          <w:rFonts w:ascii="Garamond" w:hAnsi="Garamond"/>
          <w:color w:val="auto"/>
        </w:rPr>
      </w:pPr>
      <w:bookmarkStart w:id="22" w:name="_Toc392863198"/>
      <w:r w:rsidRPr="006704E2">
        <w:rPr>
          <w:rFonts w:ascii="Garamond" w:hAnsi="Garamond"/>
          <w:color w:val="auto"/>
        </w:rPr>
        <w:lastRenderedPageBreak/>
        <w:t>Attributable Fraction and Attributable Cases Estimates given Extreme Exposures</w:t>
      </w:r>
      <w:bookmarkEnd w:id="22"/>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6"/>
        <w:gridCol w:w="938"/>
        <w:gridCol w:w="1562"/>
        <w:gridCol w:w="2268"/>
        <w:gridCol w:w="1982"/>
        <w:gridCol w:w="1947"/>
      </w:tblGrid>
      <w:tr w:rsidR="007D5D93" w:rsidRPr="006704E2" w14:paraId="0BDA2805" w14:textId="77777777" w:rsidTr="0098552F">
        <w:trPr>
          <w:trHeight w:val="312"/>
        </w:trPr>
        <w:tc>
          <w:tcPr>
            <w:tcW w:w="0" w:type="auto"/>
            <w:tcMar>
              <w:top w:w="0" w:type="dxa"/>
              <w:left w:w="45" w:type="dxa"/>
              <w:bottom w:w="0" w:type="dxa"/>
              <w:right w:w="45" w:type="dxa"/>
            </w:tcMar>
            <w:vAlign w:val="center"/>
            <w:hideMark/>
          </w:tcPr>
          <w:p w14:paraId="2F98BE7A"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938" w:type="dxa"/>
            <w:tcMar>
              <w:top w:w="0" w:type="dxa"/>
              <w:left w:w="45" w:type="dxa"/>
              <w:bottom w:w="0" w:type="dxa"/>
              <w:right w:w="45" w:type="dxa"/>
            </w:tcMar>
            <w:vAlign w:val="center"/>
            <w:hideMark/>
          </w:tcPr>
          <w:p w14:paraId="11D02684"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3830" w:type="dxa"/>
            <w:gridSpan w:val="2"/>
            <w:tcMar>
              <w:top w:w="0" w:type="dxa"/>
              <w:left w:w="45" w:type="dxa"/>
              <w:bottom w:w="0" w:type="dxa"/>
              <w:right w:w="45" w:type="dxa"/>
            </w:tcMar>
            <w:vAlign w:val="center"/>
            <w:hideMark/>
          </w:tcPr>
          <w:p w14:paraId="79624169"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Extreme Cold Exposure</w:t>
            </w:r>
            <w:r w:rsidRPr="006704E2">
              <w:rPr>
                <w:rFonts w:ascii="Garamond" w:eastAsia="Times New Roman" w:hAnsi="Garamond" w:cs="Times New Roman"/>
                <w:sz w:val="24"/>
                <w:szCs w:val="24"/>
              </w:rPr>
              <w:br/>
            </w:r>
            <w:proofErr w:type="spellStart"/>
            <w:r w:rsidRPr="006704E2">
              <w:rPr>
                <w:rFonts w:ascii="Garamond" w:eastAsia="Times New Roman" w:hAnsi="Garamond" w:cs="Times New Roman"/>
                <w:sz w:val="24"/>
                <w:szCs w:val="24"/>
              </w:rPr>
              <w:t>HI_max</w:t>
            </w:r>
            <w:proofErr w:type="spellEnd"/>
            <w:r w:rsidRPr="006704E2">
              <w:rPr>
                <w:rFonts w:ascii="Garamond" w:eastAsia="Times New Roman" w:hAnsi="Garamond" w:cs="Times New Roman"/>
                <w:sz w:val="24"/>
                <w:szCs w:val="24"/>
              </w:rPr>
              <w:t xml:space="preserve"> &lt; 5%ile</w:t>
            </w:r>
          </w:p>
        </w:tc>
        <w:tc>
          <w:tcPr>
            <w:tcW w:w="3929" w:type="dxa"/>
            <w:gridSpan w:val="2"/>
            <w:tcMar>
              <w:top w:w="0" w:type="dxa"/>
              <w:left w:w="45" w:type="dxa"/>
              <w:bottom w:w="0" w:type="dxa"/>
              <w:right w:w="45" w:type="dxa"/>
            </w:tcMar>
            <w:vAlign w:val="center"/>
            <w:hideMark/>
          </w:tcPr>
          <w:p w14:paraId="49744078"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Extreme Heat Exposure</w:t>
            </w:r>
            <w:r w:rsidRPr="006704E2">
              <w:rPr>
                <w:rFonts w:ascii="Garamond" w:eastAsia="Times New Roman" w:hAnsi="Garamond" w:cs="Times New Roman"/>
                <w:sz w:val="24"/>
                <w:szCs w:val="24"/>
              </w:rPr>
              <w:br/>
            </w:r>
            <w:proofErr w:type="spellStart"/>
            <w:r w:rsidRPr="006704E2">
              <w:rPr>
                <w:rFonts w:ascii="Garamond" w:eastAsia="Times New Roman" w:hAnsi="Garamond" w:cs="Times New Roman"/>
                <w:sz w:val="24"/>
                <w:szCs w:val="24"/>
              </w:rPr>
              <w:t>HI_max</w:t>
            </w:r>
            <w:proofErr w:type="spellEnd"/>
            <w:r w:rsidRPr="006704E2">
              <w:rPr>
                <w:rFonts w:ascii="Garamond" w:eastAsia="Times New Roman" w:hAnsi="Garamond" w:cs="Times New Roman"/>
                <w:sz w:val="24"/>
                <w:szCs w:val="24"/>
              </w:rPr>
              <w:t xml:space="preserve"> &gt; 95%ile</w:t>
            </w:r>
          </w:p>
        </w:tc>
      </w:tr>
      <w:tr w:rsidR="007D5D93" w:rsidRPr="006704E2" w14:paraId="2EB53C5B" w14:textId="77777777" w:rsidTr="0098552F">
        <w:trPr>
          <w:trHeight w:val="312"/>
        </w:trPr>
        <w:tc>
          <w:tcPr>
            <w:tcW w:w="0" w:type="auto"/>
            <w:tcMar>
              <w:top w:w="0" w:type="dxa"/>
              <w:left w:w="45" w:type="dxa"/>
              <w:bottom w:w="0" w:type="dxa"/>
              <w:right w:w="45" w:type="dxa"/>
            </w:tcMar>
            <w:vAlign w:val="center"/>
            <w:hideMark/>
          </w:tcPr>
          <w:p w14:paraId="4B3DF4EC"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Health Outcome</w:t>
            </w:r>
          </w:p>
        </w:tc>
        <w:tc>
          <w:tcPr>
            <w:tcW w:w="938" w:type="dxa"/>
            <w:tcMar>
              <w:top w:w="0" w:type="dxa"/>
              <w:left w:w="45" w:type="dxa"/>
              <w:bottom w:w="0" w:type="dxa"/>
              <w:right w:w="45" w:type="dxa"/>
            </w:tcMar>
            <w:vAlign w:val="center"/>
            <w:hideMark/>
          </w:tcPr>
          <w:p w14:paraId="22E9E8EA"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Age Group</w:t>
            </w:r>
          </w:p>
        </w:tc>
        <w:tc>
          <w:tcPr>
            <w:tcW w:w="1562" w:type="dxa"/>
            <w:tcMar>
              <w:top w:w="0" w:type="dxa"/>
              <w:left w:w="45" w:type="dxa"/>
              <w:bottom w:w="0" w:type="dxa"/>
              <w:right w:w="45" w:type="dxa"/>
            </w:tcMar>
            <w:vAlign w:val="center"/>
            <w:hideMark/>
          </w:tcPr>
          <w:p w14:paraId="0299110F" w14:textId="281E5C75"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A</w:t>
            </w:r>
            <w:r w:rsidR="00C746EC">
              <w:rPr>
                <w:rFonts w:ascii="Garamond" w:eastAsia="Times New Roman" w:hAnsi="Garamond" w:cs="Times New Roman"/>
                <w:sz w:val="24"/>
                <w:szCs w:val="24"/>
              </w:rPr>
              <w:t>F</w:t>
            </w:r>
          </w:p>
          <w:p w14:paraId="45301AD4"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c>
          <w:tcPr>
            <w:tcW w:w="2267" w:type="dxa"/>
            <w:tcMar>
              <w:top w:w="0" w:type="dxa"/>
              <w:left w:w="45" w:type="dxa"/>
              <w:bottom w:w="0" w:type="dxa"/>
              <w:right w:w="45" w:type="dxa"/>
            </w:tcMar>
            <w:vAlign w:val="center"/>
            <w:hideMark/>
          </w:tcPr>
          <w:p w14:paraId="61822190" w14:textId="2FCDA9DB" w:rsidR="007D5D93" w:rsidRPr="006704E2" w:rsidRDefault="0099465B" w:rsidP="00985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A</w:t>
            </w:r>
            <w:r w:rsidR="00C746EC">
              <w:rPr>
                <w:rFonts w:ascii="Garamond" w:eastAsia="Times New Roman" w:hAnsi="Garamond" w:cs="Times New Roman"/>
                <w:sz w:val="24"/>
                <w:szCs w:val="24"/>
              </w:rPr>
              <w:t>C</w:t>
            </w:r>
          </w:p>
          <w:p w14:paraId="584E8D65"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c>
          <w:tcPr>
            <w:tcW w:w="1982" w:type="dxa"/>
            <w:tcMar>
              <w:top w:w="0" w:type="dxa"/>
              <w:left w:w="45" w:type="dxa"/>
              <w:bottom w:w="0" w:type="dxa"/>
              <w:right w:w="45" w:type="dxa"/>
            </w:tcMar>
            <w:vAlign w:val="center"/>
            <w:hideMark/>
          </w:tcPr>
          <w:p w14:paraId="58932DBD" w14:textId="7FF9F69E" w:rsidR="007D5D93" w:rsidRPr="006704E2" w:rsidRDefault="0099465B" w:rsidP="00985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A</w:t>
            </w:r>
            <w:r w:rsidR="00C746EC">
              <w:rPr>
                <w:rFonts w:ascii="Garamond" w:eastAsia="Times New Roman" w:hAnsi="Garamond" w:cs="Times New Roman"/>
                <w:sz w:val="24"/>
                <w:szCs w:val="24"/>
              </w:rPr>
              <w:t>F</w:t>
            </w:r>
          </w:p>
          <w:p w14:paraId="214E8188"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c>
          <w:tcPr>
            <w:tcW w:w="1947" w:type="dxa"/>
            <w:tcMar>
              <w:top w:w="0" w:type="dxa"/>
              <w:left w:w="45" w:type="dxa"/>
              <w:bottom w:w="0" w:type="dxa"/>
              <w:right w:w="45" w:type="dxa"/>
            </w:tcMar>
            <w:vAlign w:val="center"/>
            <w:hideMark/>
          </w:tcPr>
          <w:p w14:paraId="5BCBF806" w14:textId="33771737" w:rsidR="007D5D93" w:rsidRPr="006704E2" w:rsidRDefault="0099465B" w:rsidP="0098552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A</w:t>
            </w:r>
            <w:r w:rsidR="00C746EC">
              <w:rPr>
                <w:rFonts w:ascii="Garamond" w:eastAsia="Times New Roman" w:hAnsi="Garamond" w:cs="Times New Roman"/>
                <w:sz w:val="24"/>
                <w:szCs w:val="24"/>
              </w:rPr>
              <w:t>C</w:t>
            </w:r>
          </w:p>
          <w:p w14:paraId="3AF6F22B"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 xml:space="preserve">[95% </w:t>
            </w:r>
            <w:proofErr w:type="spellStart"/>
            <w:r w:rsidRPr="006704E2">
              <w:rPr>
                <w:rFonts w:ascii="Garamond" w:eastAsia="Times New Roman" w:hAnsi="Garamond" w:cs="Times New Roman"/>
                <w:sz w:val="24"/>
                <w:szCs w:val="24"/>
              </w:rPr>
              <w:t>eCI</w:t>
            </w:r>
            <w:proofErr w:type="spellEnd"/>
            <w:r w:rsidRPr="006704E2">
              <w:rPr>
                <w:rFonts w:ascii="Garamond" w:eastAsia="Times New Roman" w:hAnsi="Garamond" w:cs="Times New Roman"/>
                <w:sz w:val="24"/>
                <w:szCs w:val="24"/>
              </w:rPr>
              <w:t>]</w:t>
            </w:r>
          </w:p>
        </w:tc>
      </w:tr>
      <w:tr w:rsidR="007D5D93" w:rsidRPr="006704E2" w14:paraId="3B8FF688" w14:textId="77777777" w:rsidTr="0098552F">
        <w:trPr>
          <w:trHeight w:val="312"/>
        </w:trPr>
        <w:tc>
          <w:tcPr>
            <w:tcW w:w="0" w:type="auto"/>
            <w:vMerge w:val="restart"/>
            <w:tcMar>
              <w:top w:w="0" w:type="dxa"/>
              <w:left w:w="45" w:type="dxa"/>
              <w:bottom w:w="0" w:type="dxa"/>
              <w:right w:w="45" w:type="dxa"/>
            </w:tcMar>
            <w:vAlign w:val="center"/>
            <w:hideMark/>
          </w:tcPr>
          <w:p w14:paraId="7A3E5F02"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Mort</w:t>
            </w:r>
          </w:p>
          <w:p w14:paraId="79D935A3" w14:textId="2BD9A8D2" w:rsidR="002B69F9" w:rsidRPr="006704E2" w:rsidRDefault="002B69F9"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(1998-2014)</w:t>
            </w:r>
          </w:p>
        </w:tc>
        <w:tc>
          <w:tcPr>
            <w:tcW w:w="938" w:type="dxa"/>
            <w:tcMar>
              <w:top w:w="0" w:type="dxa"/>
              <w:left w:w="45" w:type="dxa"/>
              <w:bottom w:w="0" w:type="dxa"/>
              <w:right w:w="45" w:type="dxa"/>
            </w:tcMar>
            <w:vAlign w:val="center"/>
            <w:hideMark/>
          </w:tcPr>
          <w:p w14:paraId="1CEBB277"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0-19</w:t>
            </w:r>
          </w:p>
        </w:tc>
        <w:tc>
          <w:tcPr>
            <w:tcW w:w="1562" w:type="dxa"/>
            <w:vMerge w:val="restart"/>
            <w:shd w:val="clear" w:color="auto" w:fill="A6A6A6" w:themeFill="background1" w:themeFillShade="A6"/>
            <w:tcMar>
              <w:top w:w="0" w:type="dxa"/>
              <w:left w:w="45" w:type="dxa"/>
              <w:bottom w:w="0" w:type="dxa"/>
              <w:right w:w="45" w:type="dxa"/>
            </w:tcMar>
            <w:vAlign w:val="center"/>
            <w:hideMark/>
          </w:tcPr>
          <w:p w14:paraId="192A49A3"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2267" w:type="dxa"/>
            <w:vMerge w:val="restart"/>
            <w:shd w:val="clear" w:color="auto" w:fill="A6A6A6" w:themeFill="background1" w:themeFillShade="A6"/>
            <w:vAlign w:val="center"/>
          </w:tcPr>
          <w:p w14:paraId="0657B3DB"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82" w:type="dxa"/>
            <w:vMerge w:val="restart"/>
            <w:shd w:val="clear" w:color="auto" w:fill="A6A6A6" w:themeFill="background1" w:themeFillShade="A6"/>
            <w:tcMar>
              <w:top w:w="0" w:type="dxa"/>
              <w:left w:w="45" w:type="dxa"/>
              <w:bottom w:w="0" w:type="dxa"/>
              <w:right w:w="45" w:type="dxa"/>
            </w:tcMar>
            <w:vAlign w:val="center"/>
            <w:hideMark/>
          </w:tcPr>
          <w:p w14:paraId="6D9B9087"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47" w:type="dxa"/>
            <w:vMerge w:val="restart"/>
            <w:shd w:val="clear" w:color="auto" w:fill="A6A6A6" w:themeFill="background1" w:themeFillShade="A6"/>
            <w:vAlign w:val="center"/>
          </w:tcPr>
          <w:p w14:paraId="04047F30" w14:textId="77777777" w:rsidR="007D5D93" w:rsidRPr="006704E2" w:rsidRDefault="007D5D93" w:rsidP="0098552F">
            <w:pPr>
              <w:spacing w:after="0" w:line="240" w:lineRule="auto"/>
              <w:jc w:val="center"/>
              <w:rPr>
                <w:rFonts w:ascii="Garamond" w:eastAsia="Times New Roman" w:hAnsi="Garamond" w:cs="Times New Roman"/>
                <w:sz w:val="20"/>
                <w:szCs w:val="20"/>
              </w:rPr>
            </w:pPr>
          </w:p>
        </w:tc>
      </w:tr>
      <w:tr w:rsidR="007D5D93" w:rsidRPr="006704E2" w14:paraId="17FD5385" w14:textId="77777777" w:rsidTr="0098552F">
        <w:trPr>
          <w:trHeight w:val="312"/>
        </w:trPr>
        <w:tc>
          <w:tcPr>
            <w:tcW w:w="0" w:type="auto"/>
            <w:vMerge/>
            <w:vAlign w:val="center"/>
            <w:hideMark/>
          </w:tcPr>
          <w:p w14:paraId="1CF18BB0"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938" w:type="dxa"/>
            <w:tcMar>
              <w:top w:w="0" w:type="dxa"/>
              <w:left w:w="45" w:type="dxa"/>
              <w:bottom w:w="0" w:type="dxa"/>
              <w:right w:w="45" w:type="dxa"/>
            </w:tcMar>
            <w:vAlign w:val="center"/>
            <w:hideMark/>
          </w:tcPr>
          <w:p w14:paraId="79888EF7"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20-64</w:t>
            </w:r>
          </w:p>
        </w:tc>
        <w:tc>
          <w:tcPr>
            <w:tcW w:w="1562" w:type="dxa"/>
            <w:vMerge/>
            <w:shd w:val="clear" w:color="auto" w:fill="A6A6A6" w:themeFill="background1" w:themeFillShade="A6"/>
            <w:tcMar>
              <w:top w:w="0" w:type="dxa"/>
              <w:left w:w="45" w:type="dxa"/>
              <w:bottom w:w="0" w:type="dxa"/>
              <w:right w:w="45" w:type="dxa"/>
            </w:tcMar>
            <w:vAlign w:val="center"/>
            <w:hideMark/>
          </w:tcPr>
          <w:p w14:paraId="06E18422"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2267" w:type="dxa"/>
            <w:vMerge/>
            <w:shd w:val="clear" w:color="auto" w:fill="A6A6A6" w:themeFill="background1" w:themeFillShade="A6"/>
            <w:vAlign w:val="center"/>
          </w:tcPr>
          <w:p w14:paraId="1496BD22"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82" w:type="dxa"/>
            <w:vMerge/>
            <w:shd w:val="clear" w:color="auto" w:fill="A6A6A6" w:themeFill="background1" w:themeFillShade="A6"/>
            <w:tcMar>
              <w:top w:w="0" w:type="dxa"/>
              <w:left w:w="45" w:type="dxa"/>
              <w:bottom w:w="0" w:type="dxa"/>
              <w:right w:w="45" w:type="dxa"/>
            </w:tcMar>
            <w:vAlign w:val="center"/>
            <w:hideMark/>
          </w:tcPr>
          <w:p w14:paraId="75E27E57" w14:textId="77777777" w:rsidR="007D5D93" w:rsidRPr="006704E2" w:rsidRDefault="007D5D93" w:rsidP="0098552F">
            <w:pPr>
              <w:spacing w:after="0" w:line="240" w:lineRule="auto"/>
              <w:jc w:val="center"/>
              <w:rPr>
                <w:rFonts w:ascii="Garamond" w:eastAsia="Times New Roman" w:hAnsi="Garamond" w:cs="Times New Roman"/>
                <w:sz w:val="20"/>
                <w:szCs w:val="20"/>
              </w:rPr>
            </w:pPr>
          </w:p>
        </w:tc>
        <w:tc>
          <w:tcPr>
            <w:tcW w:w="1947" w:type="dxa"/>
            <w:vMerge/>
            <w:shd w:val="clear" w:color="auto" w:fill="A6A6A6" w:themeFill="background1" w:themeFillShade="A6"/>
            <w:vAlign w:val="center"/>
          </w:tcPr>
          <w:p w14:paraId="0D15CA44" w14:textId="77777777" w:rsidR="007D5D93" w:rsidRPr="006704E2" w:rsidRDefault="007D5D93" w:rsidP="0098552F">
            <w:pPr>
              <w:spacing w:after="0" w:line="240" w:lineRule="auto"/>
              <w:jc w:val="center"/>
              <w:rPr>
                <w:rFonts w:ascii="Garamond" w:eastAsia="Times New Roman" w:hAnsi="Garamond" w:cs="Times New Roman"/>
                <w:sz w:val="20"/>
                <w:szCs w:val="20"/>
              </w:rPr>
            </w:pPr>
          </w:p>
        </w:tc>
      </w:tr>
      <w:tr w:rsidR="007D5D93" w:rsidRPr="006704E2" w14:paraId="6026CD91" w14:textId="77777777" w:rsidTr="007D262E">
        <w:trPr>
          <w:trHeight w:val="312"/>
        </w:trPr>
        <w:tc>
          <w:tcPr>
            <w:tcW w:w="0" w:type="auto"/>
            <w:vMerge/>
            <w:tcBorders>
              <w:bottom w:val="double" w:sz="4" w:space="0" w:color="auto"/>
            </w:tcBorders>
            <w:vAlign w:val="center"/>
            <w:hideMark/>
          </w:tcPr>
          <w:p w14:paraId="6C79CD5C"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938" w:type="dxa"/>
            <w:tcBorders>
              <w:bottom w:val="double" w:sz="4" w:space="0" w:color="auto"/>
            </w:tcBorders>
            <w:tcMar>
              <w:top w:w="0" w:type="dxa"/>
              <w:left w:w="45" w:type="dxa"/>
              <w:bottom w:w="0" w:type="dxa"/>
              <w:right w:w="45" w:type="dxa"/>
            </w:tcMar>
            <w:vAlign w:val="center"/>
            <w:hideMark/>
          </w:tcPr>
          <w:p w14:paraId="17C83D88"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65+</w:t>
            </w:r>
          </w:p>
        </w:tc>
        <w:tc>
          <w:tcPr>
            <w:tcW w:w="1562" w:type="dxa"/>
            <w:tcBorders>
              <w:bottom w:val="double" w:sz="4" w:space="0" w:color="auto"/>
            </w:tcBorders>
            <w:shd w:val="clear" w:color="auto" w:fill="auto"/>
            <w:tcMar>
              <w:top w:w="0" w:type="dxa"/>
              <w:left w:w="45" w:type="dxa"/>
              <w:bottom w:w="0" w:type="dxa"/>
              <w:right w:w="45" w:type="dxa"/>
            </w:tcMar>
            <w:vAlign w:val="center"/>
            <w:hideMark/>
          </w:tcPr>
          <w:p w14:paraId="77ED4EAA"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1.53</w:t>
            </w:r>
          </w:p>
          <w:p w14:paraId="65EFBBCD"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[0.89, 2.12]</w:t>
            </w:r>
          </w:p>
        </w:tc>
        <w:tc>
          <w:tcPr>
            <w:tcW w:w="2267" w:type="dxa"/>
            <w:tcBorders>
              <w:bottom w:val="double" w:sz="4" w:space="0" w:color="auto"/>
            </w:tcBorders>
            <w:shd w:val="clear" w:color="auto" w:fill="auto"/>
            <w:tcMar>
              <w:top w:w="0" w:type="dxa"/>
              <w:left w:w="45" w:type="dxa"/>
              <w:bottom w:w="0" w:type="dxa"/>
              <w:right w:w="45" w:type="dxa"/>
            </w:tcMar>
            <w:vAlign w:val="center"/>
            <w:hideMark/>
          </w:tcPr>
          <w:p w14:paraId="3904A4FA" w14:textId="074E3159"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3</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444</w:t>
            </w:r>
          </w:p>
          <w:p w14:paraId="0239EE2E" w14:textId="58B92A0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040, 4</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792]</w:t>
            </w:r>
          </w:p>
        </w:tc>
        <w:tc>
          <w:tcPr>
            <w:tcW w:w="1982" w:type="dxa"/>
            <w:tcBorders>
              <w:bottom w:val="double" w:sz="4" w:space="0" w:color="auto"/>
            </w:tcBorders>
            <w:shd w:val="clear" w:color="auto" w:fill="auto"/>
            <w:tcMar>
              <w:top w:w="0" w:type="dxa"/>
              <w:left w:w="45" w:type="dxa"/>
              <w:bottom w:w="0" w:type="dxa"/>
              <w:right w:w="45" w:type="dxa"/>
            </w:tcMar>
            <w:vAlign w:val="center"/>
            <w:hideMark/>
          </w:tcPr>
          <w:p w14:paraId="037308A5"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0.51</w:t>
            </w:r>
          </w:p>
          <w:p w14:paraId="6F1F62AE"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[0.20, 0.79]</w:t>
            </w:r>
          </w:p>
        </w:tc>
        <w:tc>
          <w:tcPr>
            <w:tcW w:w="1947" w:type="dxa"/>
            <w:tcBorders>
              <w:bottom w:val="double" w:sz="4" w:space="0" w:color="auto"/>
            </w:tcBorders>
            <w:shd w:val="clear" w:color="auto" w:fill="auto"/>
            <w:tcMar>
              <w:top w:w="0" w:type="dxa"/>
              <w:left w:w="45" w:type="dxa"/>
              <w:bottom w:w="0" w:type="dxa"/>
              <w:right w:w="45" w:type="dxa"/>
            </w:tcMar>
            <w:vAlign w:val="center"/>
            <w:hideMark/>
          </w:tcPr>
          <w:p w14:paraId="22199BA6" w14:textId="40CAA261"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144</w:t>
            </w:r>
          </w:p>
          <w:p w14:paraId="4B74EFF8" w14:textId="1C2133BD"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[466, 1</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812]</w:t>
            </w:r>
          </w:p>
        </w:tc>
      </w:tr>
      <w:tr w:rsidR="007D5D93" w:rsidRPr="006704E2" w14:paraId="2D9D9C1B" w14:textId="77777777" w:rsidTr="007D262E">
        <w:trPr>
          <w:trHeight w:val="312"/>
        </w:trPr>
        <w:tc>
          <w:tcPr>
            <w:tcW w:w="0" w:type="auto"/>
            <w:vMerge w:val="restart"/>
            <w:tcBorders>
              <w:top w:val="double" w:sz="4" w:space="0" w:color="auto"/>
            </w:tcBorders>
            <w:tcMar>
              <w:top w:w="0" w:type="dxa"/>
              <w:left w:w="45" w:type="dxa"/>
              <w:bottom w:w="0" w:type="dxa"/>
              <w:right w:w="45" w:type="dxa"/>
            </w:tcMar>
            <w:vAlign w:val="center"/>
            <w:hideMark/>
          </w:tcPr>
          <w:p w14:paraId="213A82A3"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EDV</w:t>
            </w:r>
          </w:p>
          <w:p w14:paraId="4BA910A9" w14:textId="5CB2748A" w:rsidR="002B69F9" w:rsidRPr="006704E2" w:rsidRDefault="002B69F9"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(2005-2014)</w:t>
            </w:r>
          </w:p>
        </w:tc>
        <w:tc>
          <w:tcPr>
            <w:tcW w:w="938" w:type="dxa"/>
            <w:tcBorders>
              <w:top w:val="double" w:sz="4" w:space="0" w:color="auto"/>
            </w:tcBorders>
            <w:tcMar>
              <w:top w:w="0" w:type="dxa"/>
              <w:left w:w="45" w:type="dxa"/>
              <w:bottom w:w="0" w:type="dxa"/>
              <w:right w:w="45" w:type="dxa"/>
            </w:tcMar>
            <w:vAlign w:val="center"/>
            <w:hideMark/>
          </w:tcPr>
          <w:p w14:paraId="2FF10D32"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0-19</w:t>
            </w:r>
          </w:p>
        </w:tc>
        <w:tc>
          <w:tcPr>
            <w:tcW w:w="1562" w:type="dxa"/>
            <w:tcBorders>
              <w:top w:val="double" w:sz="4" w:space="0" w:color="auto"/>
            </w:tcBorders>
            <w:shd w:val="clear" w:color="auto" w:fill="auto"/>
            <w:tcMar>
              <w:top w:w="0" w:type="dxa"/>
              <w:left w:w="45" w:type="dxa"/>
              <w:bottom w:w="0" w:type="dxa"/>
              <w:right w:w="45" w:type="dxa"/>
            </w:tcMar>
            <w:vAlign w:val="center"/>
            <w:hideMark/>
          </w:tcPr>
          <w:p w14:paraId="4D93FCEC"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1.9</w:t>
            </w:r>
          </w:p>
          <w:p w14:paraId="415AC7B2"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[1.63, 2.17]</w:t>
            </w:r>
          </w:p>
        </w:tc>
        <w:tc>
          <w:tcPr>
            <w:tcW w:w="2267" w:type="dxa"/>
            <w:tcBorders>
              <w:top w:val="double" w:sz="4" w:space="0" w:color="auto"/>
            </w:tcBorders>
            <w:shd w:val="clear" w:color="auto" w:fill="auto"/>
            <w:tcMar>
              <w:top w:w="0" w:type="dxa"/>
              <w:left w:w="45" w:type="dxa"/>
              <w:bottom w:w="0" w:type="dxa"/>
              <w:right w:w="45" w:type="dxa"/>
            </w:tcMar>
            <w:vAlign w:val="center"/>
            <w:hideMark/>
          </w:tcPr>
          <w:p w14:paraId="52ABC8F6" w14:textId="528E3C3D"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37</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208</w:t>
            </w:r>
          </w:p>
          <w:p w14:paraId="23496248" w14:textId="4D4438D8"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[31</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734, 42</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494]</w:t>
            </w:r>
          </w:p>
        </w:tc>
        <w:tc>
          <w:tcPr>
            <w:tcW w:w="1982" w:type="dxa"/>
            <w:tcBorders>
              <w:top w:val="double" w:sz="4" w:space="0" w:color="auto"/>
            </w:tcBorders>
            <w:shd w:val="clear" w:color="auto" w:fill="auto"/>
            <w:tcMar>
              <w:top w:w="0" w:type="dxa"/>
              <w:left w:w="45" w:type="dxa"/>
              <w:bottom w:w="0" w:type="dxa"/>
              <w:right w:w="45" w:type="dxa"/>
            </w:tcMar>
            <w:vAlign w:val="center"/>
            <w:hideMark/>
          </w:tcPr>
          <w:p w14:paraId="514C209F"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0.62</w:t>
            </w:r>
          </w:p>
          <w:p w14:paraId="708C6400"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[0.39, 0.84]</w:t>
            </w:r>
          </w:p>
        </w:tc>
        <w:tc>
          <w:tcPr>
            <w:tcW w:w="1947" w:type="dxa"/>
            <w:tcBorders>
              <w:top w:val="double" w:sz="4" w:space="0" w:color="auto"/>
            </w:tcBorders>
            <w:shd w:val="clear" w:color="auto" w:fill="auto"/>
            <w:tcMar>
              <w:top w:w="0" w:type="dxa"/>
              <w:left w:w="45" w:type="dxa"/>
              <w:bottom w:w="0" w:type="dxa"/>
              <w:right w:w="45" w:type="dxa"/>
            </w:tcMar>
            <w:vAlign w:val="center"/>
            <w:hideMark/>
          </w:tcPr>
          <w:p w14:paraId="54E557F3" w14:textId="2F81A845"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12</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079</w:t>
            </w:r>
          </w:p>
          <w:p w14:paraId="7D6BDA2B" w14:textId="013A2A9E"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[7</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512, 16</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420]</w:t>
            </w:r>
          </w:p>
        </w:tc>
      </w:tr>
      <w:tr w:rsidR="007D5D93" w:rsidRPr="006704E2" w14:paraId="110BD260" w14:textId="77777777" w:rsidTr="0098552F">
        <w:trPr>
          <w:trHeight w:val="312"/>
        </w:trPr>
        <w:tc>
          <w:tcPr>
            <w:tcW w:w="0" w:type="auto"/>
            <w:vMerge/>
            <w:vAlign w:val="center"/>
            <w:hideMark/>
          </w:tcPr>
          <w:p w14:paraId="127A94A6"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938" w:type="dxa"/>
            <w:tcMar>
              <w:top w:w="0" w:type="dxa"/>
              <w:left w:w="45" w:type="dxa"/>
              <w:bottom w:w="0" w:type="dxa"/>
              <w:right w:w="45" w:type="dxa"/>
            </w:tcMar>
            <w:vAlign w:val="center"/>
            <w:hideMark/>
          </w:tcPr>
          <w:p w14:paraId="03A559CF"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20-64</w:t>
            </w:r>
          </w:p>
        </w:tc>
        <w:tc>
          <w:tcPr>
            <w:tcW w:w="1562" w:type="dxa"/>
            <w:shd w:val="clear" w:color="auto" w:fill="auto"/>
            <w:tcMar>
              <w:top w:w="0" w:type="dxa"/>
              <w:left w:w="45" w:type="dxa"/>
              <w:bottom w:w="0" w:type="dxa"/>
              <w:right w:w="45" w:type="dxa"/>
            </w:tcMar>
            <w:vAlign w:val="center"/>
            <w:hideMark/>
          </w:tcPr>
          <w:p w14:paraId="797301D5"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0.31</w:t>
            </w:r>
          </w:p>
          <w:p w14:paraId="4C1A4BF4"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[0.12, 0.50]</w:t>
            </w:r>
          </w:p>
        </w:tc>
        <w:tc>
          <w:tcPr>
            <w:tcW w:w="2267" w:type="dxa"/>
            <w:shd w:val="clear" w:color="auto" w:fill="auto"/>
            <w:tcMar>
              <w:top w:w="0" w:type="dxa"/>
              <w:left w:w="45" w:type="dxa"/>
              <w:bottom w:w="0" w:type="dxa"/>
              <w:right w:w="45" w:type="dxa"/>
            </w:tcMar>
            <w:vAlign w:val="center"/>
            <w:hideMark/>
          </w:tcPr>
          <w:p w14:paraId="27E0A7FC" w14:textId="4D459B3F"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12</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376</w:t>
            </w:r>
          </w:p>
          <w:p w14:paraId="709927F0" w14:textId="771691EF"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[4</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895, 20</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169]</w:t>
            </w:r>
          </w:p>
        </w:tc>
        <w:tc>
          <w:tcPr>
            <w:tcW w:w="1982" w:type="dxa"/>
            <w:shd w:val="clear" w:color="auto" w:fill="auto"/>
            <w:tcMar>
              <w:top w:w="0" w:type="dxa"/>
              <w:left w:w="45" w:type="dxa"/>
              <w:bottom w:w="0" w:type="dxa"/>
              <w:right w:w="45" w:type="dxa"/>
            </w:tcMar>
            <w:vAlign w:val="center"/>
            <w:hideMark/>
          </w:tcPr>
          <w:p w14:paraId="3E9E27A3"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0.14</w:t>
            </w:r>
          </w:p>
          <w:p w14:paraId="54635F05"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[-0.01, 0.29]</w:t>
            </w:r>
          </w:p>
        </w:tc>
        <w:tc>
          <w:tcPr>
            <w:tcW w:w="1947" w:type="dxa"/>
            <w:shd w:val="clear" w:color="auto" w:fill="auto"/>
            <w:tcMar>
              <w:top w:w="0" w:type="dxa"/>
              <w:left w:w="45" w:type="dxa"/>
              <w:bottom w:w="0" w:type="dxa"/>
              <w:right w:w="45" w:type="dxa"/>
            </w:tcMar>
            <w:vAlign w:val="center"/>
            <w:hideMark/>
          </w:tcPr>
          <w:p w14:paraId="0341359C" w14:textId="09F61758"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5</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602</w:t>
            </w:r>
          </w:p>
          <w:p w14:paraId="77B25FA2" w14:textId="40EA3A2D"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[-496, 11</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759]</w:t>
            </w:r>
          </w:p>
        </w:tc>
      </w:tr>
      <w:tr w:rsidR="007D5D93" w:rsidRPr="006704E2" w14:paraId="1922497C" w14:textId="77777777" w:rsidTr="0098552F">
        <w:trPr>
          <w:trHeight w:val="312"/>
        </w:trPr>
        <w:tc>
          <w:tcPr>
            <w:tcW w:w="0" w:type="auto"/>
            <w:vMerge/>
            <w:vAlign w:val="center"/>
            <w:hideMark/>
          </w:tcPr>
          <w:p w14:paraId="0D92757C"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938" w:type="dxa"/>
            <w:tcMar>
              <w:top w:w="0" w:type="dxa"/>
              <w:left w:w="45" w:type="dxa"/>
              <w:bottom w:w="0" w:type="dxa"/>
              <w:right w:w="45" w:type="dxa"/>
            </w:tcMar>
            <w:vAlign w:val="center"/>
            <w:hideMark/>
          </w:tcPr>
          <w:p w14:paraId="46B1C9E6"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65+</w:t>
            </w:r>
          </w:p>
        </w:tc>
        <w:tc>
          <w:tcPr>
            <w:tcW w:w="1562" w:type="dxa"/>
            <w:shd w:val="clear" w:color="auto" w:fill="auto"/>
            <w:tcMar>
              <w:top w:w="0" w:type="dxa"/>
              <w:left w:w="45" w:type="dxa"/>
              <w:bottom w:w="0" w:type="dxa"/>
              <w:right w:w="45" w:type="dxa"/>
            </w:tcMar>
            <w:vAlign w:val="center"/>
            <w:hideMark/>
          </w:tcPr>
          <w:p w14:paraId="2D9B4AB5"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0.06</w:t>
            </w:r>
          </w:p>
          <w:p w14:paraId="398DC68A"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[-0.33, 0.43]</w:t>
            </w:r>
          </w:p>
        </w:tc>
        <w:tc>
          <w:tcPr>
            <w:tcW w:w="2267" w:type="dxa"/>
            <w:shd w:val="clear" w:color="auto" w:fill="auto"/>
            <w:tcMar>
              <w:top w:w="0" w:type="dxa"/>
              <w:left w:w="45" w:type="dxa"/>
              <w:bottom w:w="0" w:type="dxa"/>
              <w:right w:w="45" w:type="dxa"/>
            </w:tcMar>
            <w:vAlign w:val="center"/>
            <w:hideMark/>
          </w:tcPr>
          <w:p w14:paraId="0F066C3C"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426</w:t>
            </w:r>
          </w:p>
          <w:p w14:paraId="0472F3F2" w14:textId="1449D326"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354, 3</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075]</w:t>
            </w:r>
          </w:p>
        </w:tc>
        <w:tc>
          <w:tcPr>
            <w:tcW w:w="1982" w:type="dxa"/>
            <w:shd w:val="clear" w:color="auto" w:fill="auto"/>
            <w:tcMar>
              <w:top w:w="0" w:type="dxa"/>
              <w:left w:w="45" w:type="dxa"/>
              <w:bottom w:w="0" w:type="dxa"/>
              <w:right w:w="45" w:type="dxa"/>
            </w:tcMar>
            <w:vAlign w:val="center"/>
            <w:hideMark/>
          </w:tcPr>
          <w:p w14:paraId="49053C97"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0.06</w:t>
            </w:r>
          </w:p>
          <w:p w14:paraId="68F2571A"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[-0.2, 0.33]</w:t>
            </w:r>
          </w:p>
        </w:tc>
        <w:tc>
          <w:tcPr>
            <w:tcW w:w="1947" w:type="dxa"/>
            <w:shd w:val="clear" w:color="auto" w:fill="auto"/>
            <w:tcMar>
              <w:top w:w="0" w:type="dxa"/>
              <w:left w:w="45" w:type="dxa"/>
              <w:bottom w:w="0" w:type="dxa"/>
              <w:right w:w="45" w:type="dxa"/>
            </w:tcMar>
            <w:vAlign w:val="center"/>
            <w:hideMark/>
          </w:tcPr>
          <w:p w14:paraId="34047004"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440</w:t>
            </w:r>
          </w:p>
          <w:p w14:paraId="294A0EB0" w14:textId="31544C0B"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553, 2</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414]</w:t>
            </w:r>
          </w:p>
        </w:tc>
      </w:tr>
      <w:tr w:rsidR="007D5D93" w:rsidRPr="006704E2" w14:paraId="520A0176" w14:textId="77777777" w:rsidTr="0098552F">
        <w:trPr>
          <w:trHeight w:val="312"/>
        </w:trPr>
        <w:tc>
          <w:tcPr>
            <w:tcW w:w="0" w:type="auto"/>
            <w:vMerge w:val="restart"/>
            <w:tcMar>
              <w:top w:w="0" w:type="dxa"/>
              <w:left w:w="45" w:type="dxa"/>
              <w:bottom w:w="0" w:type="dxa"/>
              <w:right w:w="45" w:type="dxa"/>
            </w:tcMar>
            <w:vAlign w:val="center"/>
            <w:hideMark/>
          </w:tcPr>
          <w:p w14:paraId="452DBD5B"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EDHSP</w:t>
            </w:r>
          </w:p>
          <w:p w14:paraId="5369E1D4" w14:textId="06C62321" w:rsidR="002B69F9" w:rsidRPr="006704E2" w:rsidRDefault="002B69F9"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(2005-2014)</w:t>
            </w:r>
          </w:p>
        </w:tc>
        <w:tc>
          <w:tcPr>
            <w:tcW w:w="938" w:type="dxa"/>
            <w:tcMar>
              <w:top w:w="0" w:type="dxa"/>
              <w:left w:w="45" w:type="dxa"/>
              <w:bottom w:w="0" w:type="dxa"/>
              <w:right w:w="45" w:type="dxa"/>
            </w:tcMar>
            <w:vAlign w:val="center"/>
            <w:hideMark/>
          </w:tcPr>
          <w:p w14:paraId="20095C4E"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0-19</w:t>
            </w:r>
          </w:p>
        </w:tc>
        <w:tc>
          <w:tcPr>
            <w:tcW w:w="1562" w:type="dxa"/>
            <w:shd w:val="clear" w:color="auto" w:fill="auto"/>
            <w:tcMar>
              <w:top w:w="0" w:type="dxa"/>
              <w:left w:w="45" w:type="dxa"/>
              <w:bottom w:w="0" w:type="dxa"/>
              <w:right w:w="45" w:type="dxa"/>
            </w:tcMar>
            <w:vAlign w:val="center"/>
            <w:hideMark/>
          </w:tcPr>
          <w:p w14:paraId="2226F175"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1.79</w:t>
            </w:r>
          </w:p>
          <w:p w14:paraId="4B09D62B"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[0.88, 2.64]</w:t>
            </w:r>
          </w:p>
        </w:tc>
        <w:tc>
          <w:tcPr>
            <w:tcW w:w="2267" w:type="dxa"/>
            <w:shd w:val="clear" w:color="auto" w:fill="auto"/>
            <w:tcMar>
              <w:top w:w="0" w:type="dxa"/>
              <w:left w:w="45" w:type="dxa"/>
              <w:bottom w:w="0" w:type="dxa"/>
              <w:right w:w="45" w:type="dxa"/>
            </w:tcMar>
            <w:vAlign w:val="center"/>
            <w:hideMark/>
          </w:tcPr>
          <w:p w14:paraId="536A0018" w14:textId="6F3612A6"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488</w:t>
            </w:r>
          </w:p>
          <w:p w14:paraId="249275B5" w14:textId="08764CD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225, 3680]</w:t>
            </w:r>
          </w:p>
        </w:tc>
        <w:tc>
          <w:tcPr>
            <w:tcW w:w="1982" w:type="dxa"/>
            <w:shd w:val="clear" w:color="auto" w:fill="auto"/>
            <w:tcMar>
              <w:top w:w="0" w:type="dxa"/>
              <w:left w:w="45" w:type="dxa"/>
              <w:bottom w:w="0" w:type="dxa"/>
              <w:right w:w="45" w:type="dxa"/>
            </w:tcMar>
            <w:vAlign w:val="center"/>
            <w:hideMark/>
          </w:tcPr>
          <w:p w14:paraId="21BA6431"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0.47</w:t>
            </w:r>
          </w:p>
          <w:p w14:paraId="06A27190"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[0.07, 0.85]</w:t>
            </w:r>
          </w:p>
        </w:tc>
        <w:tc>
          <w:tcPr>
            <w:tcW w:w="1947" w:type="dxa"/>
            <w:shd w:val="clear" w:color="auto" w:fill="auto"/>
            <w:tcMar>
              <w:top w:w="0" w:type="dxa"/>
              <w:left w:w="45" w:type="dxa"/>
              <w:bottom w:w="0" w:type="dxa"/>
              <w:right w:w="45" w:type="dxa"/>
            </w:tcMar>
            <w:vAlign w:val="center"/>
            <w:hideMark/>
          </w:tcPr>
          <w:p w14:paraId="20EB58E9"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657</w:t>
            </w:r>
          </w:p>
          <w:p w14:paraId="7FBEB3F0" w14:textId="67EC7E33"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[102, 1</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189]</w:t>
            </w:r>
          </w:p>
        </w:tc>
      </w:tr>
      <w:tr w:rsidR="007D5D93" w:rsidRPr="006704E2" w14:paraId="11EC09D1" w14:textId="77777777" w:rsidTr="0098552F">
        <w:trPr>
          <w:trHeight w:val="312"/>
        </w:trPr>
        <w:tc>
          <w:tcPr>
            <w:tcW w:w="0" w:type="auto"/>
            <w:vMerge/>
            <w:vAlign w:val="center"/>
            <w:hideMark/>
          </w:tcPr>
          <w:p w14:paraId="64E6EEB2"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938" w:type="dxa"/>
            <w:tcMar>
              <w:top w:w="0" w:type="dxa"/>
              <w:left w:w="45" w:type="dxa"/>
              <w:bottom w:w="0" w:type="dxa"/>
              <w:right w:w="45" w:type="dxa"/>
            </w:tcMar>
            <w:vAlign w:val="center"/>
            <w:hideMark/>
          </w:tcPr>
          <w:p w14:paraId="0A6012E9"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20-64</w:t>
            </w:r>
          </w:p>
        </w:tc>
        <w:tc>
          <w:tcPr>
            <w:tcW w:w="1562" w:type="dxa"/>
            <w:shd w:val="clear" w:color="auto" w:fill="auto"/>
            <w:tcMar>
              <w:top w:w="0" w:type="dxa"/>
              <w:left w:w="45" w:type="dxa"/>
              <w:bottom w:w="0" w:type="dxa"/>
              <w:right w:w="45" w:type="dxa"/>
            </w:tcMar>
            <w:vAlign w:val="center"/>
            <w:hideMark/>
          </w:tcPr>
          <w:p w14:paraId="22C22BDE"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0.61</w:t>
            </w:r>
          </w:p>
          <w:p w14:paraId="0E19B878"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[0.29, 0.93]</w:t>
            </w:r>
          </w:p>
        </w:tc>
        <w:tc>
          <w:tcPr>
            <w:tcW w:w="2267" w:type="dxa"/>
            <w:shd w:val="clear" w:color="auto" w:fill="auto"/>
            <w:tcMar>
              <w:top w:w="0" w:type="dxa"/>
              <w:left w:w="45" w:type="dxa"/>
              <w:bottom w:w="0" w:type="dxa"/>
              <w:right w:w="45" w:type="dxa"/>
            </w:tcMar>
            <w:vAlign w:val="center"/>
            <w:hideMark/>
          </w:tcPr>
          <w:p w14:paraId="0BC69EC0" w14:textId="5258BBFD"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4</w:t>
            </w:r>
            <w:r w:rsidR="000A4D8E"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372</w:t>
            </w:r>
          </w:p>
          <w:p w14:paraId="5DC4E658" w14:textId="391339BC"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[1</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992, 6</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732]</w:t>
            </w:r>
          </w:p>
        </w:tc>
        <w:tc>
          <w:tcPr>
            <w:tcW w:w="1982" w:type="dxa"/>
            <w:shd w:val="clear" w:color="auto" w:fill="auto"/>
            <w:tcMar>
              <w:top w:w="0" w:type="dxa"/>
              <w:left w:w="45" w:type="dxa"/>
              <w:bottom w:w="0" w:type="dxa"/>
              <w:right w:w="45" w:type="dxa"/>
            </w:tcMar>
            <w:vAlign w:val="center"/>
            <w:hideMark/>
          </w:tcPr>
          <w:p w14:paraId="65C59974"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0.21</w:t>
            </w:r>
          </w:p>
          <w:p w14:paraId="689CEF06"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[-0.07, 0.48]</w:t>
            </w:r>
          </w:p>
        </w:tc>
        <w:tc>
          <w:tcPr>
            <w:tcW w:w="1947" w:type="dxa"/>
            <w:shd w:val="clear" w:color="auto" w:fill="auto"/>
            <w:tcMar>
              <w:top w:w="0" w:type="dxa"/>
              <w:left w:w="45" w:type="dxa"/>
              <w:bottom w:w="0" w:type="dxa"/>
              <w:right w:w="45" w:type="dxa"/>
            </w:tcMar>
            <w:vAlign w:val="center"/>
            <w:hideMark/>
          </w:tcPr>
          <w:p w14:paraId="678AAAFE" w14:textId="0AEFA52B"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495</w:t>
            </w:r>
          </w:p>
          <w:p w14:paraId="4DCECF1A" w14:textId="26A01FB1"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[-653, 3</w:t>
            </w:r>
            <w:r w:rsidR="00730042"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478]</w:t>
            </w:r>
          </w:p>
        </w:tc>
      </w:tr>
      <w:tr w:rsidR="007D5D93" w:rsidRPr="006704E2" w14:paraId="4EF1F086" w14:textId="77777777" w:rsidTr="0098552F">
        <w:trPr>
          <w:trHeight w:val="312"/>
        </w:trPr>
        <w:tc>
          <w:tcPr>
            <w:tcW w:w="0" w:type="auto"/>
            <w:vMerge/>
            <w:vAlign w:val="center"/>
            <w:hideMark/>
          </w:tcPr>
          <w:p w14:paraId="27414396" w14:textId="77777777" w:rsidR="007D5D93" w:rsidRPr="006704E2" w:rsidRDefault="007D5D93" w:rsidP="0098552F">
            <w:pPr>
              <w:spacing w:after="0" w:line="240" w:lineRule="auto"/>
              <w:jc w:val="center"/>
              <w:rPr>
                <w:rFonts w:ascii="Garamond" w:eastAsia="Times New Roman" w:hAnsi="Garamond" w:cs="Times New Roman"/>
                <w:sz w:val="24"/>
                <w:szCs w:val="24"/>
              </w:rPr>
            </w:pPr>
          </w:p>
        </w:tc>
        <w:tc>
          <w:tcPr>
            <w:tcW w:w="938" w:type="dxa"/>
            <w:tcMar>
              <w:top w:w="0" w:type="dxa"/>
              <w:left w:w="45" w:type="dxa"/>
              <w:bottom w:w="0" w:type="dxa"/>
              <w:right w:w="45" w:type="dxa"/>
            </w:tcMar>
            <w:vAlign w:val="center"/>
            <w:hideMark/>
          </w:tcPr>
          <w:p w14:paraId="0DCA8EDD"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65+</w:t>
            </w:r>
          </w:p>
        </w:tc>
        <w:tc>
          <w:tcPr>
            <w:tcW w:w="1562" w:type="dxa"/>
            <w:shd w:val="clear" w:color="auto" w:fill="auto"/>
            <w:tcMar>
              <w:top w:w="0" w:type="dxa"/>
              <w:left w:w="45" w:type="dxa"/>
              <w:bottom w:w="0" w:type="dxa"/>
              <w:right w:w="45" w:type="dxa"/>
            </w:tcMar>
            <w:vAlign w:val="center"/>
            <w:hideMark/>
          </w:tcPr>
          <w:p w14:paraId="2ED75EB2" w14:textId="77777777"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0.76</w:t>
            </w:r>
          </w:p>
          <w:p w14:paraId="1758A52A" w14:textId="55D9EEFA" w:rsidR="007D5D93" w:rsidRPr="006704E2" w:rsidRDefault="000A4D8E"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[0.39, 1.</w:t>
            </w:r>
            <w:r w:rsidR="007D5D93" w:rsidRPr="006704E2">
              <w:rPr>
                <w:rFonts w:ascii="Garamond" w:eastAsia="Times New Roman" w:hAnsi="Garamond" w:cs="Times New Roman"/>
                <w:b/>
                <w:bCs/>
                <w:sz w:val="24"/>
                <w:szCs w:val="24"/>
              </w:rPr>
              <w:t>11]</w:t>
            </w:r>
          </w:p>
        </w:tc>
        <w:tc>
          <w:tcPr>
            <w:tcW w:w="2267" w:type="dxa"/>
            <w:shd w:val="clear" w:color="auto" w:fill="auto"/>
            <w:tcMar>
              <w:top w:w="0" w:type="dxa"/>
              <w:left w:w="45" w:type="dxa"/>
              <w:bottom w:w="0" w:type="dxa"/>
              <w:right w:w="45" w:type="dxa"/>
            </w:tcMar>
            <w:vAlign w:val="center"/>
            <w:hideMark/>
          </w:tcPr>
          <w:p w14:paraId="3EC4EF36" w14:textId="319ABAEA"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4</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445</w:t>
            </w:r>
          </w:p>
          <w:p w14:paraId="2419B1E0" w14:textId="07C414B0" w:rsidR="007D5D93" w:rsidRPr="006704E2" w:rsidRDefault="007D5D93" w:rsidP="0098552F">
            <w:pPr>
              <w:spacing w:after="0" w:line="240" w:lineRule="auto"/>
              <w:jc w:val="center"/>
              <w:rPr>
                <w:rFonts w:ascii="Garamond" w:eastAsia="Times New Roman" w:hAnsi="Garamond" w:cs="Times New Roman"/>
                <w:b/>
                <w:bCs/>
                <w:sz w:val="24"/>
                <w:szCs w:val="24"/>
              </w:rPr>
            </w:pPr>
            <w:r w:rsidRPr="006704E2">
              <w:rPr>
                <w:rFonts w:ascii="Garamond" w:eastAsia="Times New Roman" w:hAnsi="Garamond" w:cs="Times New Roman"/>
                <w:b/>
                <w:bCs/>
                <w:sz w:val="24"/>
                <w:szCs w:val="24"/>
              </w:rPr>
              <w:t>[2</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319, 6</w:t>
            </w:r>
            <w:r w:rsidR="00730042" w:rsidRPr="006704E2">
              <w:rPr>
                <w:rFonts w:ascii="Garamond" w:eastAsia="Times New Roman" w:hAnsi="Garamond" w:cs="Times New Roman"/>
                <w:b/>
                <w:bCs/>
                <w:sz w:val="24"/>
                <w:szCs w:val="24"/>
              </w:rPr>
              <w:t>,</w:t>
            </w:r>
            <w:r w:rsidRPr="006704E2">
              <w:rPr>
                <w:rFonts w:ascii="Garamond" w:eastAsia="Times New Roman" w:hAnsi="Garamond" w:cs="Times New Roman"/>
                <w:b/>
                <w:bCs/>
                <w:sz w:val="24"/>
                <w:szCs w:val="24"/>
              </w:rPr>
              <w:t>509]</w:t>
            </w:r>
          </w:p>
        </w:tc>
        <w:tc>
          <w:tcPr>
            <w:tcW w:w="1982" w:type="dxa"/>
            <w:shd w:val="clear" w:color="auto" w:fill="auto"/>
            <w:tcMar>
              <w:top w:w="0" w:type="dxa"/>
              <w:left w:w="45" w:type="dxa"/>
              <w:bottom w:w="0" w:type="dxa"/>
              <w:right w:w="45" w:type="dxa"/>
            </w:tcMar>
            <w:vAlign w:val="center"/>
            <w:hideMark/>
          </w:tcPr>
          <w:p w14:paraId="08C9AE41"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0.23</w:t>
            </w:r>
          </w:p>
          <w:p w14:paraId="3C2E98DA"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[-0.08, 0.52]</w:t>
            </w:r>
          </w:p>
        </w:tc>
        <w:tc>
          <w:tcPr>
            <w:tcW w:w="1947" w:type="dxa"/>
            <w:shd w:val="clear" w:color="auto" w:fill="auto"/>
            <w:tcMar>
              <w:top w:w="0" w:type="dxa"/>
              <w:left w:w="45" w:type="dxa"/>
              <w:bottom w:w="0" w:type="dxa"/>
              <w:right w:w="45" w:type="dxa"/>
            </w:tcMar>
            <w:vAlign w:val="center"/>
            <w:hideMark/>
          </w:tcPr>
          <w:p w14:paraId="62AAC799" w14:textId="77777777"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1402</w:t>
            </w:r>
          </w:p>
          <w:p w14:paraId="4CB821B5" w14:textId="222A437E" w:rsidR="007D5D93" w:rsidRPr="006704E2" w:rsidRDefault="007D5D93" w:rsidP="0098552F">
            <w:pPr>
              <w:spacing w:after="0" w:line="240" w:lineRule="auto"/>
              <w:jc w:val="center"/>
              <w:rPr>
                <w:rFonts w:ascii="Garamond" w:eastAsia="Times New Roman" w:hAnsi="Garamond" w:cs="Times New Roman"/>
                <w:sz w:val="24"/>
                <w:szCs w:val="24"/>
              </w:rPr>
            </w:pPr>
            <w:r w:rsidRPr="006704E2">
              <w:rPr>
                <w:rFonts w:ascii="Garamond" w:eastAsia="Times New Roman" w:hAnsi="Garamond" w:cs="Times New Roman"/>
                <w:sz w:val="24"/>
                <w:szCs w:val="24"/>
              </w:rPr>
              <w:t>[-353, 3</w:t>
            </w:r>
            <w:r w:rsidR="00200CA3" w:rsidRPr="006704E2">
              <w:rPr>
                <w:rFonts w:ascii="Garamond" w:eastAsia="Times New Roman" w:hAnsi="Garamond" w:cs="Times New Roman"/>
                <w:sz w:val="24"/>
                <w:szCs w:val="24"/>
              </w:rPr>
              <w:t>,</w:t>
            </w:r>
            <w:r w:rsidRPr="006704E2">
              <w:rPr>
                <w:rFonts w:ascii="Garamond" w:eastAsia="Times New Roman" w:hAnsi="Garamond" w:cs="Times New Roman"/>
                <w:sz w:val="24"/>
                <w:szCs w:val="24"/>
              </w:rPr>
              <w:t>128]</w:t>
            </w:r>
          </w:p>
        </w:tc>
      </w:tr>
    </w:tbl>
    <w:p w14:paraId="27FF2465" w14:textId="77777777" w:rsidR="00A913C6" w:rsidRPr="006704E2" w:rsidRDefault="00A913C6" w:rsidP="00A913C6">
      <w:pPr>
        <w:pStyle w:val="ListParagraph"/>
        <w:spacing w:line="480" w:lineRule="auto"/>
        <w:ind w:left="360"/>
        <w:rPr>
          <w:rFonts w:ascii="Garamond" w:hAnsi="Garamond"/>
          <w:sz w:val="24"/>
          <w:szCs w:val="24"/>
        </w:rPr>
      </w:pPr>
    </w:p>
    <w:p w14:paraId="39E12B3D" w14:textId="77777777" w:rsidR="00FE44BF" w:rsidRDefault="00FE44BF">
      <w:pPr>
        <w:rPr>
          <w:rFonts w:ascii="Garamond" w:hAnsi="Garamond"/>
          <w:sz w:val="24"/>
          <w:szCs w:val="24"/>
        </w:rPr>
      </w:pPr>
      <w:r w:rsidRPr="006704E2">
        <w:rPr>
          <w:rFonts w:ascii="Garamond" w:hAnsi="Garamond"/>
          <w:sz w:val="24"/>
          <w:szCs w:val="24"/>
        </w:rPr>
        <w:br w:type="page"/>
      </w:r>
    </w:p>
    <w:p w14:paraId="31482FB5" w14:textId="77777777" w:rsidR="001C4E17" w:rsidRPr="006704E2" w:rsidRDefault="001C4E17" w:rsidP="00D3537F">
      <w:pPr>
        <w:pStyle w:val="Heading1"/>
        <w:numPr>
          <w:ilvl w:val="0"/>
          <w:numId w:val="29"/>
        </w:numPr>
        <w:rPr>
          <w:rFonts w:ascii="Garamond" w:hAnsi="Garamond"/>
          <w:color w:val="auto"/>
          <w:sz w:val="28"/>
          <w:szCs w:val="28"/>
        </w:rPr>
      </w:pPr>
      <w:bookmarkStart w:id="23" w:name="_Toc392863199"/>
      <w:r w:rsidRPr="006704E2">
        <w:rPr>
          <w:rFonts w:ascii="Garamond" w:hAnsi="Garamond"/>
          <w:color w:val="auto"/>
          <w:sz w:val="28"/>
          <w:szCs w:val="28"/>
        </w:rPr>
        <w:lastRenderedPageBreak/>
        <w:t>Cost Estimation Supplemental Results</w:t>
      </w:r>
      <w:bookmarkEnd w:id="23"/>
    </w:p>
    <w:tbl>
      <w:tblPr>
        <w:tblStyle w:val="LightShading"/>
        <w:tblpPr w:leftFromText="180" w:rightFromText="180" w:vertAnchor="page" w:horzAnchor="page" w:tblpX="1873" w:tblpY="2161"/>
        <w:tblW w:w="0" w:type="auto"/>
        <w:tblBorders>
          <w:top w:val="none" w:sz="0" w:space="0" w:color="auto"/>
          <w:bottom w:val="none" w:sz="0" w:space="0" w:color="auto"/>
        </w:tblBorders>
        <w:tblLook w:val="04A0" w:firstRow="1" w:lastRow="0" w:firstColumn="1" w:lastColumn="0" w:noHBand="0" w:noVBand="1"/>
      </w:tblPr>
      <w:tblGrid>
        <w:gridCol w:w="1660"/>
        <w:gridCol w:w="236"/>
        <w:gridCol w:w="1938"/>
        <w:gridCol w:w="2162"/>
        <w:gridCol w:w="3364"/>
      </w:tblGrid>
      <w:tr w:rsidR="001C4E17" w:rsidRPr="006704E2" w14:paraId="0DF4D526" w14:textId="77777777" w:rsidTr="003B6CF1">
        <w:trPr>
          <w:cnfStyle w:val="100000000000" w:firstRow="1" w:lastRow="0" w:firstColumn="0" w:lastColumn="0" w:oddVBand="0" w:evenVBand="0" w:oddHBand="0"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671" w:type="dxa"/>
            <w:tcBorders>
              <w:top w:val="nil"/>
              <w:bottom w:val="single" w:sz="4" w:space="0" w:color="auto"/>
              <w:right w:val="single" w:sz="4" w:space="0" w:color="auto"/>
            </w:tcBorders>
            <w:shd w:val="clear" w:color="auto" w:fill="auto"/>
            <w:vAlign w:val="center"/>
          </w:tcPr>
          <w:p w14:paraId="395B1150" w14:textId="77777777" w:rsidR="001C4E17" w:rsidRPr="006704E2" w:rsidRDefault="001C4E17" w:rsidP="003B6CF1">
            <w:pPr>
              <w:jc w:val="center"/>
              <w:rPr>
                <w:rFonts w:ascii="Garamond" w:hAnsi="Garamond"/>
                <w:color w:val="auto"/>
                <w:sz w:val="24"/>
                <w:szCs w:val="24"/>
              </w:rPr>
            </w:pPr>
            <w:r w:rsidRPr="006704E2">
              <w:rPr>
                <w:rFonts w:ascii="Garamond" w:hAnsi="Garamond"/>
                <w:color w:val="auto"/>
                <w:sz w:val="24"/>
                <w:szCs w:val="24"/>
              </w:rPr>
              <w:t xml:space="preserve">Statistical </w:t>
            </w:r>
          </w:p>
          <w:p w14:paraId="75B40CBD" w14:textId="77777777" w:rsidR="001C4E17" w:rsidRPr="006704E2" w:rsidRDefault="001C4E17" w:rsidP="003B6CF1">
            <w:pPr>
              <w:jc w:val="center"/>
              <w:rPr>
                <w:rFonts w:ascii="Garamond" w:hAnsi="Garamond"/>
                <w:b w:val="0"/>
                <w:bCs w:val="0"/>
                <w:color w:val="auto"/>
                <w:sz w:val="24"/>
                <w:szCs w:val="24"/>
              </w:rPr>
            </w:pPr>
            <w:r w:rsidRPr="006704E2">
              <w:rPr>
                <w:rFonts w:ascii="Garamond" w:hAnsi="Garamond"/>
                <w:color w:val="auto"/>
                <w:sz w:val="24"/>
                <w:szCs w:val="24"/>
              </w:rPr>
              <w:t>Features</w:t>
            </w:r>
          </w:p>
        </w:tc>
        <w:tc>
          <w:tcPr>
            <w:tcW w:w="2199" w:type="dxa"/>
            <w:gridSpan w:val="2"/>
            <w:tcBorders>
              <w:top w:val="nil"/>
              <w:left w:val="single" w:sz="4" w:space="0" w:color="auto"/>
              <w:bottom w:val="single" w:sz="4" w:space="0" w:color="auto"/>
            </w:tcBorders>
            <w:shd w:val="clear" w:color="auto" w:fill="auto"/>
            <w:vAlign w:val="center"/>
          </w:tcPr>
          <w:p w14:paraId="1759B755"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Cold Exposure</w:t>
            </w:r>
          </w:p>
          <w:p w14:paraId="67DAF757"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Morbidity Costs Proportion</w:t>
            </w:r>
          </w:p>
          <w:p w14:paraId="564FBF0A"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 xml:space="preserve"> (%)</w:t>
            </w:r>
          </w:p>
        </w:tc>
        <w:tc>
          <w:tcPr>
            <w:tcW w:w="2186" w:type="dxa"/>
            <w:tcBorders>
              <w:top w:val="nil"/>
              <w:bottom w:val="single" w:sz="4" w:space="0" w:color="auto"/>
            </w:tcBorders>
            <w:shd w:val="clear" w:color="auto" w:fill="auto"/>
            <w:vAlign w:val="center"/>
          </w:tcPr>
          <w:p w14:paraId="4C60B4D4"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Heat Exposure</w:t>
            </w:r>
          </w:p>
          <w:p w14:paraId="35060CD2"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 xml:space="preserve">Morbidity Costs </w:t>
            </w:r>
          </w:p>
          <w:p w14:paraId="4426AC08"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Proportion</w:t>
            </w:r>
          </w:p>
          <w:p w14:paraId="1AA27D49"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 xml:space="preserve"> (%)</w:t>
            </w:r>
          </w:p>
        </w:tc>
        <w:tc>
          <w:tcPr>
            <w:tcW w:w="3416" w:type="dxa"/>
            <w:tcBorders>
              <w:top w:val="nil"/>
              <w:bottom w:val="single" w:sz="4" w:space="0" w:color="auto"/>
            </w:tcBorders>
            <w:shd w:val="clear" w:color="auto" w:fill="auto"/>
            <w:vAlign w:val="center"/>
          </w:tcPr>
          <w:p w14:paraId="66AD0CD8"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All Temperature Exposure</w:t>
            </w:r>
          </w:p>
          <w:p w14:paraId="17D2A492"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 xml:space="preserve">Morbidity Costs </w:t>
            </w:r>
          </w:p>
          <w:p w14:paraId="07003050"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Proportion</w:t>
            </w:r>
          </w:p>
          <w:p w14:paraId="2D4A142D" w14:textId="77777777" w:rsidR="001C4E17" w:rsidRPr="006704E2" w:rsidRDefault="001C4E17" w:rsidP="003B6CF1">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w:t>
            </w:r>
          </w:p>
        </w:tc>
      </w:tr>
      <w:tr w:rsidR="001C4E17" w:rsidRPr="006704E2" w14:paraId="6EF7DA48" w14:textId="77777777" w:rsidTr="003B6C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auto"/>
              <w:right w:val="single" w:sz="4" w:space="0" w:color="auto"/>
            </w:tcBorders>
            <w:shd w:val="clear" w:color="auto" w:fill="auto"/>
            <w:vAlign w:val="center"/>
          </w:tcPr>
          <w:p w14:paraId="04A1BB45" w14:textId="77777777" w:rsidR="001C4E17" w:rsidRPr="006704E2" w:rsidRDefault="001C4E17" w:rsidP="003B6CF1">
            <w:pPr>
              <w:jc w:val="center"/>
              <w:rPr>
                <w:rFonts w:ascii="Garamond" w:hAnsi="Garamond"/>
                <w:color w:val="auto"/>
                <w:sz w:val="24"/>
                <w:szCs w:val="24"/>
              </w:rPr>
            </w:pPr>
            <w:r w:rsidRPr="006704E2">
              <w:rPr>
                <w:rFonts w:ascii="Garamond" w:hAnsi="Garamond"/>
                <w:color w:val="auto"/>
                <w:sz w:val="24"/>
                <w:szCs w:val="24"/>
              </w:rPr>
              <w:t>Mean</w:t>
            </w:r>
          </w:p>
        </w:tc>
        <w:tc>
          <w:tcPr>
            <w:tcW w:w="236" w:type="dxa"/>
            <w:tcBorders>
              <w:top w:val="single" w:sz="4" w:space="0" w:color="auto"/>
              <w:left w:val="single" w:sz="4" w:space="0" w:color="auto"/>
            </w:tcBorders>
            <w:shd w:val="clear" w:color="auto" w:fill="auto"/>
            <w:vAlign w:val="center"/>
          </w:tcPr>
          <w:p w14:paraId="4B99FCD7"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b/>
                <w:bCs/>
                <w:color w:val="auto"/>
                <w:sz w:val="24"/>
                <w:szCs w:val="24"/>
              </w:rPr>
            </w:pPr>
          </w:p>
        </w:tc>
        <w:tc>
          <w:tcPr>
            <w:tcW w:w="1963" w:type="dxa"/>
            <w:tcBorders>
              <w:top w:val="single" w:sz="4" w:space="0" w:color="auto"/>
            </w:tcBorders>
            <w:shd w:val="clear" w:color="auto" w:fill="auto"/>
            <w:vAlign w:val="center"/>
          </w:tcPr>
          <w:p w14:paraId="6D85957A"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1.03</w:t>
            </w:r>
          </w:p>
        </w:tc>
        <w:tc>
          <w:tcPr>
            <w:tcW w:w="2186" w:type="dxa"/>
            <w:tcBorders>
              <w:top w:val="single" w:sz="4" w:space="0" w:color="auto"/>
            </w:tcBorders>
            <w:shd w:val="clear" w:color="auto" w:fill="auto"/>
            <w:vAlign w:val="center"/>
          </w:tcPr>
          <w:p w14:paraId="38C44D33"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0.37</w:t>
            </w:r>
          </w:p>
        </w:tc>
        <w:tc>
          <w:tcPr>
            <w:tcW w:w="3416" w:type="dxa"/>
            <w:tcBorders>
              <w:top w:val="single" w:sz="4" w:space="0" w:color="auto"/>
            </w:tcBorders>
            <w:shd w:val="clear" w:color="auto" w:fill="auto"/>
            <w:vAlign w:val="center"/>
          </w:tcPr>
          <w:p w14:paraId="5DD27C4F"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1.13</w:t>
            </w:r>
          </w:p>
        </w:tc>
      </w:tr>
      <w:tr w:rsidR="001C4E17" w:rsidRPr="006704E2" w14:paraId="1CB5666A" w14:textId="77777777" w:rsidTr="003B6CF1">
        <w:tc>
          <w:tcPr>
            <w:cnfStyle w:val="001000000000" w:firstRow="0" w:lastRow="0" w:firstColumn="1" w:lastColumn="0" w:oddVBand="0" w:evenVBand="0" w:oddHBand="0" w:evenHBand="0" w:firstRowFirstColumn="0" w:firstRowLastColumn="0" w:lastRowFirstColumn="0" w:lastRowLastColumn="0"/>
            <w:tcW w:w="1671" w:type="dxa"/>
            <w:tcBorders>
              <w:right w:val="single" w:sz="4" w:space="0" w:color="auto"/>
            </w:tcBorders>
            <w:shd w:val="clear" w:color="auto" w:fill="auto"/>
            <w:vAlign w:val="center"/>
          </w:tcPr>
          <w:p w14:paraId="357DF877" w14:textId="77777777" w:rsidR="001C4E17" w:rsidRPr="006704E2" w:rsidRDefault="001C4E17" w:rsidP="003B6CF1">
            <w:pPr>
              <w:jc w:val="center"/>
              <w:rPr>
                <w:rFonts w:ascii="Garamond" w:hAnsi="Garamond"/>
                <w:color w:val="auto"/>
                <w:sz w:val="24"/>
                <w:szCs w:val="24"/>
              </w:rPr>
            </w:pPr>
            <w:r w:rsidRPr="006704E2">
              <w:rPr>
                <w:rFonts w:ascii="Garamond" w:hAnsi="Garamond"/>
                <w:color w:val="auto"/>
                <w:sz w:val="24"/>
                <w:szCs w:val="24"/>
              </w:rPr>
              <w:t>Minimum</w:t>
            </w:r>
          </w:p>
        </w:tc>
        <w:tc>
          <w:tcPr>
            <w:tcW w:w="236" w:type="dxa"/>
            <w:tcBorders>
              <w:left w:val="single" w:sz="4" w:space="0" w:color="auto"/>
            </w:tcBorders>
            <w:shd w:val="clear" w:color="auto" w:fill="auto"/>
            <w:vAlign w:val="center"/>
          </w:tcPr>
          <w:p w14:paraId="3CB1ADE5" w14:textId="77777777" w:rsidR="001C4E17" w:rsidRPr="006704E2" w:rsidRDefault="001C4E17" w:rsidP="003B6CF1">
            <w:pPr>
              <w:jc w:val="center"/>
              <w:cnfStyle w:val="000000000000" w:firstRow="0" w:lastRow="0" w:firstColumn="0" w:lastColumn="0" w:oddVBand="0" w:evenVBand="0" w:oddHBand="0" w:evenHBand="0" w:firstRowFirstColumn="0" w:firstRowLastColumn="0" w:lastRowFirstColumn="0" w:lastRowLastColumn="0"/>
              <w:rPr>
                <w:rFonts w:ascii="Garamond" w:hAnsi="Garamond"/>
                <w:b/>
                <w:bCs/>
                <w:color w:val="auto"/>
                <w:sz w:val="24"/>
                <w:szCs w:val="24"/>
              </w:rPr>
            </w:pPr>
          </w:p>
        </w:tc>
        <w:tc>
          <w:tcPr>
            <w:tcW w:w="1963" w:type="dxa"/>
            <w:shd w:val="clear" w:color="auto" w:fill="auto"/>
            <w:vAlign w:val="center"/>
          </w:tcPr>
          <w:p w14:paraId="0768FAAB" w14:textId="77777777" w:rsidR="001C4E17" w:rsidRPr="006704E2" w:rsidRDefault="001C4E17" w:rsidP="003B6CF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0.56</w:t>
            </w:r>
          </w:p>
        </w:tc>
        <w:tc>
          <w:tcPr>
            <w:tcW w:w="2186" w:type="dxa"/>
            <w:shd w:val="clear" w:color="auto" w:fill="auto"/>
            <w:vAlign w:val="center"/>
          </w:tcPr>
          <w:p w14:paraId="616528BE" w14:textId="77777777" w:rsidR="001C4E17" w:rsidRPr="006704E2" w:rsidRDefault="001C4E17" w:rsidP="003B6CF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0.16</w:t>
            </w:r>
          </w:p>
        </w:tc>
        <w:tc>
          <w:tcPr>
            <w:tcW w:w="3416" w:type="dxa"/>
            <w:shd w:val="clear" w:color="auto" w:fill="auto"/>
            <w:vAlign w:val="center"/>
          </w:tcPr>
          <w:p w14:paraId="00D8EAD4" w14:textId="77777777" w:rsidR="001C4E17" w:rsidRPr="006704E2" w:rsidRDefault="001C4E17" w:rsidP="003B6CF1">
            <w:pPr>
              <w:jc w:val="center"/>
              <w:cnfStyle w:val="000000000000" w:firstRow="0" w:lastRow="0" w:firstColumn="0" w:lastColumn="0" w:oddVBand="0" w:evenVBand="0" w:oddHBand="0"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0.65</w:t>
            </w:r>
          </w:p>
        </w:tc>
      </w:tr>
      <w:tr w:rsidR="001C4E17" w:rsidRPr="006704E2" w14:paraId="5D32D099" w14:textId="77777777" w:rsidTr="003B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Borders>
              <w:right w:val="single" w:sz="4" w:space="0" w:color="auto"/>
            </w:tcBorders>
            <w:shd w:val="clear" w:color="auto" w:fill="auto"/>
            <w:vAlign w:val="center"/>
          </w:tcPr>
          <w:p w14:paraId="7626A81A" w14:textId="77777777" w:rsidR="001C4E17" w:rsidRPr="006704E2" w:rsidRDefault="001C4E17" w:rsidP="003B6CF1">
            <w:pPr>
              <w:jc w:val="center"/>
              <w:rPr>
                <w:rFonts w:ascii="Garamond" w:hAnsi="Garamond"/>
                <w:color w:val="auto"/>
                <w:sz w:val="24"/>
                <w:szCs w:val="24"/>
              </w:rPr>
            </w:pPr>
            <w:r w:rsidRPr="006704E2">
              <w:rPr>
                <w:rFonts w:ascii="Garamond" w:hAnsi="Garamond"/>
                <w:color w:val="auto"/>
                <w:sz w:val="24"/>
                <w:szCs w:val="24"/>
              </w:rPr>
              <w:t>Maximum</w:t>
            </w:r>
          </w:p>
        </w:tc>
        <w:tc>
          <w:tcPr>
            <w:tcW w:w="236" w:type="dxa"/>
            <w:tcBorders>
              <w:left w:val="single" w:sz="4" w:space="0" w:color="auto"/>
            </w:tcBorders>
            <w:shd w:val="clear" w:color="auto" w:fill="auto"/>
            <w:vAlign w:val="center"/>
          </w:tcPr>
          <w:p w14:paraId="440BF09B"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b/>
                <w:bCs/>
                <w:color w:val="auto"/>
                <w:sz w:val="24"/>
                <w:szCs w:val="24"/>
              </w:rPr>
            </w:pPr>
          </w:p>
        </w:tc>
        <w:tc>
          <w:tcPr>
            <w:tcW w:w="1963" w:type="dxa"/>
            <w:shd w:val="clear" w:color="auto" w:fill="auto"/>
            <w:vAlign w:val="center"/>
          </w:tcPr>
          <w:p w14:paraId="191A55FC"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2.42</w:t>
            </w:r>
          </w:p>
        </w:tc>
        <w:tc>
          <w:tcPr>
            <w:tcW w:w="2186" w:type="dxa"/>
            <w:shd w:val="clear" w:color="auto" w:fill="auto"/>
            <w:vAlign w:val="center"/>
          </w:tcPr>
          <w:p w14:paraId="226158B3"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1.00</w:t>
            </w:r>
          </w:p>
        </w:tc>
        <w:tc>
          <w:tcPr>
            <w:tcW w:w="3416" w:type="dxa"/>
            <w:shd w:val="clear" w:color="auto" w:fill="auto"/>
            <w:vAlign w:val="center"/>
          </w:tcPr>
          <w:p w14:paraId="0B948EB1" w14:textId="77777777" w:rsidR="001C4E17" w:rsidRPr="006704E2" w:rsidRDefault="001C4E17" w:rsidP="003B6CF1">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sz w:val="24"/>
                <w:szCs w:val="24"/>
              </w:rPr>
            </w:pPr>
            <w:r w:rsidRPr="006704E2">
              <w:rPr>
                <w:rFonts w:ascii="Garamond" w:hAnsi="Garamond"/>
                <w:color w:val="auto"/>
                <w:sz w:val="24"/>
                <w:szCs w:val="24"/>
              </w:rPr>
              <w:t>2.35</w:t>
            </w:r>
          </w:p>
        </w:tc>
      </w:tr>
    </w:tbl>
    <w:p w14:paraId="0179758C" w14:textId="77777777" w:rsidR="001C4E17" w:rsidRPr="006704E2" w:rsidRDefault="001C4E17" w:rsidP="001C4E17">
      <w:pPr>
        <w:spacing w:line="480" w:lineRule="auto"/>
        <w:rPr>
          <w:rFonts w:ascii="Garamond" w:hAnsi="Garamond"/>
          <w:sz w:val="24"/>
          <w:szCs w:val="24"/>
        </w:rPr>
      </w:pPr>
    </w:p>
    <w:p w14:paraId="2B9F27EB" w14:textId="77777777" w:rsidR="001C4E17" w:rsidRDefault="001C4E17" w:rsidP="001C4E17">
      <w:pPr>
        <w:spacing w:line="480" w:lineRule="auto"/>
        <w:ind w:left="720"/>
        <w:rPr>
          <w:rFonts w:ascii="Garamond" w:hAnsi="Garamond"/>
          <w:sz w:val="24"/>
          <w:szCs w:val="24"/>
        </w:rPr>
      </w:pPr>
      <w:r w:rsidRPr="006704E2">
        <w:rPr>
          <w:rFonts w:ascii="Garamond" w:hAnsi="Garamond"/>
          <w:sz w:val="24"/>
          <w:szCs w:val="24"/>
        </w:rPr>
        <w:t>Costs proportion is calculated by dividing the costs attributable to morbidity outcomes by the costs attributable to both mortality and morbidity outcomes. Cold exposure is defined as the temperature range between the minimum daily maximum heat index (</w:t>
      </w:r>
      <w:proofErr w:type="spellStart"/>
      <w:r w:rsidRPr="006704E2">
        <w:rPr>
          <w:rFonts w:ascii="Garamond" w:hAnsi="Garamond"/>
          <w:sz w:val="24"/>
          <w:szCs w:val="24"/>
        </w:rPr>
        <w:t>HI</w:t>
      </w:r>
      <w:r w:rsidRPr="006704E2">
        <w:rPr>
          <w:rFonts w:ascii="Garamond" w:hAnsi="Garamond"/>
          <w:sz w:val="24"/>
          <w:szCs w:val="24"/>
          <w:vertAlign w:val="subscript"/>
        </w:rPr>
        <w:t>max</w:t>
      </w:r>
      <w:proofErr w:type="spellEnd"/>
      <w:r w:rsidRPr="006704E2">
        <w:rPr>
          <w:rFonts w:ascii="Garamond" w:hAnsi="Garamond"/>
          <w:sz w:val="24"/>
          <w:szCs w:val="24"/>
        </w:rPr>
        <w:t xml:space="preserve">) and the minimum effect temperature (MET, specific to health outcome and age group); heat exposure is defined as the temperature range between the MET and the maximum </w:t>
      </w:r>
      <w:proofErr w:type="spellStart"/>
      <w:r w:rsidRPr="006704E2">
        <w:rPr>
          <w:rFonts w:ascii="Garamond" w:hAnsi="Garamond"/>
          <w:sz w:val="24"/>
          <w:szCs w:val="24"/>
        </w:rPr>
        <w:t>HI</w:t>
      </w:r>
      <w:r w:rsidRPr="006704E2">
        <w:rPr>
          <w:rFonts w:ascii="Garamond" w:hAnsi="Garamond"/>
          <w:sz w:val="24"/>
          <w:szCs w:val="24"/>
          <w:vertAlign w:val="subscript"/>
        </w:rPr>
        <w:t>max</w:t>
      </w:r>
      <w:proofErr w:type="spellEnd"/>
      <w:r w:rsidRPr="006704E2">
        <w:rPr>
          <w:rFonts w:ascii="Garamond" w:hAnsi="Garamond"/>
          <w:sz w:val="24"/>
          <w:szCs w:val="24"/>
        </w:rPr>
        <w:t>. All temperature exposure includes the entire temperature range.</w:t>
      </w:r>
    </w:p>
    <w:p w14:paraId="75B24DB8" w14:textId="545C905B" w:rsidR="001C4E17" w:rsidRPr="006704E2" w:rsidRDefault="001C4E17">
      <w:pPr>
        <w:rPr>
          <w:rFonts w:ascii="Garamond" w:hAnsi="Garamond"/>
          <w:sz w:val="24"/>
          <w:szCs w:val="24"/>
        </w:rPr>
      </w:pPr>
      <w:r>
        <w:rPr>
          <w:rFonts w:ascii="Garamond" w:hAnsi="Garamond"/>
          <w:sz w:val="24"/>
          <w:szCs w:val="24"/>
        </w:rPr>
        <w:br w:type="page"/>
      </w:r>
    </w:p>
    <w:p w14:paraId="5DE6E13B" w14:textId="0E448A1F" w:rsidR="00201AA5" w:rsidRPr="006704E2" w:rsidRDefault="00FE44BF" w:rsidP="00FE44BF">
      <w:pPr>
        <w:spacing w:line="480" w:lineRule="auto"/>
        <w:rPr>
          <w:rFonts w:ascii="Garamond" w:hAnsi="Garamond"/>
          <w:b/>
          <w:sz w:val="28"/>
          <w:szCs w:val="28"/>
        </w:rPr>
      </w:pPr>
      <w:r w:rsidRPr="006704E2">
        <w:rPr>
          <w:rFonts w:ascii="Garamond" w:hAnsi="Garamond"/>
          <w:b/>
          <w:sz w:val="28"/>
          <w:szCs w:val="28"/>
        </w:rPr>
        <w:lastRenderedPageBreak/>
        <w:t xml:space="preserve">Reference </w:t>
      </w:r>
    </w:p>
    <w:p w14:paraId="03543DCE" w14:textId="11D7DD79"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b/>
          <w:sz w:val="24"/>
          <w:szCs w:val="24"/>
        </w:rPr>
        <w:fldChar w:fldCharType="begin" w:fldLock="1"/>
      </w:r>
      <w:r w:rsidRPr="006704E2">
        <w:rPr>
          <w:rFonts w:ascii="Garamond" w:hAnsi="Garamond"/>
          <w:b/>
          <w:sz w:val="24"/>
          <w:szCs w:val="24"/>
        </w:rPr>
        <w:instrText xml:space="preserve">ADDIN Mendeley Bibliography CSL_BIBLIOGRAPHY </w:instrText>
      </w:r>
      <w:r w:rsidRPr="006704E2">
        <w:rPr>
          <w:rFonts w:ascii="Garamond" w:hAnsi="Garamond"/>
          <w:b/>
          <w:sz w:val="24"/>
          <w:szCs w:val="24"/>
        </w:rPr>
        <w:fldChar w:fldCharType="separate"/>
      </w:r>
      <w:r w:rsidRPr="006704E2">
        <w:rPr>
          <w:rFonts w:ascii="Garamond" w:hAnsi="Garamond"/>
          <w:noProof/>
          <w:sz w:val="24"/>
          <w:szCs w:val="24"/>
        </w:rPr>
        <w:t>Aldy JE, Viscusi WK. 2007. Age Differences in the Value of Statistical Life: Revealed Preference Evidence. Rev. Environ. Econ. Policy 1:241–260; doi:10.1093/reep/rem014.</w:t>
      </w:r>
    </w:p>
    <w:p w14:paraId="51D3B312"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Christenson M, Geiger SD, Phillips J, Anderson B, Losurdo G, Anderson HA. 2016. Heat Vulnerability Index Mapping for Milwaukee and Wisconsin. J. Public Heal. Manag. Pract. 0:1; doi:10.1097/PHH.0000000000000352.</w:t>
      </w:r>
    </w:p>
    <w:p w14:paraId="41898BF6"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Evans MF, Schaur G. 2010. A quantile estimation approach to identify income and age variation in the value of a statistical life. J. Environ. Econ. Manage. 59:260–270; doi:10.1016/j.jeem.2009.11.004.</w:t>
      </w:r>
    </w:p>
    <w:p w14:paraId="54CB45B7"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Evans MF, Smith K V. 2008. Complementarity and the measurement of individual risk tradeoffs: Accounting for quantity and quality of life effects. Environ. Resour. Econ. 41:381–400; doi:10.1007/s10640-008-9197-9.</w:t>
      </w:r>
    </w:p>
    <w:p w14:paraId="153E6629"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Grosse SD, Krueger K V, Mvundura M. 2009. Economic productivity by age and sex: 2007 estimates for the United States. Med. Care 47:S94–S103; doi:10.1097/MLR.0b013e31819c9571.</w:t>
      </w:r>
    </w:p>
    <w:p w14:paraId="15E1DCDB"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Hammitt JK. 2007. Valuing Changes in Mortality Risk: Lives Saved Versus Life Years Saved. Rev. Environ. Econ. Policy 1:228–240; doi:10.1093/reep/rem015.</w:t>
      </w:r>
    </w:p>
    <w:p w14:paraId="14E28C9C"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Hersch J, Viscusi WK. 2010. Immigrant Status and the Value of Statistical Life. J. Hum. Resour. 45: 749–771.</w:t>
      </w:r>
    </w:p>
    <w:p w14:paraId="52390859"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Johansson PO. 2006. On the Definition and Estimation of the Value of a “statistical life”. Working paper. Univ. Milan.Fifth Milan Eur. Econ. Work. 251–263.</w:t>
      </w:r>
    </w:p>
    <w:p w14:paraId="710229B4"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Kniesner TJ, Viscusi WK. 2005. Value of a Statistical Life</w:t>
      </w:r>
      <w:r w:rsidRPr="006704E2">
        <w:rPr>
          <w:rFonts w:ascii="Times New Roman" w:hAnsi="Times New Roman" w:cs="Times New Roman"/>
          <w:noProof/>
          <w:sz w:val="24"/>
          <w:szCs w:val="24"/>
        </w:rPr>
        <w:t> </w:t>
      </w:r>
      <w:r w:rsidRPr="006704E2">
        <w:rPr>
          <w:rFonts w:ascii="Garamond" w:hAnsi="Garamond"/>
          <w:noProof/>
          <w:sz w:val="24"/>
          <w:szCs w:val="24"/>
        </w:rPr>
        <w:t>: Relative Position vs . Relative Age. Am. Econ. Rev. Pap. Proc. One Hundred Seventeenth Annu. Meet. Am. Econ. Assoc. 95: 142–146.</w:t>
      </w:r>
    </w:p>
    <w:p w14:paraId="7B06C364"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Kniesner TJ, Viscusi WK, Woock C, Ziliak JP. 2012. The Value of a Statistical Life: Evidence from Panel Data. Rev. Econ. Stat. 94:74–87; doi:10.1162/REST_a_00229.</w:t>
      </w:r>
    </w:p>
    <w:p w14:paraId="4D82CDD6"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Kniesner TJ, Viscusi WK, Ziliak JP. 2010. Policy relevant heterogeneity in the value of statistical life: New evidence from panel data quantile regressions. J. Risk Uncertain. 40:15–31; doi:10.1007/s11166-009-9084-y.</w:t>
      </w:r>
    </w:p>
    <w:p w14:paraId="2E1F63FC"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Lavigne E, Gasparrini A, Wang X, Chen H, Yagouti A, Fleury MD, et al. 2014. Extreme ambient temperatures and cardiorespiratory emergency room visits: assessing risk by comorbid health conditions in a time series study. Environ. Heal. 13:5; doi:10.1186/1476-069X-13-5.</w:t>
      </w:r>
    </w:p>
    <w:p w14:paraId="054B7AD7"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Lin S, Luo M, Walker RJ, Liu X, Hwang S-A, Chinery R. 2009. Extreme high temperatures and hospital admissions for respiratory and cardiovascular diseases. Epidemiology 20:738–746; doi:10.1097/EDE.0b013e3181ad5522.</w:t>
      </w:r>
    </w:p>
    <w:p w14:paraId="3BB437BD" w14:textId="77777777" w:rsidR="00FE44BF" w:rsidRPr="000A09FE" w:rsidRDefault="00FE44BF" w:rsidP="00FE44BF">
      <w:pPr>
        <w:widowControl w:val="0"/>
        <w:autoSpaceDE w:val="0"/>
        <w:autoSpaceDN w:val="0"/>
        <w:adjustRightInd w:val="0"/>
        <w:spacing w:line="240" w:lineRule="auto"/>
        <w:ind w:left="480" w:hanging="480"/>
        <w:rPr>
          <w:rFonts w:ascii="Garamond" w:hAnsi="Garamond"/>
          <w:noProof/>
          <w:sz w:val="24"/>
          <w:szCs w:val="24"/>
          <w:lang w:val="fr-FR"/>
        </w:rPr>
      </w:pPr>
      <w:r w:rsidRPr="006704E2">
        <w:rPr>
          <w:rFonts w:ascii="Garamond" w:hAnsi="Garamond"/>
          <w:noProof/>
          <w:sz w:val="24"/>
          <w:szCs w:val="24"/>
        </w:rPr>
        <w:t xml:space="preserve">Medina-Ramón M, Schwartz J. 2007. Temperature, temperature extremes, and mortality: a study of acclimatisation and effect modification in 50 US cities. </w:t>
      </w:r>
      <w:r w:rsidRPr="000A09FE">
        <w:rPr>
          <w:rFonts w:ascii="Garamond" w:hAnsi="Garamond"/>
          <w:noProof/>
          <w:sz w:val="24"/>
          <w:szCs w:val="24"/>
          <w:lang w:val="fr-FR"/>
        </w:rPr>
        <w:t>Occup Env. Med 64:827–833; doi:10.1136/oem.2007.033175.</w:t>
      </w:r>
    </w:p>
    <w:p w14:paraId="0BCB18E4"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0A09FE">
        <w:rPr>
          <w:rFonts w:ascii="Garamond" w:hAnsi="Garamond"/>
          <w:noProof/>
          <w:sz w:val="24"/>
          <w:szCs w:val="24"/>
          <w:lang w:val="fr-FR"/>
        </w:rPr>
        <w:t xml:space="preserve">Michelozzi P, Accetta G, De Sario M, D’Ippoliti D, Marino C, Baccini M, et al. 2009. </w:t>
      </w:r>
      <w:r w:rsidRPr="006704E2">
        <w:rPr>
          <w:rFonts w:ascii="Garamond" w:hAnsi="Garamond"/>
          <w:noProof/>
          <w:sz w:val="24"/>
          <w:szCs w:val="24"/>
        </w:rPr>
        <w:t xml:space="preserve">High </w:t>
      </w:r>
      <w:r w:rsidRPr="006704E2">
        <w:rPr>
          <w:rFonts w:ascii="Garamond" w:hAnsi="Garamond"/>
          <w:noProof/>
          <w:sz w:val="24"/>
          <w:szCs w:val="24"/>
        </w:rPr>
        <w:lastRenderedPageBreak/>
        <w:t>temperature and hospitalizations for cardiovascular and respiratory causes in 12 european cities. Am. J. Respir. Crit. Care Med. 179:383–389; doi:10.1164/rccm.200802-217OC.</w:t>
      </w:r>
    </w:p>
    <w:p w14:paraId="0986A465"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 xml:space="preserve">RTI International. 2015. </w:t>
      </w:r>
      <w:r w:rsidRPr="006704E2">
        <w:rPr>
          <w:rFonts w:ascii="Garamond" w:hAnsi="Garamond"/>
          <w:i/>
          <w:iCs/>
          <w:noProof/>
          <w:sz w:val="24"/>
          <w:szCs w:val="24"/>
        </w:rPr>
        <w:t>Environmental Benefits Mapping and Analysis Program - Community Edition.</w:t>
      </w:r>
    </w:p>
    <w:p w14:paraId="0D5D67B3"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Scotton CR, Taylor LO. 2011. Valuing risk reductions: Incorporating risk heterogeneity into a revealed preference framework. Resour. Energy Econ. 33:381–397; doi:10.1016/j.reseneeco.2010.06.001.</w:t>
      </w:r>
    </w:p>
    <w:p w14:paraId="535FE98F"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Thomson K, Monje C. 2015. Guidance on Treatment of the Economic Value of a Statistical Life (VSL) in U.S. Department of Transportation Analyses - 2015 Adjustment.</w:t>
      </w:r>
    </w:p>
    <w:p w14:paraId="2190013F"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U.S. Bureau of Labor Statistics. 2017. Consumer Price Index Historical Table, Minneapolis-St. Paul.</w:t>
      </w:r>
    </w:p>
    <w:p w14:paraId="2C8C8FC0"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U.S. EPA. 1997. The Benefits and Costs of the Clean Air Act, 1970 to 1990.</w:t>
      </w:r>
    </w:p>
    <w:p w14:paraId="277385A1" w14:textId="2E394149"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U</w:t>
      </w:r>
      <w:r w:rsidR="00C17A2F" w:rsidRPr="006704E2">
        <w:rPr>
          <w:rFonts w:ascii="Garamond" w:hAnsi="Garamond"/>
          <w:noProof/>
          <w:sz w:val="24"/>
          <w:szCs w:val="24"/>
        </w:rPr>
        <w:t>.</w:t>
      </w:r>
      <w:r w:rsidRPr="006704E2">
        <w:rPr>
          <w:rFonts w:ascii="Garamond" w:hAnsi="Garamond"/>
          <w:noProof/>
          <w:sz w:val="24"/>
          <w:szCs w:val="24"/>
        </w:rPr>
        <w:t>S</w:t>
      </w:r>
      <w:r w:rsidR="00C17A2F" w:rsidRPr="006704E2">
        <w:rPr>
          <w:rFonts w:ascii="Garamond" w:hAnsi="Garamond"/>
          <w:noProof/>
          <w:sz w:val="24"/>
          <w:szCs w:val="24"/>
        </w:rPr>
        <w:t>.</w:t>
      </w:r>
      <w:r w:rsidRPr="006704E2">
        <w:rPr>
          <w:rFonts w:ascii="Garamond" w:hAnsi="Garamond"/>
          <w:noProof/>
          <w:sz w:val="24"/>
          <w:szCs w:val="24"/>
        </w:rPr>
        <w:t xml:space="preserve"> EPA Office of Air and Radiation. 2011. The Benefits and Costs of the Clean Air Act from 1990 to 2020, Final Report, Revision A, April 2011.</w:t>
      </w:r>
    </w:p>
    <w:p w14:paraId="15DA32E7"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szCs w:val="24"/>
        </w:rPr>
      </w:pPr>
      <w:r w:rsidRPr="006704E2">
        <w:rPr>
          <w:rFonts w:ascii="Garamond" w:hAnsi="Garamond"/>
          <w:noProof/>
          <w:sz w:val="24"/>
          <w:szCs w:val="24"/>
        </w:rPr>
        <w:t>Viscusi KW. 2004. The value of life: Estimates with risks by occupation and industry. Econ. Inq. 42:29–48; doi:10.1093/ei/cbh042.</w:t>
      </w:r>
    </w:p>
    <w:p w14:paraId="6EDF9158" w14:textId="77777777" w:rsidR="00FE44BF" w:rsidRPr="006704E2" w:rsidRDefault="00FE44BF" w:rsidP="00FE44BF">
      <w:pPr>
        <w:widowControl w:val="0"/>
        <w:autoSpaceDE w:val="0"/>
        <w:autoSpaceDN w:val="0"/>
        <w:adjustRightInd w:val="0"/>
        <w:spacing w:line="240" w:lineRule="auto"/>
        <w:ind w:left="480" w:hanging="480"/>
        <w:rPr>
          <w:rFonts w:ascii="Garamond" w:hAnsi="Garamond"/>
          <w:noProof/>
          <w:sz w:val="24"/>
        </w:rPr>
      </w:pPr>
      <w:r w:rsidRPr="006704E2">
        <w:rPr>
          <w:rFonts w:ascii="Garamond" w:hAnsi="Garamond"/>
          <w:noProof/>
          <w:sz w:val="24"/>
          <w:szCs w:val="24"/>
        </w:rPr>
        <w:t>Viscusi WK, Hersch J. 2008. The mortality cost to smokers. J. Health Econ. 27:943–958; doi:10.1016/j.jhealeco.2008.01.001.</w:t>
      </w:r>
    </w:p>
    <w:p w14:paraId="55398D06" w14:textId="1E97FA5F" w:rsidR="00FE44BF" w:rsidRPr="006704E2" w:rsidRDefault="00FE44BF" w:rsidP="00FE44BF">
      <w:pPr>
        <w:spacing w:line="240" w:lineRule="auto"/>
        <w:ind w:left="720"/>
        <w:rPr>
          <w:rFonts w:ascii="Garamond" w:hAnsi="Garamond"/>
          <w:b/>
          <w:sz w:val="24"/>
          <w:szCs w:val="24"/>
        </w:rPr>
      </w:pPr>
      <w:r w:rsidRPr="006704E2">
        <w:rPr>
          <w:rFonts w:ascii="Garamond" w:hAnsi="Garamond"/>
          <w:b/>
          <w:sz w:val="24"/>
          <w:szCs w:val="24"/>
        </w:rPr>
        <w:fldChar w:fldCharType="end"/>
      </w:r>
      <w:bookmarkEnd w:id="0"/>
    </w:p>
    <w:sectPr w:rsidR="00FE44BF" w:rsidRPr="006704E2">
      <w:footerReference w:type="even" r:id="rId9"/>
      <w:footerReference w:type="default" r:id="rId10"/>
      <w:footnotePr>
        <w:numFmt w:val="chicago"/>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7DCEE" w14:textId="77777777" w:rsidR="005D0E13" w:rsidRDefault="005D0E13" w:rsidP="00664F2F">
      <w:pPr>
        <w:spacing w:after="0" w:line="240" w:lineRule="auto"/>
      </w:pPr>
      <w:r>
        <w:separator/>
      </w:r>
    </w:p>
  </w:endnote>
  <w:endnote w:type="continuationSeparator" w:id="0">
    <w:p w14:paraId="4E5C8C29" w14:textId="77777777" w:rsidR="005D0E13" w:rsidRDefault="005D0E13" w:rsidP="0066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F19D" w14:textId="77777777" w:rsidR="000A09FE" w:rsidRDefault="000A09FE" w:rsidP="000E7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481D1" w14:textId="77777777" w:rsidR="000A09FE" w:rsidRDefault="000A09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B8C6" w14:textId="4F3CD8BD" w:rsidR="000A09FE" w:rsidRPr="00664F2F" w:rsidRDefault="000A09FE" w:rsidP="000E781E">
    <w:pPr>
      <w:pStyle w:val="Footer"/>
      <w:framePr w:wrap="around" w:vAnchor="text" w:hAnchor="margin" w:xAlign="center" w:y="1"/>
      <w:rPr>
        <w:rStyle w:val="PageNumber"/>
        <w:rFonts w:ascii="Cambria" w:hAnsi="Cambria"/>
      </w:rPr>
    </w:pPr>
    <w:r w:rsidRPr="00664F2F">
      <w:rPr>
        <w:rStyle w:val="PageNumber"/>
        <w:rFonts w:ascii="Cambria" w:hAnsi="Cambria"/>
      </w:rPr>
      <w:fldChar w:fldCharType="begin"/>
    </w:r>
    <w:r w:rsidRPr="00664F2F">
      <w:rPr>
        <w:rStyle w:val="PageNumber"/>
        <w:rFonts w:ascii="Cambria" w:hAnsi="Cambria"/>
      </w:rPr>
      <w:instrText xml:space="preserve">PAGE  </w:instrText>
    </w:r>
    <w:r w:rsidRPr="00664F2F">
      <w:rPr>
        <w:rStyle w:val="PageNumber"/>
        <w:rFonts w:ascii="Cambria" w:hAnsi="Cambria"/>
      </w:rPr>
      <w:fldChar w:fldCharType="separate"/>
    </w:r>
    <w:r w:rsidR="001A2A98">
      <w:rPr>
        <w:rStyle w:val="PageNumber"/>
        <w:rFonts w:ascii="Cambria" w:hAnsi="Cambria"/>
        <w:noProof/>
      </w:rPr>
      <w:t>23</w:t>
    </w:r>
    <w:r w:rsidRPr="00664F2F">
      <w:rPr>
        <w:rStyle w:val="PageNumber"/>
        <w:rFonts w:ascii="Cambria" w:hAnsi="Cambria"/>
      </w:rPr>
      <w:fldChar w:fldCharType="end"/>
    </w:r>
  </w:p>
  <w:p w14:paraId="3C0F528D" w14:textId="77777777" w:rsidR="000A09FE" w:rsidRPr="00664F2F" w:rsidRDefault="000A09FE">
    <w:pPr>
      <w:pStyle w:val="Footer"/>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907F" w14:textId="77777777" w:rsidR="005D0E13" w:rsidRDefault="005D0E13" w:rsidP="00664F2F">
      <w:pPr>
        <w:spacing w:after="0" w:line="240" w:lineRule="auto"/>
      </w:pPr>
      <w:r>
        <w:separator/>
      </w:r>
    </w:p>
  </w:footnote>
  <w:footnote w:type="continuationSeparator" w:id="0">
    <w:p w14:paraId="35B22F5C" w14:textId="77777777" w:rsidR="005D0E13" w:rsidRDefault="005D0E13" w:rsidP="00664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A2"/>
    <w:multiLevelType w:val="hybridMultilevel"/>
    <w:tmpl w:val="9DA2C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213E"/>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200414F"/>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3D44F9F"/>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43F5F55"/>
    <w:multiLevelType w:val="hybridMultilevel"/>
    <w:tmpl w:val="F924A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AE38A9"/>
    <w:multiLevelType w:val="hybridMultilevel"/>
    <w:tmpl w:val="D392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B6BBA"/>
    <w:multiLevelType w:val="hybridMultilevel"/>
    <w:tmpl w:val="1FF0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E54E2"/>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240635CA"/>
    <w:multiLevelType w:val="multilevel"/>
    <w:tmpl w:val="785866B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5C954EA"/>
    <w:multiLevelType w:val="multilevel"/>
    <w:tmpl w:val="68CE2F04"/>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26AF4B72"/>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2C527680"/>
    <w:multiLevelType w:val="hybridMultilevel"/>
    <w:tmpl w:val="A6F6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54895"/>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385840EF"/>
    <w:multiLevelType w:val="multilevel"/>
    <w:tmpl w:val="BF06C9FA"/>
    <w:lvl w:ilvl="0">
      <w:start w:val="3"/>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39C3219E"/>
    <w:multiLevelType w:val="multilevel"/>
    <w:tmpl w:val="BF06C9FA"/>
    <w:lvl w:ilvl="0">
      <w:start w:val="3"/>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425E468F"/>
    <w:multiLevelType w:val="hybridMultilevel"/>
    <w:tmpl w:val="4C1C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127C7"/>
    <w:multiLevelType w:val="multilevel"/>
    <w:tmpl w:val="BF06C9FA"/>
    <w:lvl w:ilvl="0">
      <w:start w:val="3"/>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4B3E5DE9"/>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51F61DC0"/>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577326B2"/>
    <w:multiLevelType w:val="hybridMultilevel"/>
    <w:tmpl w:val="42D6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71631"/>
    <w:multiLevelType w:val="multilevel"/>
    <w:tmpl w:val="EBA6083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color w:val="5B9BD5"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F516E32"/>
    <w:multiLevelType w:val="multilevel"/>
    <w:tmpl w:val="BF06C9FA"/>
    <w:lvl w:ilvl="0">
      <w:start w:val="3"/>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641E1F03"/>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64987624"/>
    <w:multiLevelType w:val="multilevel"/>
    <w:tmpl w:val="76FC4484"/>
    <w:lvl w:ilvl="0">
      <w:start w:val="7"/>
      <w:numFmt w:val="decimal"/>
      <w:lvlText w:val="%1."/>
      <w:lvlJc w:val="left"/>
      <w:pPr>
        <w:ind w:left="360" w:hanging="360"/>
      </w:pPr>
      <w:rPr>
        <w:rFonts w:hint="default"/>
      </w:rPr>
    </w:lvl>
    <w:lvl w:ilvl="1">
      <w:start w:val="2"/>
      <w:numFmt w:val="decimal"/>
      <w:isLgl/>
      <w:lvlText w:val="%1.%2"/>
      <w:lvlJc w:val="left"/>
      <w:pPr>
        <w:ind w:left="765" w:hanging="405"/>
      </w:pPr>
      <w:rPr>
        <w:rFonts w:hint="default"/>
        <w:color w:val="5B9BD5"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65B35A62"/>
    <w:multiLevelType w:val="hybridMultilevel"/>
    <w:tmpl w:val="4604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B1FAE"/>
    <w:multiLevelType w:val="multilevel"/>
    <w:tmpl w:val="4A52B26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6AC55C53"/>
    <w:multiLevelType w:val="multilevel"/>
    <w:tmpl w:val="BF06C9FA"/>
    <w:lvl w:ilvl="0">
      <w:start w:val="3"/>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6B9C045F"/>
    <w:multiLevelType w:val="hybridMultilevel"/>
    <w:tmpl w:val="B568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A78A4"/>
    <w:multiLevelType w:val="multilevel"/>
    <w:tmpl w:val="76FC4484"/>
    <w:lvl w:ilvl="0">
      <w:start w:val="7"/>
      <w:numFmt w:val="decimal"/>
      <w:lvlText w:val="%1."/>
      <w:lvlJc w:val="left"/>
      <w:pPr>
        <w:ind w:left="360" w:hanging="360"/>
      </w:pPr>
      <w:rPr>
        <w:rFonts w:hint="default"/>
      </w:rPr>
    </w:lvl>
    <w:lvl w:ilvl="1">
      <w:start w:val="2"/>
      <w:numFmt w:val="decimal"/>
      <w:isLgl/>
      <w:lvlText w:val="%1.%2"/>
      <w:lvlJc w:val="left"/>
      <w:pPr>
        <w:ind w:left="765" w:hanging="405"/>
      </w:pPr>
      <w:rPr>
        <w:rFonts w:hint="default"/>
        <w:color w:val="5B9BD5"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7A985CFA"/>
    <w:multiLevelType w:val="multilevel"/>
    <w:tmpl w:val="B568D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BC2A35"/>
    <w:multiLevelType w:val="multilevel"/>
    <w:tmpl w:val="BF06C9FA"/>
    <w:lvl w:ilvl="0">
      <w:start w:val="3"/>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8"/>
  </w:num>
  <w:num w:numId="2">
    <w:abstractNumId w:val="6"/>
  </w:num>
  <w:num w:numId="3">
    <w:abstractNumId w:val="27"/>
  </w:num>
  <w:num w:numId="4">
    <w:abstractNumId w:val="29"/>
  </w:num>
  <w:num w:numId="5">
    <w:abstractNumId w:val="11"/>
  </w:num>
  <w:num w:numId="6">
    <w:abstractNumId w:val="10"/>
  </w:num>
  <w:num w:numId="7">
    <w:abstractNumId w:val="24"/>
  </w:num>
  <w:num w:numId="8">
    <w:abstractNumId w:val="1"/>
  </w:num>
  <w:num w:numId="9">
    <w:abstractNumId w:val="12"/>
  </w:num>
  <w:num w:numId="10">
    <w:abstractNumId w:val="17"/>
  </w:num>
  <w:num w:numId="11">
    <w:abstractNumId w:val="3"/>
  </w:num>
  <w:num w:numId="12">
    <w:abstractNumId w:val="21"/>
  </w:num>
  <w:num w:numId="13">
    <w:abstractNumId w:val="26"/>
  </w:num>
  <w:num w:numId="14">
    <w:abstractNumId w:val="14"/>
  </w:num>
  <w:num w:numId="15">
    <w:abstractNumId w:val="25"/>
  </w:num>
  <w:num w:numId="16">
    <w:abstractNumId w:val="7"/>
  </w:num>
  <w:num w:numId="17">
    <w:abstractNumId w:val="9"/>
  </w:num>
  <w:num w:numId="18">
    <w:abstractNumId w:val="30"/>
  </w:num>
  <w:num w:numId="19">
    <w:abstractNumId w:val="16"/>
  </w:num>
  <w:num w:numId="20">
    <w:abstractNumId w:val="13"/>
  </w:num>
  <w:num w:numId="21">
    <w:abstractNumId w:val="22"/>
  </w:num>
  <w:num w:numId="22">
    <w:abstractNumId w:val="2"/>
  </w:num>
  <w:num w:numId="23">
    <w:abstractNumId w:val="28"/>
  </w:num>
  <w:num w:numId="24">
    <w:abstractNumId w:val="20"/>
  </w:num>
  <w:num w:numId="25">
    <w:abstractNumId w:val="23"/>
  </w:num>
  <w:num w:numId="26">
    <w:abstractNumId w:val="0"/>
  </w:num>
  <w:num w:numId="27">
    <w:abstractNumId w:val="4"/>
  </w:num>
  <w:num w:numId="28">
    <w:abstractNumId w:val="5"/>
  </w:num>
  <w:num w:numId="29">
    <w:abstractNumId w:val="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2049"/>
  </w:hdrShapeDefault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yMjI1MLYwMzMzMTFX0lEKTi0uzszPAykwrgUAqZR/sywAAAA="/>
  </w:docVars>
  <w:rsids>
    <w:rsidRoot w:val="00107A12"/>
    <w:rsid w:val="00013628"/>
    <w:rsid w:val="0003017A"/>
    <w:rsid w:val="000325E8"/>
    <w:rsid w:val="00032FA2"/>
    <w:rsid w:val="00040F76"/>
    <w:rsid w:val="00051793"/>
    <w:rsid w:val="0005337B"/>
    <w:rsid w:val="00054D90"/>
    <w:rsid w:val="00062E2F"/>
    <w:rsid w:val="00072E14"/>
    <w:rsid w:val="000750D4"/>
    <w:rsid w:val="00093DF0"/>
    <w:rsid w:val="00094860"/>
    <w:rsid w:val="000A09FE"/>
    <w:rsid w:val="000A4D8E"/>
    <w:rsid w:val="000D7EE2"/>
    <w:rsid w:val="000E781E"/>
    <w:rsid w:val="00106FD9"/>
    <w:rsid w:val="00107A12"/>
    <w:rsid w:val="00111C91"/>
    <w:rsid w:val="0013063E"/>
    <w:rsid w:val="001578AB"/>
    <w:rsid w:val="001726FB"/>
    <w:rsid w:val="00177F91"/>
    <w:rsid w:val="001816E5"/>
    <w:rsid w:val="001A2A98"/>
    <w:rsid w:val="001B2739"/>
    <w:rsid w:val="001C4E17"/>
    <w:rsid w:val="001F2B9B"/>
    <w:rsid w:val="001F687E"/>
    <w:rsid w:val="001F758A"/>
    <w:rsid w:val="00200CA3"/>
    <w:rsid w:val="00201AA5"/>
    <w:rsid w:val="0020397E"/>
    <w:rsid w:val="0021475A"/>
    <w:rsid w:val="002266F2"/>
    <w:rsid w:val="00237149"/>
    <w:rsid w:val="00245811"/>
    <w:rsid w:val="002476D0"/>
    <w:rsid w:val="00247963"/>
    <w:rsid w:val="00247EE0"/>
    <w:rsid w:val="00253D1F"/>
    <w:rsid w:val="00253E32"/>
    <w:rsid w:val="00254040"/>
    <w:rsid w:val="002601ED"/>
    <w:rsid w:val="002619C5"/>
    <w:rsid w:val="00261D74"/>
    <w:rsid w:val="00261DED"/>
    <w:rsid w:val="00263118"/>
    <w:rsid w:val="00265AC0"/>
    <w:rsid w:val="002716F6"/>
    <w:rsid w:val="002764D5"/>
    <w:rsid w:val="00292442"/>
    <w:rsid w:val="002A2F18"/>
    <w:rsid w:val="002A701A"/>
    <w:rsid w:val="002B2EB4"/>
    <w:rsid w:val="002B4646"/>
    <w:rsid w:val="002B69F9"/>
    <w:rsid w:val="002C1A1A"/>
    <w:rsid w:val="002D4313"/>
    <w:rsid w:val="002E0394"/>
    <w:rsid w:val="002E3725"/>
    <w:rsid w:val="002F10FB"/>
    <w:rsid w:val="00310F74"/>
    <w:rsid w:val="00312FB5"/>
    <w:rsid w:val="00313479"/>
    <w:rsid w:val="00343DA0"/>
    <w:rsid w:val="00353A1B"/>
    <w:rsid w:val="00363A69"/>
    <w:rsid w:val="003749FA"/>
    <w:rsid w:val="00381A32"/>
    <w:rsid w:val="00392EA3"/>
    <w:rsid w:val="00393602"/>
    <w:rsid w:val="003B6CF1"/>
    <w:rsid w:val="003C0766"/>
    <w:rsid w:val="003D1CDC"/>
    <w:rsid w:val="003F12E4"/>
    <w:rsid w:val="003F1F1D"/>
    <w:rsid w:val="003F2255"/>
    <w:rsid w:val="003F6F0F"/>
    <w:rsid w:val="00404289"/>
    <w:rsid w:val="0041197D"/>
    <w:rsid w:val="004128F1"/>
    <w:rsid w:val="00425D23"/>
    <w:rsid w:val="00426AB9"/>
    <w:rsid w:val="00432AA3"/>
    <w:rsid w:val="004445C8"/>
    <w:rsid w:val="0046188E"/>
    <w:rsid w:val="00473078"/>
    <w:rsid w:val="00481A40"/>
    <w:rsid w:val="0049195D"/>
    <w:rsid w:val="004A13B3"/>
    <w:rsid w:val="004A5A3D"/>
    <w:rsid w:val="004C021D"/>
    <w:rsid w:val="004D5551"/>
    <w:rsid w:val="004E6116"/>
    <w:rsid w:val="004F1AEA"/>
    <w:rsid w:val="004F24F1"/>
    <w:rsid w:val="00501616"/>
    <w:rsid w:val="00504464"/>
    <w:rsid w:val="00512BBD"/>
    <w:rsid w:val="005278E6"/>
    <w:rsid w:val="005414A7"/>
    <w:rsid w:val="00564AC0"/>
    <w:rsid w:val="0056706E"/>
    <w:rsid w:val="00592BC8"/>
    <w:rsid w:val="00593998"/>
    <w:rsid w:val="005944A0"/>
    <w:rsid w:val="00596668"/>
    <w:rsid w:val="00597B56"/>
    <w:rsid w:val="005B1CCC"/>
    <w:rsid w:val="005B351B"/>
    <w:rsid w:val="005D0E13"/>
    <w:rsid w:val="005D3011"/>
    <w:rsid w:val="005D6D4F"/>
    <w:rsid w:val="005D7898"/>
    <w:rsid w:val="00600B80"/>
    <w:rsid w:val="00600D1B"/>
    <w:rsid w:val="00603170"/>
    <w:rsid w:val="00631FFF"/>
    <w:rsid w:val="00664F2F"/>
    <w:rsid w:val="006704E2"/>
    <w:rsid w:val="00675107"/>
    <w:rsid w:val="00686FC5"/>
    <w:rsid w:val="0068724F"/>
    <w:rsid w:val="006B55DD"/>
    <w:rsid w:val="006F0B46"/>
    <w:rsid w:val="006F6E3E"/>
    <w:rsid w:val="00707428"/>
    <w:rsid w:val="00715EB2"/>
    <w:rsid w:val="00730042"/>
    <w:rsid w:val="00730D34"/>
    <w:rsid w:val="00731175"/>
    <w:rsid w:val="00735290"/>
    <w:rsid w:val="007378E7"/>
    <w:rsid w:val="007660FA"/>
    <w:rsid w:val="00771574"/>
    <w:rsid w:val="0077562E"/>
    <w:rsid w:val="00785ED3"/>
    <w:rsid w:val="007A0B2D"/>
    <w:rsid w:val="007B2743"/>
    <w:rsid w:val="007C1B8A"/>
    <w:rsid w:val="007D262E"/>
    <w:rsid w:val="007D5D93"/>
    <w:rsid w:val="007F1956"/>
    <w:rsid w:val="00816B3E"/>
    <w:rsid w:val="008235C9"/>
    <w:rsid w:val="00837985"/>
    <w:rsid w:val="00845209"/>
    <w:rsid w:val="00863BBC"/>
    <w:rsid w:val="00865A02"/>
    <w:rsid w:val="008729D3"/>
    <w:rsid w:val="008852E6"/>
    <w:rsid w:val="00894A4E"/>
    <w:rsid w:val="008A0412"/>
    <w:rsid w:val="008E0A63"/>
    <w:rsid w:val="0093456A"/>
    <w:rsid w:val="00944613"/>
    <w:rsid w:val="00957F91"/>
    <w:rsid w:val="00970C2A"/>
    <w:rsid w:val="00973E70"/>
    <w:rsid w:val="00982E16"/>
    <w:rsid w:val="00984C05"/>
    <w:rsid w:val="0098552F"/>
    <w:rsid w:val="0099465B"/>
    <w:rsid w:val="00994710"/>
    <w:rsid w:val="00996568"/>
    <w:rsid w:val="009A3F43"/>
    <w:rsid w:val="009B0EDB"/>
    <w:rsid w:val="009D03A6"/>
    <w:rsid w:val="009E4810"/>
    <w:rsid w:val="009F0BBB"/>
    <w:rsid w:val="00A15673"/>
    <w:rsid w:val="00A24B3E"/>
    <w:rsid w:val="00A40E78"/>
    <w:rsid w:val="00A624EF"/>
    <w:rsid w:val="00A6700C"/>
    <w:rsid w:val="00A913C6"/>
    <w:rsid w:val="00A91CF2"/>
    <w:rsid w:val="00AA5764"/>
    <w:rsid w:val="00AC01AE"/>
    <w:rsid w:val="00AC1022"/>
    <w:rsid w:val="00B01714"/>
    <w:rsid w:val="00B31EF3"/>
    <w:rsid w:val="00B54153"/>
    <w:rsid w:val="00B7395D"/>
    <w:rsid w:val="00B86E44"/>
    <w:rsid w:val="00BC124A"/>
    <w:rsid w:val="00BC6CD7"/>
    <w:rsid w:val="00BD7D08"/>
    <w:rsid w:val="00BD7DAD"/>
    <w:rsid w:val="00BF3130"/>
    <w:rsid w:val="00C00277"/>
    <w:rsid w:val="00C016FA"/>
    <w:rsid w:val="00C01B28"/>
    <w:rsid w:val="00C01DE8"/>
    <w:rsid w:val="00C10993"/>
    <w:rsid w:val="00C11C01"/>
    <w:rsid w:val="00C177F6"/>
    <w:rsid w:val="00C17A2F"/>
    <w:rsid w:val="00C3427E"/>
    <w:rsid w:val="00C400BF"/>
    <w:rsid w:val="00C746EC"/>
    <w:rsid w:val="00C7591E"/>
    <w:rsid w:val="00C864DD"/>
    <w:rsid w:val="00C90DF1"/>
    <w:rsid w:val="00CA2D0D"/>
    <w:rsid w:val="00CB12A9"/>
    <w:rsid w:val="00CB7C23"/>
    <w:rsid w:val="00CC14F4"/>
    <w:rsid w:val="00CC2005"/>
    <w:rsid w:val="00CD75BD"/>
    <w:rsid w:val="00CE78D9"/>
    <w:rsid w:val="00D24472"/>
    <w:rsid w:val="00D3537F"/>
    <w:rsid w:val="00D372BB"/>
    <w:rsid w:val="00D374D5"/>
    <w:rsid w:val="00D674E3"/>
    <w:rsid w:val="00D938C2"/>
    <w:rsid w:val="00DA031E"/>
    <w:rsid w:val="00DA27BA"/>
    <w:rsid w:val="00DA6466"/>
    <w:rsid w:val="00DB51A9"/>
    <w:rsid w:val="00DD4256"/>
    <w:rsid w:val="00DD560B"/>
    <w:rsid w:val="00DD611C"/>
    <w:rsid w:val="00DF2895"/>
    <w:rsid w:val="00E20007"/>
    <w:rsid w:val="00E34E51"/>
    <w:rsid w:val="00E73B60"/>
    <w:rsid w:val="00E948A4"/>
    <w:rsid w:val="00E95826"/>
    <w:rsid w:val="00E96EDD"/>
    <w:rsid w:val="00EA04DC"/>
    <w:rsid w:val="00EA2D63"/>
    <w:rsid w:val="00EA5218"/>
    <w:rsid w:val="00EB054E"/>
    <w:rsid w:val="00EB6F76"/>
    <w:rsid w:val="00ED090B"/>
    <w:rsid w:val="00EE05A6"/>
    <w:rsid w:val="00EE531F"/>
    <w:rsid w:val="00F05DBB"/>
    <w:rsid w:val="00F25F43"/>
    <w:rsid w:val="00F26DFD"/>
    <w:rsid w:val="00F43116"/>
    <w:rsid w:val="00F520AF"/>
    <w:rsid w:val="00FD0162"/>
    <w:rsid w:val="00FE4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5D62F"/>
  <w15:docId w15:val="{2CB1B0A6-A3A6-4D6D-9A17-082E730A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12"/>
  </w:style>
  <w:style w:type="paragraph" w:styleId="Heading1">
    <w:name w:val="heading 1"/>
    <w:basedOn w:val="Normal"/>
    <w:next w:val="Normal"/>
    <w:link w:val="Heading1Char"/>
    <w:uiPriority w:val="9"/>
    <w:qFormat/>
    <w:rsid w:val="00FD0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0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0D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1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4256"/>
    <w:pPr>
      <w:ind w:left="720"/>
      <w:contextualSpacing/>
    </w:pPr>
  </w:style>
  <w:style w:type="paragraph" w:styleId="TOCHeading">
    <w:name w:val="TOC Heading"/>
    <w:basedOn w:val="Heading1"/>
    <w:next w:val="Normal"/>
    <w:uiPriority w:val="39"/>
    <w:unhideWhenUsed/>
    <w:qFormat/>
    <w:rsid w:val="00DD4256"/>
    <w:pPr>
      <w:outlineLvl w:val="9"/>
    </w:pPr>
  </w:style>
  <w:style w:type="paragraph" w:styleId="TOC1">
    <w:name w:val="toc 1"/>
    <w:basedOn w:val="Normal"/>
    <w:next w:val="Normal"/>
    <w:autoRedefine/>
    <w:uiPriority w:val="39"/>
    <w:unhideWhenUsed/>
    <w:rsid w:val="00DD4256"/>
    <w:pPr>
      <w:spacing w:after="100"/>
    </w:pPr>
  </w:style>
  <w:style w:type="character" w:styleId="Hyperlink">
    <w:name w:val="Hyperlink"/>
    <w:basedOn w:val="DefaultParagraphFont"/>
    <w:uiPriority w:val="99"/>
    <w:unhideWhenUsed/>
    <w:rsid w:val="00DD4256"/>
    <w:rPr>
      <w:color w:val="0563C1" w:themeColor="hyperlink"/>
      <w:u w:val="single"/>
    </w:rPr>
  </w:style>
  <w:style w:type="character" w:customStyle="1" w:styleId="Heading2Char">
    <w:name w:val="Heading 2 Char"/>
    <w:basedOn w:val="DefaultParagraphFont"/>
    <w:link w:val="Heading2"/>
    <w:uiPriority w:val="9"/>
    <w:rsid w:val="005D301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D3011"/>
    <w:pPr>
      <w:spacing w:after="100"/>
      <w:ind w:left="220"/>
    </w:pPr>
  </w:style>
  <w:style w:type="character" w:styleId="PlaceholderText">
    <w:name w:val="Placeholder Text"/>
    <w:basedOn w:val="DefaultParagraphFont"/>
    <w:uiPriority w:val="99"/>
    <w:semiHidden/>
    <w:rsid w:val="005D3011"/>
    <w:rPr>
      <w:color w:val="808080"/>
    </w:rPr>
  </w:style>
  <w:style w:type="character" w:customStyle="1" w:styleId="Heading3Char">
    <w:name w:val="Heading 3 Char"/>
    <w:basedOn w:val="DefaultParagraphFont"/>
    <w:link w:val="Heading3"/>
    <w:uiPriority w:val="9"/>
    <w:rsid w:val="00730D3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F687E"/>
    <w:pPr>
      <w:spacing w:after="100"/>
      <w:ind w:left="440"/>
    </w:pPr>
  </w:style>
  <w:style w:type="paragraph" w:styleId="BalloonText">
    <w:name w:val="Balloon Text"/>
    <w:basedOn w:val="Normal"/>
    <w:link w:val="BalloonTextChar"/>
    <w:uiPriority w:val="99"/>
    <w:semiHidden/>
    <w:unhideWhenUsed/>
    <w:rsid w:val="002764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4D5"/>
    <w:rPr>
      <w:rFonts w:ascii="Lucida Grande" w:hAnsi="Lucida Grande"/>
      <w:sz w:val="18"/>
      <w:szCs w:val="18"/>
    </w:rPr>
  </w:style>
  <w:style w:type="table" w:styleId="TableGrid">
    <w:name w:val="Table Grid"/>
    <w:basedOn w:val="TableNormal"/>
    <w:uiPriority w:val="39"/>
    <w:rsid w:val="0020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01A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7591E"/>
    <w:rPr>
      <w:sz w:val="16"/>
      <w:szCs w:val="16"/>
    </w:rPr>
  </w:style>
  <w:style w:type="paragraph" w:styleId="CommentText">
    <w:name w:val="annotation text"/>
    <w:basedOn w:val="Normal"/>
    <w:link w:val="CommentTextChar"/>
    <w:uiPriority w:val="99"/>
    <w:semiHidden/>
    <w:unhideWhenUsed/>
    <w:rsid w:val="00C7591E"/>
    <w:pPr>
      <w:spacing w:line="240" w:lineRule="auto"/>
    </w:pPr>
    <w:rPr>
      <w:sz w:val="20"/>
      <w:szCs w:val="20"/>
    </w:rPr>
  </w:style>
  <w:style w:type="character" w:customStyle="1" w:styleId="CommentTextChar">
    <w:name w:val="Comment Text Char"/>
    <w:basedOn w:val="DefaultParagraphFont"/>
    <w:link w:val="CommentText"/>
    <w:uiPriority w:val="99"/>
    <w:semiHidden/>
    <w:rsid w:val="00C7591E"/>
    <w:rPr>
      <w:sz w:val="20"/>
      <w:szCs w:val="20"/>
    </w:rPr>
  </w:style>
  <w:style w:type="paragraph" w:styleId="CommentSubject">
    <w:name w:val="annotation subject"/>
    <w:basedOn w:val="CommentText"/>
    <w:next w:val="CommentText"/>
    <w:link w:val="CommentSubjectChar"/>
    <w:uiPriority w:val="99"/>
    <w:semiHidden/>
    <w:unhideWhenUsed/>
    <w:rsid w:val="00C7591E"/>
    <w:rPr>
      <w:b/>
      <w:bCs/>
    </w:rPr>
  </w:style>
  <w:style w:type="character" w:customStyle="1" w:styleId="CommentSubjectChar">
    <w:name w:val="Comment Subject Char"/>
    <w:basedOn w:val="CommentTextChar"/>
    <w:link w:val="CommentSubject"/>
    <w:uiPriority w:val="99"/>
    <w:semiHidden/>
    <w:rsid w:val="00C7591E"/>
    <w:rPr>
      <w:b/>
      <w:bCs/>
      <w:sz w:val="20"/>
      <w:szCs w:val="20"/>
    </w:rPr>
  </w:style>
  <w:style w:type="paragraph" w:customStyle="1" w:styleId="Normal1">
    <w:name w:val="Normal1"/>
    <w:rsid w:val="00253D1F"/>
    <w:pPr>
      <w:pBdr>
        <w:top w:val="nil"/>
        <w:left w:val="nil"/>
        <w:bottom w:val="nil"/>
        <w:right w:val="nil"/>
        <w:between w:val="nil"/>
      </w:pBdr>
    </w:pPr>
    <w:rPr>
      <w:rFonts w:ascii="Calibri" w:hAnsi="Calibri" w:cs="Calibri"/>
      <w:color w:val="000000"/>
    </w:rPr>
  </w:style>
  <w:style w:type="paragraph" w:styleId="Footer">
    <w:name w:val="footer"/>
    <w:basedOn w:val="Normal"/>
    <w:link w:val="FooterChar"/>
    <w:uiPriority w:val="99"/>
    <w:unhideWhenUsed/>
    <w:rsid w:val="00664F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F2F"/>
  </w:style>
  <w:style w:type="character" w:styleId="PageNumber">
    <w:name w:val="page number"/>
    <w:basedOn w:val="DefaultParagraphFont"/>
    <w:uiPriority w:val="99"/>
    <w:semiHidden/>
    <w:unhideWhenUsed/>
    <w:rsid w:val="00664F2F"/>
  </w:style>
  <w:style w:type="paragraph" w:styleId="Header">
    <w:name w:val="header"/>
    <w:basedOn w:val="Normal"/>
    <w:link w:val="HeaderChar"/>
    <w:uiPriority w:val="99"/>
    <w:unhideWhenUsed/>
    <w:rsid w:val="00664F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4F2F"/>
  </w:style>
  <w:style w:type="paragraph" w:styleId="NoSpacing">
    <w:name w:val="No Spacing"/>
    <w:uiPriority w:val="1"/>
    <w:qFormat/>
    <w:rsid w:val="009B0EDB"/>
    <w:pPr>
      <w:spacing w:after="0" w:line="240" w:lineRule="auto"/>
    </w:pPr>
  </w:style>
  <w:style w:type="paragraph" w:styleId="FootnoteText">
    <w:name w:val="footnote text"/>
    <w:basedOn w:val="Normal"/>
    <w:link w:val="FootnoteTextChar"/>
    <w:uiPriority w:val="99"/>
    <w:unhideWhenUsed/>
    <w:rsid w:val="0021475A"/>
    <w:pPr>
      <w:pBdr>
        <w:top w:val="nil"/>
        <w:left w:val="nil"/>
        <w:bottom w:val="nil"/>
        <w:right w:val="nil"/>
        <w:between w:val="nil"/>
      </w:pBdr>
      <w:spacing w:after="0" w:line="240" w:lineRule="auto"/>
    </w:pPr>
    <w:rPr>
      <w:rFonts w:ascii="Calibri" w:hAnsi="Calibri" w:cs="Calibri"/>
      <w:color w:val="000000"/>
      <w:sz w:val="24"/>
      <w:szCs w:val="24"/>
    </w:rPr>
  </w:style>
  <w:style w:type="character" w:customStyle="1" w:styleId="FootnoteTextChar">
    <w:name w:val="Footnote Text Char"/>
    <w:basedOn w:val="DefaultParagraphFont"/>
    <w:link w:val="FootnoteText"/>
    <w:uiPriority w:val="99"/>
    <w:rsid w:val="0021475A"/>
    <w:rPr>
      <w:rFonts w:ascii="Calibri" w:hAnsi="Calibri" w:cs="Calibri"/>
      <w:color w:val="000000"/>
      <w:sz w:val="24"/>
      <w:szCs w:val="24"/>
    </w:rPr>
  </w:style>
  <w:style w:type="character" w:styleId="FootnoteReference">
    <w:name w:val="footnote reference"/>
    <w:basedOn w:val="DefaultParagraphFont"/>
    <w:uiPriority w:val="99"/>
    <w:unhideWhenUsed/>
    <w:rsid w:val="0021475A"/>
    <w:rPr>
      <w:vertAlign w:val="superscript"/>
    </w:rPr>
  </w:style>
  <w:style w:type="table" w:customStyle="1" w:styleId="3">
    <w:name w:val="3"/>
    <w:basedOn w:val="TableNormal"/>
    <w:rsid w:val="00E948A4"/>
    <w:pPr>
      <w:pBdr>
        <w:top w:val="nil"/>
        <w:left w:val="nil"/>
        <w:bottom w:val="nil"/>
        <w:right w:val="nil"/>
        <w:between w:val="nil"/>
      </w:pBdr>
    </w:pPr>
    <w:rPr>
      <w:rFonts w:ascii="Calibri" w:hAnsi="Calibri" w:cs="Calibri"/>
      <w:color w:val="000000"/>
    </w:rPr>
    <w:tblPr>
      <w:tblStyleRowBandSize w:val="1"/>
      <w:tblStyleColBandSize w:val="1"/>
      <w:tblCellMar>
        <w:left w:w="0" w:type="dxa"/>
        <w:right w:w="0" w:type="dxa"/>
      </w:tblCellMar>
    </w:tblPr>
  </w:style>
  <w:style w:type="paragraph" w:styleId="DocumentMap">
    <w:name w:val="Document Map"/>
    <w:basedOn w:val="Normal"/>
    <w:link w:val="DocumentMapChar"/>
    <w:uiPriority w:val="99"/>
    <w:semiHidden/>
    <w:unhideWhenUsed/>
    <w:rsid w:val="00BC124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24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0318">
      <w:bodyDiv w:val="1"/>
      <w:marLeft w:val="0"/>
      <w:marRight w:val="0"/>
      <w:marTop w:val="0"/>
      <w:marBottom w:val="0"/>
      <w:divBdr>
        <w:top w:val="none" w:sz="0" w:space="0" w:color="auto"/>
        <w:left w:val="none" w:sz="0" w:space="0" w:color="auto"/>
        <w:bottom w:val="none" w:sz="0" w:space="0" w:color="auto"/>
        <w:right w:val="none" w:sz="0" w:space="0" w:color="auto"/>
      </w:divBdr>
      <w:divsChild>
        <w:div w:id="303776152">
          <w:marLeft w:val="0"/>
          <w:marRight w:val="0"/>
          <w:marTop w:val="0"/>
          <w:marBottom w:val="0"/>
          <w:divBdr>
            <w:top w:val="none" w:sz="0" w:space="0" w:color="auto"/>
            <w:left w:val="none" w:sz="0" w:space="0" w:color="auto"/>
            <w:bottom w:val="none" w:sz="0" w:space="0" w:color="auto"/>
            <w:right w:val="none" w:sz="0" w:space="0" w:color="auto"/>
          </w:divBdr>
        </w:div>
        <w:div w:id="1000502084">
          <w:marLeft w:val="0"/>
          <w:marRight w:val="0"/>
          <w:marTop w:val="0"/>
          <w:marBottom w:val="0"/>
          <w:divBdr>
            <w:top w:val="none" w:sz="0" w:space="0" w:color="auto"/>
            <w:left w:val="none" w:sz="0" w:space="0" w:color="auto"/>
            <w:bottom w:val="none" w:sz="0" w:space="0" w:color="auto"/>
            <w:right w:val="none" w:sz="0" w:space="0" w:color="auto"/>
          </w:divBdr>
        </w:div>
        <w:div w:id="2055039050">
          <w:marLeft w:val="0"/>
          <w:marRight w:val="0"/>
          <w:marTop w:val="0"/>
          <w:marBottom w:val="0"/>
          <w:divBdr>
            <w:top w:val="none" w:sz="0" w:space="0" w:color="auto"/>
            <w:left w:val="none" w:sz="0" w:space="0" w:color="auto"/>
            <w:bottom w:val="none" w:sz="0" w:space="0" w:color="auto"/>
            <w:right w:val="none" w:sz="0" w:space="0" w:color="auto"/>
          </w:divBdr>
        </w:div>
      </w:divsChild>
    </w:div>
    <w:div w:id="340284549">
      <w:bodyDiv w:val="1"/>
      <w:marLeft w:val="0"/>
      <w:marRight w:val="0"/>
      <w:marTop w:val="0"/>
      <w:marBottom w:val="0"/>
      <w:divBdr>
        <w:top w:val="none" w:sz="0" w:space="0" w:color="auto"/>
        <w:left w:val="none" w:sz="0" w:space="0" w:color="auto"/>
        <w:bottom w:val="none" w:sz="0" w:space="0" w:color="auto"/>
        <w:right w:val="none" w:sz="0" w:space="0" w:color="auto"/>
      </w:divBdr>
      <w:divsChild>
        <w:div w:id="120731509">
          <w:marLeft w:val="0"/>
          <w:marRight w:val="0"/>
          <w:marTop w:val="0"/>
          <w:marBottom w:val="0"/>
          <w:divBdr>
            <w:top w:val="none" w:sz="0" w:space="0" w:color="auto"/>
            <w:left w:val="none" w:sz="0" w:space="0" w:color="auto"/>
            <w:bottom w:val="none" w:sz="0" w:space="0" w:color="auto"/>
            <w:right w:val="none" w:sz="0" w:space="0" w:color="auto"/>
          </w:divBdr>
        </w:div>
        <w:div w:id="464392711">
          <w:marLeft w:val="0"/>
          <w:marRight w:val="0"/>
          <w:marTop w:val="0"/>
          <w:marBottom w:val="0"/>
          <w:divBdr>
            <w:top w:val="none" w:sz="0" w:space="0" w:color="auto"/>
            <w:left w:val="none" w:sz="0" w:space="0" w:color="auto"/>
            <w:bottom w:val="none" w:sz="0" w:space="0" w:color="auto"/>
            <w:right w:val="none" w:sz="0" w:space="0" w:color="auto"/>
          </w:divBdr>
        </w:div>
        <w:div w:id="705254379">
          <w:marLeft w:val="0"/>
          <w:marRight w:val="0"/>
          <w:marTop w:val="0"/>
          <w:marBottom w:val="0"/>
          <w:divBdr>
            <w:top w:val="none" w:sz="0" w:space="0" w:color="auto"/>
            <w:left w:val="none" w:sz="0" w:space="0" w:color="auto"/>
            <w:bottom w:val="none" w:sz="0" w:space="0" w:color="auto"/>
            <w:right w:val="none" w:sz="0" w:space="0" w:color="auto"/>
          </w:divBdr>
        </w:div>
        <w:div w:id="734743388">
          <w:marLeft w:val="0"/>
          <w:marRight w:val="0"/>
          <w:marTop w:val="0"/>
          <w:marBottom w:val="0"/>
          <w:divBdr>
            <w:top w:val="none" w:sz="0" w:space="0" w:color="auto"/>
            <w:left w:val="none" w:sz="0" w:space="0" w:color="auto"/>
            <w:bottom w:val="none" w:sz="0" w:space="0" w:color="auto"/>
            <w:right w:val="none" w:sz="0" w:space="0" w:color="auto"/>
          </w:divBdr>
        </w:div>
        <w:div w:id="762069654">
          <w:marLeft w:val="0"/>
          <w:marRight w:val="0"/>
          <w:marTop w:val="0"/>
          <w:marBottom w:val="0"/>
          <w:divBdr>
            <w:top w:val="none" w:sz="0" w:space="0" w:color="auto"/>
            <w:left w:val="none" w:sz="0" w:space="0" w:color="auto"/>
            <w:bottom w:val="none" w:sz="0" w:space="0" w:color="auto"/>
            <w:right w:val="none" w:sz="0" w:space="0" w:color="auto"/>
          </w:divBdr>
        </w:div>
        <w:div w:id="1896818728">
          <w:marLeft w:val="0"/>
          <w:marRight w:val="0"/>
          <w:marTop w:val="0"/>
          <w:marBottom w:val="0"/>
          <w:divBdr>
            <w:top w:val="none" w:sz="0" w:space="0" w:color="auto"/>
            <w:left w:val="none" w:sz="0" w:space="0" w:color="auto"/>
            <w:bottom w:val="none" w:sz="0" w:space="0" w:color="auto"/>
            <w:right w:val="none" w:sz="0" w:space="0" w:color="auto"/>
          </w:divBdr>
        </w:div>
      </w:divsChild>
    </w:div>
    <w:div w:id="516777817">
      <w:bodyDiv w:val="1"/>
      <w:marLeft w:val="0"/>
      <w:marRight w:val="0"/>
      <w:marTop w:val="0"/>
      <w:marBottom w:val="0"/>
      <w:divBdr>
        <w:top w:val="none" w:sz="0" w:space="0" w:color="auto"/>
        <w:left w:val="none" w:sz="0" w:space="0" w:color="auto"/>
        <w:bottom w:val="none" w:sz="0" w:space="0" w:color="auto"/>
        <w:right w:val="none" w:sz="0" w:space="0" w:color="auto"/>
      </w:divBdr>
    </w:div>
    <w:div w:id="660162656">
      <w:bodyDiv w:val="1"/>
      <w:marLeft w:val="0"/>
      <w:marRight w:val="0"/>
      <w:marTop w:val="0"/>
      <w:marBottom w:val="0"/>
      <w:divBdr>
        <w:top w:val="none" w:sz="0" w:space="0" w:color="auto"/>
        <w:left w:val="none" w:sz="0" w:space="0" w:color="auto"/>
        <w:bottom w:val="none" w:sz="0" w:space="0" w:color="auto"/>
        <w:right w:val="none" w:sz="0" w:space="0" w:color="auto"/>
      </w:divBdr>
      <w:divsChild>
        <w:div w:id="1251965235">
          <w:marLeft w:val="0"/>
          <w:marRight w:val="0"/>
          <w:marTop w:val="0"/>
          <w:marBottom w:val="0"/>
          <w:divBdr>
            <w:top w:val="none" w:sz="0" w:space="0" w:color="auto"/>
            <w:left w:val="none" w:sz="0" w:space="0" w:color="auto"/>
            <w:bottom w:val="none" w:sz="0" w:space="0" w:color="auto"/>
            <w:right w:val="none" w:sz="0" w:space="0" w:color="auto"/>
          </w:divBdr>
        </w:div>
        <w:div w:id="1427533681">
          <w:marLeft w:val="0"/>
          <w:marRight w:val="0"/>
          <w:marTop w:val="0"/>
          <w:marBottom w:val="0"/>
          <w:divBdr>
            <w:top w:val="none" w:sz="0" w:space="0" w:color="auto"/>
            <w:left w:val="none" w:sz="0" w:space="0" w:color="auto"/>
            <w:bottom w:val="none" w:sz="0" w:space="0" w:color="auto"/>
            <w:right w:val="none" w:sz="0" w:space="0" w:color="auto"/>
          </w:divBdr>
        </w:div>
        <w:div w:id="1547909172">
          <w:marLeft w:val="0"/>
          <w:marRight w:val="0"/>
          <w:marTop w:val="0"/>
          <w:marBottom w:val="0"/>
          <w:divBdr>
            <w:top w:val="none" w:sz="0" w:space="0" w:color="auto"/>
            <w:left w:val="none" w:sz="0" w:space="0" w:color="auto"/>
            <w:bottom w:val="none" w:sz="0" w:space="0" w:color="auto"/>
            <w:right w:val="none" w:sz="0" w:space="0" w:color="auto"/>
          </w:divBdr>
        </w:div>
      </w:divsChild>
    </w:div>
    <w:div w:id="674769094">
      <w:bodyDiv w:val="1"/>
      <w:marLeft w:val="0"/>
      <w:marRight w:val="0"/>
      <w:marTop w:val="0"/>
      <w:marBottom w:val="0"/>
      <w:divBdr>
        <w:top w:val="none" w:sz="0" w:space="0" w:color="auto"/>
        <w:left w:val="none" w:sz="0" w:space="0" w:color="auto"/>
        <w:bottom w:val="none" w:sz="0" w:space="0" w:color="auto"/>
        <w:right w:val="none" w:sz="0" w:space="0" w:color="auto"/>
      </w:divBdr>
    </w:div>
    <w:div w:id="1089808675">
      <w:bodyDiv w:val="1"/>
      <w:marLeft w:val="0"/>
      <w:marRight w:val="0"/>
      <w:marTop w:val="0"/>
      <w:marBottom w:val="0"/>
      <w:divBdr>
        <w:top w:val="none" w:sz="0" w:space="0" w:color="auto"/>
        <w:left w:val="none" w:sz="0" w:space="0" w:color="auto"/>
        <w:bottom w:val="none" w:sz="0" w:space="0" w:color="auto"/>
        <w:right w:val="none" w:sz="0" w:space="0" w:color="auto"/>
      </w:divBdr>
      <w:divsChild>
        <w:div w:id="1785418170">
          <w:marLeft w:val="0"/>
          <w:marRight w:val="0"/>
          <w:marTop w:val="0"/>
          <w:marBottom w:val="0"/>
          <w:divBdr>
            <w:top w:val="none" w:sz="0" w:space="0" w:color="auto"/>
            <w:left w:val="none" w:sz="0" w:space="0" w:color="auto"/>
            <w:bottom w:val="none" w:sz="0" w:space="0" w:color="auto"/>
            <w:right w:val="none" w:sz="0" w:space="0" w:color="auto"/>
          </w:divBdr>
        </w:div>
        <w:div w:id="1843425624">
          <w:marLeft w:val="0"/>
          <w:marRight w:val="0"/>
          <w:marTop w:val="0"/>
          <w:marBottom w:val="0"/>
          <w:divBdr>
            <w:top w:val="none" w:sz="0" w:space="0" w:color="auto"/>
            <w:left w:val="none" w:sz="0" w:space="0" w:color="auto"/>
            <w:bottom w:val="none" w:sz="0" w:space="0" w:color="auto"/>
            <w:right w:val="none" w:sz="0" w:space="0" w:color="auto"/>
          </w:divBdr>
        </w:div>
      </w:divsChild>
    </w:div>
    <w:div w:id="1231769934">
      <w:bodyDiv w:val="1"/>
      <w:marLeft w:val="0"/>
      <w:marRight w:val="0"/>
      <w:marTop w:val="0"/>
      <w:marBottom w:val="0"/>
      <w:divBdr>
        <w:top w:val="none" w:sz="0" w:space="0" w:color="auto"/>
        <w:left w:val="none" w:sz="0" w:space="0" w:color="auto"/>
        <w:bottom w:val="none" w:sz="0" w:space="0" w:color="auto"/>
        <w:right w:val="none" w:sz="0" w:space="0" w:color="auto"/>
      </w:divBdr>
    </w:div>
    <w:div w:id="1245408858">
      <w:bodyDiv w:val="1"/>
      <w:marLeft w:val="0"/>
      <w:marRight w:val="0"/>
      <w:marTop w:val="0"/>
      <w:marBottom w:val="0"/>
      <w:divBdr>
        <w:top w:val="none" w:sz="0" w:space="0" w:color="auto"/>
        <w:left w:val="none" w:sz="0" w:space="0" w:color="auto"/>
        <w:bottom w:val="none" w:sz="0" w:space="0" w:color="auto"/>
        <w:right w:val="none" w:sz="0" w:space="0" w:color="auto"/>
      </w:divBdr>
      <w:divsChild>
        <w:div w:id="1152067019">
          <w:marLeft w:val="0"/>
          <w:marRight w:val="0"/>
          <w:marTop w:val="0"/>
          <w:marBottom w:val="0"/>
          <w:divBdr>
            <w:top w:val="none" w:sz="0" w:space="0" w:color="auto"/>
            <w:left w:val="none" w:sz="0" w:space="0" w:color="auto"/>
            <w:bottom w:val="none" w:sz="0" w:space="0" w:color="auto"/>
            <w:right w:val="none" w:sz="0" w:space="0" w:color="auto"/>
          </w:divBdr>
        </w:div>
        <w:div w:id="1373309389">
          <w:marLeft w:val="0"/>
          <w:marRight w:val="0"/>
          <w:marTop w:val="0"/>
          <w:marBottom w:val="0"/>
          <w:divBdr>
            <w:top w:val="none" w:sz="0" w:space="0" w:color="auto"/>
            <w:left w:val="none" w:sz="0" w:space="0" w:color="auto"/>
            <w:bottom w:val="none" w:sz="0" w:space="0" w:color="auto"/>
            <w:right w:val="none" w:sz="0" w:space="0" w:color="auto"/>
          </w:divBdr>
        </w:div>
        <w:div w:id="1662192652">
          <w:marLeft w:val="0"/>
          <w:marRight w:val="0"/>
          <w:marTop w:val="0"/>
          <w:marBottom w:val="0"/>
          <w:divBdr>
            <w:top w:val="none" w:sz="0" w:space="0" w:color="auto"/>
            <w:left w:val="none" w:sz="0" w:space="0" w:color="auto"/>
            <w:bottom w:val="none" w:sz="0" w:space="0" w:color="auto"/>
            <w:right w:val="none" w:sz="0" w:space="0" w:color="auto"/>
          </w:divBdr>
        </w:div>
        <w:div w:id="1694453889">
          <w:marLeft w:val="0"/>
          <w:marRight w:val="0"/>
          <w:marTop w:val="0"/>
          <w:marBottom w:val="0"/>
          <w:divBdr>
            <w:top w:val="none" w:sz="0" w:space="0" w:color="auto"/>
            <w:left w:val="none" w:sz="0" w:space="0" w:color="auto"/>
            <w:bottom w:val="none" w:sz="0" w:space="0" w:color="auto"/>
            <w:right w:val="none" w:sz="0" w:space="0" w:color="auto"/>
          </w:divBdr>
        </w:div>
        <w:div w:id="2002464103">
          <w:marLeft w:val="0"/>
          <w:marRight w:val="0"/>
          <w:marTop w:val="0"/>
          <w:marBottom w:val="0"/>
          <w:divBdr>
            <w:top w:val="none" w:sz="0" w:space="0" w:color="auto"/>
            <w:left w:val="none" w:sz="0" w:space="0" w:color="auto"/>
            <w:bottom w:val="none" w:sz="0" w:space="0" w:color="auto"/>
            <w:right w:val="none" w:sz="0" w:space="0" w:color="auto"/>
          </w:divBdr>
        </w:div>
        <w:div w:id="2048944300">
          <w:marLeft w:val="0"/>
          <w:marRight w:val="0"/>
          <w:marTop w:val="0"/>
          <w:marBottom w:val="0"/>
          <w:divBdr>
            <w:top w:val="none" w:sz="0" w:space="0" w:color="auto"/>
            <w:left w:val="none" w:sz="0" w:space="0" w:color="auto"/>
            <w:bottom w:val="none" w:sz="0" w:space="0" w:color="auto"/>
            <w:right w:val="none" w:sz="0" w:space="0" w:color="auto"/>
          </w:divBdr>
        </w:div>
      </w:divsChild>
    </w:div>
    <w:div w:id="1521549752">
      <w:bodyDiv w:val="1"/>
      <w:marLeft w:val="0"/>
      <w:marRight w:val="0"/>
      <w:marTop w:val="0"/>
      <w:marBottom w:val="0"/>
      <w:divBdr>
        <w:top w:val="none" w:sz="0" w:space="0" w:color="auto"/>
        <w:left w:val="none" w:sz="0" w:space="0" w:color="auto"/>
        <w:bottom w:val="none" w:sz="0" w:space="0" w:color="auto"/>
        <w:right w:val="none" w:sz="0" w:space="0" w:color="auto"/>
      </w:divBdr>
    </w:div>
    <w:div w:id="1827012713">
      <w:bodyDiv w:val="1"/>
      <w:marLeft w:val="0"/>
      <w:marRight w:val="0"/>
      <w:marTop w:val="0"/>
      <w:marBottom w:val="0"/>
      <w:divBdr>
        <w:top w:val="none" w:sz="0" w:space="0" w:color="auto"/>
        <w:left w:val="none" w:sz="0" w:space="0" w:color="auto"/>
        <w:bottom w:val="none" w:sz="0" w:space="0" w:color="auto"/>
        <w:right w:val="none" w:sz="0" w:space="0" w:color="auto"/>
      </w:divBdr>
    </w:div>
    <w:div w:id="2091920859">
      <w:bodyDiv w:val="1"/>
      <w:marLeft w:val="0"/>
      <w:marRight w:val="0"/>
      <w:marTop w:val="0"/>
      <w:marBottom w:val="0"/>
      <w:divBdr>
        <w:top w:val="none" w:sz="0" w:space="0" w:color="auto"/>
        <w:left w:val="none" w:sz="0" w:space="0" w:color="auto"/>
        <w:bottom w:val="none" w:sz="0" w:space="0" w:color="auto"/>
        <w:right w:val="none" w:sz="0" w:space="0" w:color="auto"/>
      </w:divBdr>
      <w:divsChild>
        <w:div w:id="1453279873">
          <w:marLeft w:val="0"/>
          <w:marRight w:val="0"/>
          <w:marTop w:val="0"/>
          <w:marBottom w:val="0"/>
          <w:divBdr>
            <w:top w:val="none" w:sz="0" w:space="0" w:color="auto"/>
            <w:left w:val="none" w:sz="0" w:space="0" w:color="auto"/>
            <w:bottom w:val="none" w:sz="0" w:space="0" w:color="auto"/>
            <w:right w:val="none" w:sz="0" w:space="0" w:color="auto"/>
          </w:divBdr>
        </w:div>
        <w:div w:id="147148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CFCD-6387-47A0-9CEF-A7402ABA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16161</Words>
  <Characters>92121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Liu</dc:creator>
  <cp:keywords/>
  <dc:description/>
  <cp:lastModifiedBy>Yang  Liu</cp:lastModifiedBy>
  <cp:revision>3</cp:revision>
  <dcterms:created xsi:type="dcterms:W3CDTF">2019-04-26T14:54:00Z</dcterms:created>
  <dcterms:modified xsi:type="dcterms:W3CDTF">2019-04-26T14:57:00Z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http://www.zotero.org/styles/environmental-health-perspectives</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http://www.zotero.org/styles/environmental-health-perspectives</vt:lpwstr>
  </property>
  <property fmtid="{D5CDD505-2E9C-101B-9397-08002B2CF9AE}" pid="7" name="Mendeley Recent Style Name 1_1">
    <vt:lpwstr>Environmental Health Perspectives</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http://www.zotero.org/styles/national-library-of-medicine</vt:lpwstr>
  </property>
  <property fmtid="{D5CDD505-2E9C-101B-9397-08002B2CF9AE}" pid="17" name="Mendeley Recent Style Name 6_1">
    <vt:lpwstr>National Library of Medicine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http://csl.mendeley.com/styles/458492241/vancouver</vt:lpwstr>
  </property>
  <property fmtid="{D5CDD505-2E9C-101B-9397-08002B2CF9AE}" pid="23" name="Mendeley Recent Style Name 9_1">
    <vt:lpwstr>Vancouver - Yang Liu</vt:lpwstr>
  </property>
  <property fmtid="{D5CDD505-2E9C-101B-9397-08002B2CF9AE}" pid="24" name="Mendeley Unique User Id_1">
    <vt:lpwstr>b921b674-8385-35d5-b128-0ec8515d2268</vt:lpwstr>
  </property>
</Properties>
</file>