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79F5" w14:textId="353E295C" w:rsidR="00537C82" w:rsidRDefault="00537C82">
      <w:bookmarkStart w:id="0" w:name="_GoBack"/>
      <w:bookmarkEnd w:id="0"/>
    </w:p>
    <w:tbl>
      <w:tblPr>
        <w:tblpPr w:leftFromText="142" w:rightFromText="142" w:vertAnchor="page" w:horzAnchor="margin" w:tblpY="1609"/>
        <w:tblW w:w="153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0"/>
        <w:gridCol w:w="2720"/>
        <w:gridCol w:w="2500"/>
        <w:gridCol w:w="2260"/>
        <w:gridCol w:w="1758"/>
        <w:gridCol w:w="2551"/>
      </w:tblGrid>
      <w:tr w:rsidR="00537C82" w:rsidRPr="00537C82" w14:paraId="20B3E3C0" w14:textId="77777777" w:rsidTr="007A1EB6">
        <w:trPr>
          <w:trHeight w:val="342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828D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206D4" w14:textId="3E7DB1CC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 xml:space="preserve"> </w:t>
            </w:r>
            <w:r w:rsidR="000B047C">
              <w:rPr>
                <w:rFonts w:ascii="Times New Roman" w:hAnsi="Times New Roman" w:cs="Times New Roman"/>
              </w:rPr>
              <w:t>N</w:t>
            </w:r>
            <w:r w:rsidRPr="00537C82">
              <w:rPr>
                <w:rFonts w:ascii="Times New Roman" w:hAnsi="Times New Roman" w:cs="Times New Roman"/>
              </w:rPr>
              <w:t>on</w:t>
            </w:r>
            <w:r w:rsidR="000B047C">
              <w:rPr>
                <w:rFonts w:ascii="Times New Roman" w:hAnsi="Times New Roman" w:cs="Times New Roman"/>
              </w:rPr>
              <w:t>-</w:t>
            </w:r>
            <w:r w:rsidRPr="00537C82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CE847" w14:textId="771AC60F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37C82" w:rsidRPr="00537C82">
              <w:rPr>
                <w:rFonts w:ascii="Times New Roman" w:hAnsi="Times New Roman" w:cs="Times New Roman"/>
              </w:rPr>
              <w:t>epatitis (all grade)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7CFF8" w14:textId="592D1D51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37C82" w:rsidRPr="00537C82">
              <w:rPr>
                <w:rFonts w:ascii="Times New Roman" w:hAnsi="Times New Roman" w:cs="Times New Roman"/>
              </w:rPr>
              <w:t>epatitis (G3/4)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257AE" w14:textId="1FA763B4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537C82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A67FC" w14:textId="73A8B58C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</w:t>
            </w:r>
            <w:r w:rsidR="00537C82">
              <w:rPr>
                <w:rFonts w:ascii="Times New Roman" w:hAnsi="Times New Roman" w:cs="Times New Roman"/>
              </w:rPr>
              <w:t>value</w:t>
            </w:r>
          </w:p>
        </w:tc>
      </w:tr>
      <w:tr w:rsidR="00537C82" w:rsidRPr="00537C82" w14:paraId="56E5B250" w14:textId="77777777" w:rsidTr="007A1EB6">
        <w:trPr>
          <w:trHeight w:val="342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4FA61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Total number (%)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63137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185 (91.6%)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B089A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17(8.4%)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5B052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8 (4.0%)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A125B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Non vs all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F09BE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Non vs G3/4</w:t>
            </w:r>
          </w:p>
        </w:tc>
      </w:tr>
      <w:tr w:rsidR="00537C82" w:rsidRPr="00537C82" w14:paraId="3306121A" w14:textId="77777777" w:rsidTr="007A1EB6">
        <w:trPr>
          <w:trHeight w:val="2477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67D4E" w14:textId="67C3BA86" w:rsidR="00537C82" w:rsidRPr="00537C82" w:rsidRDefault="007A1EB6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621F0C" wp14:editId="714DCC6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-1111456</wp:posOffset>
                      </wp:positionV>
                      <wp:extent cx="5879805" cy="308344"/>
                      <wp:effectExtent l="0" t="0" r="0" b="0"/>
                      <wp:wrapNone/>
                      <wp:docPr id="1" name="タイトル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879805" cy="3083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EC21F" w14:textId="77777777" w:rsidR="00537C82" w:rsidRDefault="00537C82" w:rsidP="00537C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Supplementary Table 1. Changes in blood count and incidence of irAE hepatitis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1F0C" id="タイトル 1" o:spid="_x0000_s1026" style="position:absolute;margin-left:-7.2pt;margin-top:-87.5pt;width:463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" filled="f" stroked="f">
                      <o:lock v:ext="edit" grouping="t"/>
                      <v:textbox>
                        <w:txbxContent>
                          <w:p w14:paraId="275EC21F" w14:textId="77777777" w:rsidR="00537C82" w:rsidRDefault="00537C82" w:rsidP="00537C8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Supplementary Table 1. Changes in blood count and incidence of irAE hepatitis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C82"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="00537C82" w:rsidRPr="00537C82">
              <w:rPr>
                <w:rFonts w:ascii="Times New Roman" w:hAnsi="Times New Roman" w:cs="Times New Roman"/>
              </w:rPr>
              <w:t>WBC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4w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="00537C82"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3F31F5CC" w14:textId="5AD78E8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Pr="00537C82">
              <w:rPr>
                <w:rFonts w:ascii="Times New Roman" w:hAnsi="Times New Roman" w:cs="Times New Roman"/>
              </w:rPr>
              <w:t>WBC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7AAF727D" w14:textId="1A83C7CF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proofErr w:type="spellStart"/>
            <w:r w:rsidRPr="00537C82">
              <w:rPr>
                <w:rFonts w:ascii="Times New Roman" w:hAnsi="Times New Roman" w:cs="Times New Roman"/>
              </w:rPr>
              <w:t>Neut</w:t>
            </w:r>
            <w:proofErr w:type="spellEnd"/>
            <w:r w:rsidRPr="00537C82">
              <w:rPr>
                <w:rFonts w:ascii="Times New Roman" w:hAnsi="Times New Roman" w:cs="Times New Roman"/>
              </w:rPr>
              <w:t xml:space="preserve">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37C82E61" w14:textId="4C94FFDA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proofErr w:type="spellStart"/>
            <w:r w:rsidRPr="00537C82">
              <w:rPr>
                <w:rFonts w:ascii="Times New Roman" w:hAnsi="Times New Roman" w:cs="Times New Roman"/>
              </w:rPr>
              <w:t>Neut</w:t>
            </w:r>
            <w:proofErr w:type="spellEnd"/>
            <w:r w:rsidRPr="00537C82">
              <w:rPr>
                <w:rFonts w:ascii="Times New Roman" w:hAnsi="Times New Roman" w:cs="Times New Roman"/>
              </w:rPr>
              <w:t xml:space="preserve">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15A81A94" w14:textId="0B283C1E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Pr="00537C82">
              <w:rPr>
                <w:rFonts w:ascii="Times New Roman" w:hAnsi="Times New Roman" w:cs="Times New Roman"/>
              </w:rPr>
              <w:t>Lymph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6D106359" w14:textId="21971049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Pr="00537C82">
              <w:rPr>
                <w:rFonts w:ascii="Times New Roman" w:hAnsi="Times New Roman" w:cs="Times New Roman"/>
              </w:rPr>
              <w:t>Lymph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28C04764" w14:textId="3B587BA3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Pr="00537C82">
              <w:rPr>
                <w:rFonts w:ascii="Times New Roman" w:hAnsi="Times New Roman" w:cs="Times New Roman"/>
              </w:rPr>
              <w:t>NLR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737F9D1E" w14:textId="4C8C021E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r w:rsidRPr="00537C82">
              <w:rPr>
                <w:rFonts w:ascii="Times New Roman" w:hAnsi="Times New Roman" w:cs="Times New Roman"/>
              </w:rPr>
              <w:t>NLR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01BB8748" w14:textId="323A13F0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proofErr w:type="spellStart"/>
            <w:r w:rsidRPr="00537C82">
              <w:rPr>
                <w:rFonts w:ascii="Times New Roman" w:hAnsi="Times New Roman" w:cs="Times New Roman"/>
              </w:rPr>
              <w:t>Eosino</w:t>
            </w:r>
            <w:proofErr w:type="spellEnd"/>
            <w:r w:rsidRPr="00537C82">
              <w:rPr>
                <w:rFonts w:ascii="Times New Roman" w:hAnsi="Times New Roman" w:cs="Times New Roman"/>
              </w:rPr>
              <w:t xml:space="preserve">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  <w:p w14:paraId="1241808B" w14:textId="791BAC42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  <w:lang w:val="el-GR"/>
              </w:rPr>
              <w:t>Δ</w:t>
            </w:r>
            <w:proofErr w:type="spellStart"/>
            <w:r w:rsidRPr="00537C82">
              <w:rPr>
                <w:rFonts w:ascii="Times New Roman" w:hAnsi="Times New Roman" w:cs="Times New Roman"/>
              </w:rPr>
              <w:t>Eosino</w:t>
            </w:r>
            <w:proofErr w:type="spellEnd"/>
            <w:r w:rsidRPr="00537C82">
              <w:rPr>
                <w:rFonts w:ascii="Times New Roman" w:hAnsi="Times New Roman" w:cs="Times New Roman"/>
              </w:rPr>
              <w:t xml:space="preserve"> 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8w</w:t>
            </w:r>
            <w:r w:rsidR="009B0330" w:rsidRPr="007A148E">
              <w:rPr>
                <w:rFonts w:ascii="Times New Roman" w:hAnsi="Times New Roman" w:cs="Times New Roman"/>
                <w:vertAlign w:val="superscript"/>
                <w:lang w:val="sk-SK"/>
              </w:rPr>
              <w:t>†</w:t>
            </w:r>
            <w:r w:rsidRPr="00537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D0E7D" w14:textId="327F449D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500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12900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12300)</w:t>
            </w:r>
          </w:p>
          <w:p w14:paraId="2251D8E2" w14:textId="3102B25F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500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16400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16500)</w:t>
            </w:r>
          </w:p>
          <w:p w14:paraId="38FA192A" w14:textId="3F97B00C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374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11619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12048)</w:t>
            </w:r>
          </w:p>
          <w:p w14:paraId="6DA42989" w14:textId="594A3AB9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257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12529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28921)</w:t>
            </w:r>
          </w:p>
          <w:p w14:paraId="4DDA5F56" w14:textId="2BB7BA8B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1235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1337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15931)</w:t>
            </w:r>
          </w:p>
          <w:p w14:paraId="4D8835BE" w14:textId="427C2F0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132 (1206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22059)</w:t>
            </w:r>
          </w:p>
          <w:p w14:paraId="7D828925" w14:textId="49E34E71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0.083 (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11.54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11.73)</w:t>
            </w:r>
          </w:p>
          <w:p w14:paraId="13D44974" w14:textId="65D32D1A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0.041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13.06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40.91)</w:t>
            </w:r>
          </w:p>
          <w:p w14:paraId="5212A81A" w14:textId="5F23456D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34.9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798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3810)</w:t>
            </w:r>
          </w:p>
          <w:p w14:paraId="30C7D9CB" w14:textId="02454F80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31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877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5139)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B0D3F" w14:textId="15B74ED3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1200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1000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7800)</w:t>
            </w:r>
          </w:p>
          <w:p w14:paraId="23381530" w14:textId="24D94922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300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1700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4100)</w:t>
            </w:r>
          </w:p>
          <w:p w14:paraId="39918A1C" w14:textId="6707F262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871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2910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4203)</w:t>
            </w:r>
          </w:p>
          <w:p w14:paraId="1F6C2C71" w14:textId="04C6ACB6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82 (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2027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4137)</w:t>
            </w:r>
          </w:p>
          <w:p w14:paraId="13F19D7B" w14:textId="2A640533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350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624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2750)</w:t>
            </w:r>
          </w:p>
          <w:p w14:paraId="37333487" w14:textId="7F2712D4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10 (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1822)</w:t>
            </w:r>
          </w:p>
          <w:p w14:paraId="4272E567" w14:textId="39D61CF4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0.063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6.84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3.49)</w:t>
            </w:r>
          </w:p>
          <w:p w14:paraId="4CD76966" w14:textId="0B166C5F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0.28 (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4.7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8.08)</w:t>
            </w:r>
          </w:p>
          <w:p w14:paraId="7EF344BE" w14:textId="47AFF2E5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21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122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196)</w:t>
            </w:r>
          </w:p>
          <w:p w14:paraId="55A1334B" w14:textId="3975992A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192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426)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9B145" w14:textId="5CEFF838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1450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1000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7800)</w:t>
            </w:r>
          </w:p>
          <w:p w14:paraId="5452628E" w14:textId="4838646E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1100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1700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4100)</w:t>
            </w:r>
          </w:p>
          <w:p w14:paraId="779BCE27" w14:textId="40D3F76C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1196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2910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4203)</w:t>
            </w:r>
          </w:p>
          <w:p w14:paraId="2F40B5F0" w14:textId="6FF0A7A0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981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2027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4137)</w:t>
            </w:r>
          </w:p>
          <w:p w14:paraId="6090971F" w14:textId="1A0DF9DB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189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317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2750)</w:t>
            </w:r>
          </w:p>
          <w:p w14:paraId="26025F6C" w14:textId="4869CD62" w:rsidR="00537C82" w:rsidRPr="00537C82" w:rsidRDefault="000B047C" w:rsidP="0053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132 (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575</w:t>
            </w:r>
            <w:r>
              <w:rPr>
                <w:rFonts w:ascii="Times New Roman" w:hAnsi="Times New Roman" w:cs="Times New Roman"/>
              </w:rPr>
              <w:t>–</w:t>
            </w:r>
            <w:r w:rsidR="00537C82" w:rsidRPr="00537C82">
              <w:rPr>
                <w:rFonts w:ascii="Times New Roman" w:hAnsi="Times New Roman" w:cs="Times New Roman"/>
              </w:rPr>
              <w:t>873)</w:t>
            </w:r>
          </w:p>
          <w:p w14:paraId="44137FEF" w14:textId="745860CC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0.14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6.84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2.45)</w:t>
            </w:r>
          </w:p>
          <w:p w14:paraId="3B1FDB87" w14:textId="2A12D66E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1.68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4.28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3.23)</w:t>
            </w:r>
          </w:p>
          <w:p w14:paraId="50358C81" w14:textId="66459EAA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15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122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196)</w:t>
            </w:r>
          </w:p>
          <w:p w14:paraId="315C0F20" w14:textId="414B7F3B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10 (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138</w:t>
            </w:r>
            <w:r w:rsidR="000B047C">
              <w:rPr>
                <w:rFonts w:ascii="Times New Roman" w:hAnsi="Times New Roman" w:cs="Times New Roman"/>
              </w:rPr>
              <w:t>–</w:t>
            </w:r>
            <w:r w:rsidRPr="00537C82">
              <w:rPr>
                <w:rFonts w:ascii="Times New Roman" w:hAnsi="Times New Roman" w:cs="Times New Roman"/>
              </w:rPr>
              <w:t>426)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D056F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75863FC0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3A488D14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0C591A80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515A58FF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121506D5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4BB3C4D6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4A932D11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0B34D187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0456CE2F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0A603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125D78C4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26EEA91B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2CDA499A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4D4655C9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1E55ECBE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6167FE00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6D88430E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1F814FFF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  <w:p w14:paraId="3EE6B04B" w14:textId="77777777" w:rsidR="00537C82" w:rsidRPr="00537C82" w:rsidRDefault="00537C82" w:rsidP="00537C82">
            <w:pPr>
              <w:rPr>
                <w:rFonts w:ascii="Times New Roman" w:hAnsi="Times New Roman" w:cs="Times New Roman"/>
              </w:rPr>
            </w:pPr>
            <w:r w:rsidRPr="00537C82">
              <w:rPr>
                <w:rFonts w:ascii="Times New Roman" w:hAnsi="Times New Roman" w:cs="Times New Roman"/>
              </w:rPr>
              <w:t>n.s.</w:t>
            </w:r>
          </w:p>
        </w:tc>
      </w:tr>
    </w:tbl>
    <w:p w14:paraId="0AF135A8" w14:textId="77777777" w:rsidR="007A1EB6" w:rsidRDefault="007A1EB6"/>
    <w:p w14:paraId="65779BAD" w14:textId="77777777" w:rsidR="00236F83" w:rsidRDefault="00236F83"/>
    <w:p w14:paraId="55A63CCE" w14:textId="77777777" w:rsidR="00236F83" w:rsidRDefault="00236F83"/>
    <w:p w14:paraId="62A42913" w14:textId="19C2F199" w:rsidR="007A1EB6" w:rsidRDefault="007A1EB6">
      <w:r w:rsidRPr="00537C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A84CDC" wp14:editId="1BE477E4">
                <wp:simplePos x="0" y="0"/>
                <wp:positionH relativeFrom="column">
                  <wp:posOffset>807809</wp:posOffset>
                </wp:positionH>
                <wp:positionV relativeFrom="paragraph">
                  <wp:posOffset>3715503</wp:posOffset>
                </wp:positionV>
                <wp:extent cx="8603615" cy="548640"/>
                <wp:effectExtent l="0" t="0" r="0" b="0"/>
                <wp:wrapNone/>
                <wp:docPr id="1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6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F4B6FC" w14:textId="77777777" w:rsidR="00537C82" w:rsidRDefault="00537C82" w:rsidP="00537C82"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irAE: </w:t>
                            </w:r>
                            <w:bookmarkStart w:id="1" w:name="_Hlk33562297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immune checkpoint inhibitor related adverse events</w:t>
                            </w:r>
                            <w:bookmarkEnd w:id="1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WBC: white blood cell, Neut: neutrophil count, Lymph: lymphocyte count, </w:t>
                            </w:r>
                          </w:p>
                          <w:p w14:paraId="5B1C959F" w14:textId="77777777" w:rsidR="00537C82" w:rsidRDefault="00537C82" w:rsidP="00537C82"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NLR; Neutrophil/Lymphocyte Ratio, Eosino; eosinophil count, </w:t>
                            </w:r>
                            <w:r w:rsidR="009B0330" w:rsidRPr="007A148E">
                              <w:rPr>
                                <w:rFonts w:ascii="Times New Roman" w:hAnsi="Times New Roman" w:cs="Times New Roman"/>
                                <w:vertAlign w:val="superscript"/>
                                <w:lang w:val="sk-SK"/>
                              </w:rPr>
                              <w:t>†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Data are shown as median (range) values.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84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63.6pt;margin-top:292.55pt;width:677.45pt;height:4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" filled="f" stroked="f">
                <v:textbox style="mso-fit-shape-to-text:t">
                  <w:txbxContent>
                    <w:p w14:paraId="24F4B6FC" w14:textId="77777777" w:rsidR="00537C82" w:rsidRDefault="00537C82" w:rsidP="00537C82"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irAE: </w:t>
                      </w:r>
                      <w:bookmarkStart w:id="2" w:name="_Hlk33562297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immune checkpoint inhibitor related adverse events</w:t>
                      </w:r>
                      <w:bookmarkEnd w:id="2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WBC: white blood cell, Neut: neutrophil count, Lymph: lymphocyte count, </w:t>
                      </w:r>
                    </w:p>
                    <w:p w14:paraId="5B1C959F" w14:textId="77777777" w:rsidR="00537C82" w:rsidRDefault="00537C82" w:rsidP="00537C82"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NLR; Neutrophil/Lymphocyte Ratio, Eosino; eosinophil count, </w:t>
                      </w:r>
                      <w:r w:rsidR="009B0330" w:rsidRPr="007A148E">
                        <w:rPr>
                          <w:rFonts w:ascii="Times New Roman" w:hAnsi="Times New Roman" w:cs="Times New Roman"/>
                          <w:vertAlign w:val="superscript"/>
                          <w:lang w:val="sk-SK"/>
                        </w:rPr>
                        <w:t>†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Data are shown as median (range) values.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BCA13EC" w14:textId="66BB3A45" w:rsidR="0067630D" w:rsidRDefault="00F96A7F">
      <w:r w:rsidRPr="007A1EB6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9137A" wp14:editId="72EF7E04">
                <wp:simplePos x="0" y="0"/>
                <wp:positionH relativeFrom="column">
                  <wp:posOffset>333375</wp:posOffset>
                </wp:positionH>
                <wp:positionV relativeFrom="paragraph">
                  <wp:posOffset>254635</wp:posOffset>
                </wp:positionV>
                <wp:extent cx="6698512" cy="382772"/>
                <wp:effectExtent l="0" t="0" r="0" b="0"/>
                <wp:wrapNone/>
                <wp:docPr id="30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98512" cy="3827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F84BB6" w14:textId="2D1DA3A0" w:rsidR="007A1EB6" w:rsidRPr="006F73D8" w:rsidRDefault="007A1EB6" w:rsidP="007A1EB6">
                            <w:pPr>
                              <w:jc w:val="center"/>
                            </w:pPr>
                            <w:r w:rsidRPr="006F73D8">
                              <w:rPr>
                                <w:rFonts w:ascii="Times New Roman" w:eastAsiaTheme="maj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 xml:space="preserve">Supplementary Table 2. The </w:t>
                            </w:r>
                            <w:r w:rsidR="00F96A7F" w:rsidRPr="006F73D8">
                              <w:rPr>
                                <w:rFonts w:ascii="Times New Roman" w:eastAsiaTheme="maj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 xml:space="preserve">relationship between </w:t>
                            </w:r>
                            <w:proofErr w:type="spellStart"/>
                            <w:r w:rsidR="00F96A7F" w:rsidRPr="006F73D8">
                              <w:rPr>
                                <w:rFonts w:ascii="Times New Roman" w:eastAsiaTheme="maj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irAE</w:t>
                            </w:r>
                            <w:proofErr w:type="spellEnd"/>
                            <w:r w:rsidR="00F96A7F" w:rsidRPr="006F73D8">
                              <w:rPr>
                                <w:rFonts w:ascii="Times New Roman" w:eastAsiaTheme="maj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 xml:space="preserve"> hepatitis and other irAEs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137A" id="_x0000_s1028" style="position:absolute;margin-left:26.25pt;margin-top:20.05pt;width:527.45pt;height:3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" filled="f" stroked="f">
                <o:lock v:ext="edit" grouping="t"/>
                <v:textbox>
                  <w:txbxContent>
                    <w:p w14:paraId="38F84BB6" w14:textId="2D1DA3A0" w:rsidR="007A1EB6" w:rsidRPr="006F73D8" w:rsidRDefault="007A1EB6" w:rsidP="007A1EB6">
                      <w:pPr>
                        <w:jc w:val="center"/>
                      </w:pPr>
                      <w:r w:rsidRPr="006F73D8">
                        <w:rPr>
                          <w:rFonts w:ascii="Times New Roman" w:eastAsiaTheme="majorEastAsia" w:hAnsi="Times New Roman" w:cs="Times New Roman"/>
                          <w:kern w:val="24"/>
                          <w:sz w:val="28"/>
                          <w:szCs w:val="28"/>
                        </w:rPr>
                        <w:t xml:space="preserve">Supplementary Table 2. The </w:t>
                      </w:r>
                      <w:r w:rsidR="00F96A7F" w:rsidRPr="006F73D8">
                        <w:rPr>
                          <w:rFonts w:ascii="Times New Roman" w:eastAsiaTheme="majorEastAsia" w:hAnsi="Times New Roman" w:cs="Times New Roman"/>
                          <w:kern w:val="24"/>
                          <w:sz w:val="28"/>
                          <w:szCs w:val="28"/>
                        </w:rPr>
                        <w:t xml:space="preserve">relationship between </w:t>
                      </w:r>
                      <w:proofErr w:type="spellStart"/>
                      <w:r w:rsidR="00F96A7F" w:rsidRPr="006F73D8">
                        <w:rPr>
                          <w:rFonts w:ascii="Times New Roman" w:eastAsiaTheme="majorEastAsia" w:hAnsi="Times New Roman" w:cs="Times New Roman"/>
                          <w:kern w:val="24"/>
                          <w:sz w:val="28"/>
                          <w:szCs w:val="28"/>
                        </w:rPr>
                        <w:t>irAE</w:t>
                      </w:r>
                      <w:proofErr w:type="spellEnd"/>
                      <w:r w:rsidR="00F96A7F" w:rsidRPr="006F73D8">
                        <w:rPr>
                          <w:rFonts w:ascii="Times New Roman" w:eastAsiaTheme="majorEastAsia" w:hAnsi="Times New Roman" w:cs="Times New Roman"/>
                          <w:kern w:val="24"/>
                          <w:sz w:val="28"/>
                          <w:szCs w:val="28"/>
                        </w:rPr>
                        <w:t xml:space="preserve"> hepatitis and other irAEs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1280"/>
        <w:tblW w:w="15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1701"/>
        <w:gridCol w:w="1984"/>
        <w:gridCol w:w="2126"/>
        <w:gridCol w:w="2410"/>
        <w:gridCol w:w="2268"/>
      </w:tblGrid>
      <w:tr w:rsidR="006F73D8" w:rsidRPr="006F73D8" w14:paraId="76B17F77" w14:textId="77777777" w:rsidTr="006F73D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DE47" w14:textId="77777777" w:rsidR="00F96A7F" w:rsidRPr="006F73D8" w:rsidRDefault="00F96A7F" w:rsidP="006F73D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F780" w14:textId="57A25B26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BBB2" w14:textId="7D90C5A3" w:rsidR="00F96A7F" w:rsidRPr="006F73D8" w:rsidRDefault="00CC7E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proofErr w:type="spellStart"/>
            <w:r w:rsidRPr="006F73D8">
              <w:rPr>
                <w:rFonts w:ascii="Times New Roman" w:eastAsia="游ゴシック" w:hAnsi="Times New Roman" w:cs="Times New Roman"/>
              </w:rPr>
              <w:t>i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rAE</w:t>
            </w:r>
            <w:r w:rsidR="00C62307" w:rsidRPr="006F73D8">
              <w:rPr>
                <w:rFonts w:ascii="Times New Roman" w:eastAsia="游ゴシック" w:hAnsi="Times New Roman" w:cs="Times New Roman"/>
              </w:rPr>
              <w:t>s</w:t>
            </w:r>
            <w:proofErr w:type="spellEnd"/>
            <w:r w:rsidR="00F96A7F" w:rsidRPr="006F73D8">
              <w:rPr>
                <w:rFonts w:ascii="Times New Roman" w:eastAsia="游ゴシック" w:hAnsi="Times New Roman" w:cs="Times New Roman"/>
              </w:rPr>
              <w:t xml:space="preserve"> </w:t>
            </w:r>
            <w:r w:rsidR="00C62307" w:rsidRPr="006F73D8">
              <w:rPr>
                <w:rFonts w:ascii="Times New Roman" w:eastAsia="游ゴシック" w:hAnsi="Times New Roman" w:cs="Times New Roman"/>
              </w:rPr>
              <w:t>other than</w:t>
            </w:r>
            <w:r w:rsidR="00F96A7F" w:rsidRPr="006F73D8">
              <w:rPr>
                <w:rFonts w:ascii="Times New Roman" w:eastAsia="游ゴシック" w:hAnsi="Times New Roman" w:cs="Times New Roman"/>
              </w:rPr>
              <w:t xml:space="preserve"> hepatitis</w:t>
            </w:r>
          </w:p>
        </w:tc>
      </w:tr>
      <w:tr w:rsidR="006F73D8" w:rsidRPr="006F73D8" w14:paraId="531534D1" w14:textId="77777777" w:rsidTr="006F73D8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657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FB2" w14:textId="16185F7C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 w:hint="eastAsia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9F5" w14:textId="6BF7D6B8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T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1FB" w14:textId="1DF550E6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Co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litis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C30" w14:textId="672D4B5D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P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neumonitis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DC1" w14:textId="4FB11762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N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ephritis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9AC" w14:textId="57DAFA52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E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ndocrinopathies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5D1" w14:textId="58F91EAB" w:rsidR="00F96A7F" w:rsidRPr="006F73D8" w:rsidRDefault="000B047C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Ot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her</w:t>
            </w:r>
          </w:p>
        </w:tc>
      </w:tr>
      <w:tr w:rsidR="006F73D8" w:rsidRPr="006F73D8" w14:paraId="35F733FB" w14:textId="77777777" w:rsidTr="006F73D8">
        <w:trPr>
          <w:trHeight w:val="40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35C" w14:textId="49EC56E9" w:rsidR="00F96A7F" w:rsidRPr="006F73D8" w:rsidRDefault="00C62307" w:rsidP="006F73D8">
            <w:pPr>
              <w:ind w:leftChars="-43" w:hangingChars="43" w:hanging="103"/>
              <w:jc w:val="center"/>
              <w:rPr>
                <w:rFonts w:ascii="Times New Roman" w:eastAsia="游ゴシック" w:hAnsi="Times New Roman" w:cs="Times New Roman"/>
              </w:rPr>
            </w:pPr>
            <w:proofErr w:type="spellStart"/>
            <w:r w:rsidRPr="006F73D8">
              <w:rPr>
                <w:rFonts w:ascii="Times New Roman" w:eastAsia="游ゴシック" w:hAnsi="Times New Roman" w:cs="Times New Roman"/>
              </w:rPr>
              <w:t>irAE</w:t>
            </w:r>
            <w:proofErr w:type="spellEnd"/>
            <w:r w:rsidRPr="006F73D8">
              <w:rPr>
                <w:rFonts w:ascii="Times New Roman" w:eastAsia="游ゴシック" w:hAnsi="Times New Roman" w:cs="Times New Roman"/>
              </w:rPr>
              <w:t xml:space="preserve"> 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hepatitis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DAB" w14:textId="79AF321A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CAA" w14:textId="07073675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73E8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F5B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91D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C51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716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</w:t>
            </w:r>
          </w:p>
        </w:tc>
      </w:tr>
      <w:tr w:rsidR="006F73D8" w:rsidRPr="006F73D8" w14:paraId="567F6CD5" w14:textId="77777777" w:rsidTr="006F73D8">
        <w:trPr>
          <w:trHeight w:val="4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E79E" w14:textId="3C772F24" w:rsidR="00F96A7F" w:rsidRPr="006F73D8" w:rsidRDefault="000B047C" w:rsidP="006F73D8">
            <w:pPr>
              <w:ind w:leftChars="-221" w:hangingChars="221" w:hanging="530"/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N</w:t>
            </w:r>
            <w:r w:rsidR="00C62307" w:rsidRPr="006F73D8">
              <w:rPr>
                <w:rFonts w:ascii="Times New Roman" w:eastAsia="游ゴシック" w:hAnsi="Times New Roman" w:cs="Times New Roman"/>
              </w:rPr>
              <w:t>on</w:t>
            </w:r>
            <w:r w:rsidRPr="006F73D8">
              <w:rPr>
                <w:rFonts w:ascii="Times New Roman" w:eastAsia="游ゴシック" w:hAnsi="Times New Roman" w:cs="Times New Roman"/>
              </w:rPr>
              <w:t>–</w:t>
            </w:r>
            <w:proofErr w:type="spellStart"/>
            <w:r w:rsidR="00C62307" w:rsidRPr="006F73D8">
              <w:rPr>
                <w:rFonts w:ascii="Times New Roman" w:eastAsia="游ゴシック" w:hAnsi="Times New Roman" w:cs="Times New Roman"/>
              </w:rPr>
              <w:t>irAE</w:t>
            </w:r>
            <w:proofErr w:type="spellEnd"/>
            <w:r w:rsidR="00C62307" w:rsidRPr="006F73D8">
              <w:rPr>
                <w:rFonts w:ascii="Times New Roman" w:eastAsia="游ゴシック" w:hAnsi="Times New Roman" w:cs="Times New Roman"/>
              </w:rPr>
              <w:t xml:space="preserve"> </w:t>
            </w:r>
            <w:r w:rsidR="00F96A7F" w:rsidRPr="006F73D8">
              <w:rPr>
                <w:rFonts w:ascii="Times New Roman" w:eastAsia="游ゴシック" w:hAnsi="Times New Roman" w:cs="Times New Roman"/>
              </w:rPr>
              <w:t>hepatitis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8485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C047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3517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9045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46389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48A6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F165" w14:textId="77777777" w:rsidR="00F96A7F" w:rsidRPr="006F73D8" w:rsidRDefault="00F96A7F" w:rsidP="008B7A35">
            <w:pPr>
              <w:jc w:val="center"/>
              <w:rPr>
                <w:rFonts w:ascii="Times New Roman" w:eastAsia="游ゴシック" w:hAnsi="Times New Roman" w:cs="Times New Roman"/>
              </w:rPr>
            </w:pPr>
            <w:r w:rsidRPr="006F73D8">
              <w:rPr>
                <w:rFonts w:ascii="Times New Roman" w:eastAsia="游ゴシック" w:hAnsi="Times New Roman" w:cs="Times New Roman"/>
              </w:rPr>
              <w:t>14</w:t>
            </w:r>
          </w:p>
        </w:tc>
      </w:tr>
    </w:tbl>
    <w:p w14:paraId="534BD5C3" w14:textId="35FAEA43" w:rsidR="00B8117A" w:rsidRPr="007A148E" w:rsidRDefault="008B7A35">
      <w:r>
        <w:rPr>
          <w:rFonts w:ascii="Times New Roman" w:eastAsia="游ゴシック" w:hAnsi="Times New Roman" w:cs="Times New Roman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ABCE81" wp14:editId="779FEAAB">
                <wp:simplePos x="0" y="0"/>
                <wp:positionH relativeFrom="column">
                  <wp:posOffset>1663700</wp:posOffset>
                </wp:positionH>
                <wp:positionV relativeFrom="paragraph">
                  <wp:posOffset>787400</wp:posOffset>
                </wp:positionV>
                <wp:extent cx="0" cy="1257300"/>
                <wp:effectExtent l="0" t="0" r="127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C837" id="直線コネクタ 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62pt" to="13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96A7F" w:rsidRPr="009B03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9C918D" wp14:editId="77DC7224">
                <wp:simplePos x="0" y="0"/>
                <wp:positionH relativeFrom="margin">
                  <wp:posOffset>-43815</wp:posOffset>
                </wp:positionH>
                <wp:positionV relativeFrom="paragraph">
                  <wp:posOffset>2223135</wp:posOffset>
                </wp:positionV>
                <wp:extent cx="9813290" cy="548640"/>
                <wp:effectExtent l="0" t="0" r="0" b="0"/>
                <wp:wrapNone/>
                <wp:docPr id="3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29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68FD6B" w14:textId="624CBEBC" w:rsidR="00F96A7F" w:rsidRPr="006F73D8" w:rsidRDefault="00F96A7F" w:rsidP="00F96A7F">
                            <w:r w:rsidRPr="006F73D8">
                              <w:rPr>
                                <w:rFonts w:ascii="Times New Roman" w:eastAsiaTheme="minorEastAsia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irAEs</w:t>
                            </w:r>
                            <w:r w:rsidR="009B0330" w:rsidRPr="006F73D8">
                              <w:rPr>
                                <w:rFonts w:ascii="Times New Roman" w:eastAsiaTheme="minorEastAsia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F73D8">
                              <w:rPr>
                                <w:rFonts w:ascii="Times New Roman" w:eastAsiaTheme="minorEastAsia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immune checkpoint inhibitor related adverse events</w:t>
                            </w:r>
                          </w:p>
                          <w:p w14:paraId="35CED4B4" w14:textId="760C355C" w:rsidR="009B0330" w:rsidRPr="00F96A7F" w:rsidRDefault="009B0330" w:rsidP="009B033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C918D" id="_x0000_s1029" type="#_x0000_t202" style="position:absolute;margin-left:-3.45pt;margin-top:175.05pt;width:772.7pt;height:43.2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" filled="f" stroked="f">
                <v:textbox style="mso-fit-shape-to-text:t">
                  <w:txbxContent>
                    <w:p w14:paraId="6B68FD6B" w14:textId="624CBEBC" w:rsidR="00F96A7F" w:rsidRPr="006F73D8" w:rsidRDefault="00F96A7F" w:rsidP="00F96A7F">
                      <w:r w:rsidRPr="006F73D8">
                        <w:rPr>
                          <w:rFonts w:ascii="Times New Roman" w:eastAsiaTheme="minorEastAsia" w:hAnsi="Times New Roman" w:cs="Times New Roman"/>
                          <w:kern w:val="24"/>
                          <w:sz w:val="20"/>
                          <w:szCs w:val="20"/>
                        </w:rPr>
                        <w:t>irAEs</w:t>
                      </w:r>
                      <w:r w:rsidR="009B0330" w:rsidRPr="006F73D8">
                        <w:rPr>
                          <w:rFonts w:ascii="Times New Roman" w:eastAsiaTheme="minorEastAsia" w:hAnsi="Times New Roman" w:cs="Times New Roman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Pr="006F73D8">
                        <w:rPr>
                          <w:rFonts w:ascii="Times New Roman" w:eastAsiaTheme="minorEastAsia" w:hAnsi="Times New Roman" w:cs="Times New Roman"/>
                          <w:kern w:val="24"/>
                          <w:sz w:val="20"/>
                          <w:szCs w:val="20"/>
                        </w:rPr>
                        <w:t>immune checkpoint inhibitor related adverse events</w:t>
                      </w:r>
                    </w:p>
                    <w:p w14:paraId="35CED4B4" w14:textId="760C355C" w:rsidR="009B0330" w:rsidRPr="00F96A7F" w:rsidRDefault="009B0330" w:rsidP="009B033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B17" w:rsidRPr="00035B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42EEE" wp14:editId="17594372">
                <wp:simplePos x="0" y="0"/>
                <wp:positionH relativeFrom="column">
                  <wp:posOffset>-133</wp:posOffset>
                </wp:positionH>
                <wp:positionV relativeFrom="paragraph">
                  <wp:posOffset>-3928774</wp:posOffset>
                </wp:positionV>
                <wp:extent cx="5784112" cy="372140"/>
                <wp:effectExtent l="0" t="0" r="0" b="0"/>
                <wp:wrapNone/>
                <wp:docPr id="26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84112" cy="37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665F85" w14:textId="77777777" w:rsidR="00537C82" w:rsidRDefault="00537C82" w:rsidP="00035B17"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Table 4. Principal characteristics of eight patients with grade ≥3 irAE hepatitis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2EEE" id="_x0000_s1030" style="position:absolute;margin-left:0;margin-top:-309.35pt;width:455.4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" filled="f" stroked="f">
                <o:lock v:ext="edit" grouping="t"/>
                <v:textbox>
                  <w:txbxContent>
                    <w:p w14:paraId="7D665F85" w14:textId="77777777" w:rsidR="00537C82" w:rsidRDefault="00537C82" w:rsidP="00035B17">
                      <w:r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Table 4. Principal characteristics of eight patients with grade ≥3 irAE hepatitis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117A" w:rsidRPr="007A148E" w:rsidSect="00B8117A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9ED2" w14:textId="77777777" w:rsidR="002E3F33" w:rsidRDefault="002E3F33" w:rsidP="00C62307">
      <w:r>
        <w:separator/>
      </w:r>
    </w:p>
  </w:endnote>
  <w:endnote w:type="continuationSeparator" w:id="0">
    <w:p w14:paraId="5C80561D" w14:textId="77777777" w:rsidR="002E3F33" w:rsidRDefault="002E3F33" w:rsidP="00C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EA18" w14:textId="77777777" w:rsidR="002E3F33" w:rsidRDefault="002E3F33" w:rsidP="00C62307">
      <w:r>
        <w:separator/>
      </w:r>
    </w:p>
  </w:footnote>
  <w:footnote w:type="continuationSeparator" w:id="0">
    <w:p w14:paraId="2F6E7536" w14:textId="77777777" w:rsidR="002E3F33" w:rsidRDefault="002E3F33" w:rsidP="00C6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7A"/>
    <w:rsid w:val="00035B17"/>
    <w:rsid w:val="000B047C"/>
    <w:rsid w:val="000E4A1B"/>
    <w:rsid w:val="00217658"/>
    <w:rsid w:val="00236F83"/>
    <w:rsid w:val="002E3F33"/>
    <w:rsid w:val="002F2B8A"/>
    <w:rsid w:val="00537C82"/>
    <w:rsid w:val="0067630D"/>
    <w:rsid w:val="006F73D8"/>
    <w:rsid w:val="007453FE"/>
    <w:rsid w:val="0077324B"/>
    <w:rsid w:val="007A148E"/>
    <w:rsid w:val="007A1EB6"/>
    <w:rsid w:val="00837CFB"/>
    <w:rsid w:val="008B7A35"/>
    <w:rsid w:val="009079C3"/>
    <w:rsid w:val="009B0330"/>
    <w:rsid w:val="00A929FE"/>
    <w:rsid w:val="00B8117A"/>
    <w:rsid w:val="00C02F29"/>
    <w:rsid w:val="00C62307"/>
    <w:rsid w:val="00CA570D"/>
    <w:rsid w:val="00CC0E42"/>
    <w:rsid w:val="00CC7E7C"/>
    <w:rsid w:val="00D528F5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D8C5A"/>
  <w15:docId w15:val="{CCE6DBD0-B59F-4A5D-BCFD-E4D87F6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5B1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307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6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307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236F8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6F83"/>
  </w:style>
  <w:style w:type="character" w:customStyle="1" w:styleId="a9">
    <w:name w:val="コメント文字列 (文字)"/>
    <w:basedOn w:val="a0"/>
    <w:link w:val="a8"/>
    <w:uiPriority w:val="99"/>
    <w:semiHidden/>
    <w:rsid w:val="00236F8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6F83"/>
    <w:rPr>
      <w:b/>
      <w:bCs/>
      <w:sz w:val="2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236F8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6F83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6F83"/>
    <w:rPr>
      <w:rFonts w:ascii="Lucida Grande" w:eastAsia="ＭＳ Ｐゴシック" w:hAnsi="Lucida Grande" w:cs="Lucida Grande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860</Characters>
  <Application>Microsoft Office Word</Application>
  <DocSecurity>0</DocSecurity>
  <Lines>107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北潟谷 隆</dc:creator>
  <cp:keywords/>
  <dc:description/>
  <cp:lastModifiedBy>石森久美</cp:lastModifiedBy>
  <cp:revision>2</cp:revision>
  <dcterms:created xsi:type="dcterms:W3CDTF">2020-06-03T04:22:00Z</dcterms:created>
  <dcterms:modified xsi:type="dcterms:W3CDTF">2020-06-03T04:22:00Z</dcterms:modified>
</cp:coreProperties>
</file>