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890" w:rsidRPr="00A73597" w:rsidRDefault="00F06890" w:rsidP="00F0689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3597">
        <w:rPr>
          <w:rFonts w:ascii="Times New Roman" w:hAnsi="Times New Roman" w:cs="Times New Roman"/>
          <w:sz w:val="24"/>
          <w:szCs w:val="24"/>
        </w:rPr>
        <w:t>Supplementary Material</w:t>
      </w:r>
    </w:p>
    <w:p w:rsidR="00A73597" w:rsidRDefault="00A73597" w:rsidP="00A73597">
      <w:pPr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A73597">
        <w:rPr>
          <w:rFonts w:ascii="Times New Roman" w:hAnsi="Times New Roman" w:cs="Times New Roman"/>
          <w:b/>
          <w:sz w:val="20"/>
          <w:szCs w:val="20"/>
          <w:lang w:eastAsia="en-US"/>
        </w:rPr>
        <w:t>Effectiveness and safety of nivolumab in patients with head and neck cancer in Japanese real-world clinical practic</w:t>
      </w:r>
      <w:r w:rsidRPr="00A73597">
        <w:rPr>
          <w:rFonts w:ascii="Times New Roman" w:hAnsi="Times New Roman" w:cs="Times New Roman"/>
          <w:b/>
          <w:sz w:val="20"/>
          <w:szCs w:val="20"/>
        </w:rPr>
        <w:t>e</w:t>
      </w:r>
      <w:r w:rsidRPr="00A73597">
        <w:rPr>
          <w:rFonts w:ascii="Times New Roman" w:hAnsi="Times New Roman" w:cs="Times New Roman"/>
          <w:b/>
          <w:sz w:val="20"/>
          <w:szCs w:val="20"/>
          <w:lang w:eastAsia="en-US"/>
        </w:rPr>
        <w:t>: A multicenter retrospective clinical study</w:t>
      </w:r>
    </w:p>
    <w:p w:rsidR="00A73597" w:rsidRPr="00A73597" w:rsidRDefault="00A73597" w:rsidP="00A73597">
      <w:pPr>
        <w:rPr>
          <w:rFonts w:ascii="Times New Roman" w:hAnsi="Times New Roman" w:cs="Times New Roman"/>
          <w:b/>
          <w:sz w:val="20"/>
          <w:szCs w:val="20"/>
        </w:rPr>
      </w:pPr>
      <w:r w:rsidRPr="00A73597">
        <w:rPr>
          <w:rFonts w:ascii="Times New Roman" w:hAnsi="Times New Roman" w:cs="Times New Roman"/>
          <w:b/>
          <w:sz w:val="20"/>
          <w:szCs w:val="20"/>
        </w:rPr>
        <w:t>The International Journal of Clinical Oncology</w:t>
      </w:r>
    </w:p>
    <w:p w:rsidR="00A73597" w:rsidRPr="00A73597" w:rsidRDefault="00A73597" w:rsidP="00A7359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73597">
        <w:rPr>
          <w:rFonts w:ascii="Times New Roman" w:hAnsi="Times New Roman" w:cs="Times New Roman"/>
          <w:sz w:val="20"/>
          <w:szCs w:val="20"/>
          <w:lang w:eastAsia="en-US"/>
        </w:rPr>
        <w:t>Nobuhiro</w:t>
      </w:r>
      <w:proofErr w:type="spellEnd"/>
      <w:r w:rsidRPr="00A735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3597">
        <w:rPr>
          <w:rFonts w:ascii="Times New Roman" w:hAnsi="Times New Roman" w:cs="Times New Roman"/>
          <w:sz w:val="20"/>
          <w:szCs w:val="20"/>
        </w:rPr>
        <w:t>Hanai</w:t>
      </w:r>
      <w:proofErr w:type="spellEnd"/>
      <w:r w:rsidRPr="00A73597">
        <w:rPr>
          <w:rFonts w:ascii="Times New Roman" w:hAnsi="Times New Roman" w:cs="Times New Roman"/>
          <w:sz w:val="20"/>
          <w:szCs w:val="20"/>
        </w:rPr>
        <w:t xml:space="preserve">, Yasushi Shimizu, Shin </w:t>
      </w:r>
      <w:proofErr w:type="spellStart"/>
      <w:r w:rsidRPr="00A73597">
        <w:rPr>
          <w:rFonts w:ascii="Times New Roman" w:hAnsi="Times New Roman" w:cs="Times New Roman"/>
          <w:sz w:val="20"/>
          <w:szCs w:val="20"/>
        </w:rPr>
        <w:t>Kariya</w:t>
      </w:r>
      <w:proofErr w:type="spellEnd"/>
      <w:r w:rsidRPr="00A73597">
        <w:rPr>
          <w:rFonts w:ascii="Times New Roman" w:hAnsi="Times New Roman" w:cs="Times New Roman"/>
          <w:sz w:val="20"/>
          <w:szCs w:val="20"/>
        </w:rPr>
        <w:t xml:space="preserve">, Ryuji </w:t>
      </w:r>
      <w:proofErr w:type="spellStart"/>
      <w:r w:rsidRPr="00A73597">
        <w:rPr>
          <w:rFonts w:ascii="Times New Roman" w:hAnsi="Times New Roman" w:cs="Times New Roman"/>
          <w:sz w:val="20"/>
          <w:szCs w:val="20"/>
        </w:rPr>
        <w:t>Yasumatsu</w:t>
      </w:r>
      <w:proofErr w:type="spellEnd"/>
      <w:r w:rsidRPr="00A735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73597">
        <w:rPr>
          <w:rFonts w:ascii="Times New Roman" w:hAnsi="Times New Roman" w:cs="Times New Roman"/>
          <w:sz w:val="20"/>
          <w:szCs w:val="20"/>
        </w:rPr>
        <w:t>Tomoya</w:t>
      </w:r>
      <w:proofErr w:type="spellEnd"/>
      <w:r w:rsidRPr="00A73597">
        <w:rPr>
          <w:rFonts w:ascii="Times New Roman" w:hAnsi="Times New Roman" w:cs="Times New Roman"/>
          <w:sz w:val="20"/>
          <w:szCs w:val="20"/>
        </w:rPr>
        <w:t xml:space="preserve"> Yokota, Takashi </w:t>
      </w:r>
      <w:proofErr w:type="spellStart"/>
      <w:r w:rsidRPr="00A73597">
        <w:rPr>
          <w:rFonts w:ascii="Times New Roman" w:hAnsi="Times New Roman" w:cs="Times New Roman"/>
          <w:sz w:val="20"/>
          <w:szCs w:val="20"/>
        </w:rPr>
        <w:t>Fujii</w:t>
      </w:r>
      <w:proofErr w:type="spellEnd"/>
      <w:r w:rsidRPr="00A735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73597">
        <w:rPr>
          <w:rFonts w:ascii="Times New Roman" w:hAnsi="Times New Roman" w:cs="Times New Roman"/>
          <w:sz w:val="20"/>
          <w:szCs w:val="20"/>
        </w:rPr>
        <w:t>Kiyoaki</w:t>
      </w:r>
      <w:proofErr w:type="spellEnd"/>
      <w:r w:rsidRPr="00A73597">
        <w:rPr>
          <w:rFonts w:ascii="Times New Roman" w:hAnsi="Times New Roman" w:cs="Times New Roman"/>
          <w:sz w:val="20"/>
          <w:szCs w:val="20"/>
        </w:rPr>
        <w:t xml:space="preserve"> Tsukahara</w:t>
      </w:r>
      <w:r w:rsidRPr="00A73597">
        <w:rPr>
          <w:rFonts w:ascii="Times New Roman" w:hAnsi="Times New Roman" w:cs="Times New Roman"/>
          <w:sz w:val="20"/>
          <w:szCs w:val="20"/>
          <w:lang w:eastAsia="ja-JP"/>
        </w:rPr>
        <w:t xml:space="preserve">, </w:t>
      </w:r>
      <w:proofErr w:type="spellStart"/>
      <w:r w:rsidRPr="00A73597">
        <w:rPr>
          <w:rFonts w:ascii="Times New Roman" w:hAnsi="Times New Roman" w:cs="Times New Roman"/>
          <w:sz w:val="20"/>
          <w:szCs w:val="20"/>
        </w:rPr>
        <w:t>Masafumi</w:t>
      </w:r>
      <w:proofErr w:type="spellEnd"/>
      <w:r w:rsidRPr="00A73597">
        <w:rPr>
          <w:rFonts w:ascii="Times New Roman" w:hAnsi="Times New Roman" w:cs="Times New Roman"/>
          <w:sz w:val="20"/>
          <w:szCs w:val="20"/>
        </w:rPr>
        <w:t xml:space="preserve"> Yoshida, Kenji </w:t>
      </w:r>
      <w:proofErr w:type="spellStart"/>
      <w:r w:rsidRPr="00A73597">
        <w:rPr>
          <w:rFonts w:ascii="Times New Roman" w:hAnsi="Times New Roman" w:cs="Times New Roman"/>
          <w:sz w:val="20"/>
          <w:szCs w:val="20"/>
        </w:rPr>
        <w:t>Hanyu</w:t>
      </w:r>
      <w:proofErr w:type="spellEnd"/>
      <w:r w:rsidRPr="00A73597">
        <w:rPr>
          <w:rFonts w:ascii="Times New Roman" w:hAnsi="Times New Roman" w:cs="Times New Roman"/>
          <w:sz w:val="20"/>
          <w:szCs w:val="20"/>
        </w:rPr>
        <w:t xml:space="preserve">, Tsutomu Ueda, Hitoshi </w:t>
      </w:r>
      <w:proofErr w:type="spellStart"/>
      <w:r w:rsidRPr="00A73597">
        <w:rPr>
          <w:rFonts w:ascii="Times New Roman" w:hAnsi="Times New Roman" w:cs="Times New Roman"/>
          <w:sz w:val="20"/>
          <w:szCs w:val="20"/>
        </w:rPr>
        <w:t>Hirakawa</w:t>
      </w:r>
      <w:proofErr w:type="spellEnd"/>
      <w:r w:rsidRPr="00A735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73597">
        <w:rPr>
          <w:rFonts w:ascii="Times New Roman" w:hAnsi="Times New Roman" w:cs="Times New Roman"/>
          <w:sz w:val="20"/>
          <w:szCs w:val="20"/>
        </w:rPr>
        <w:t>Shunji</w:t>
      </w:r>
      <w:proofErr w:type="spellEnd"/>
      <w:r w:rsidRPr="00A73597">
        <w:rPr>
          <w:rFonts w:ascii="Times New Roman" w:hAnsi="Times New Roman" w:cs="Times New Roman"/>
          <w:sz w:val="20"/>
          <w:szCs w:val="20"/>
        </w:rPr>
        <w:t xml:space="preserve"> Takahashi, </w:t>
      </w:r>
      <w:proofErr w:type="spellStart"/>
      <w:r w:rsidRPr="00A73597">
        <w:rPr>
          <w:rFonts w:ascii="Times New Roman" w:hAnsi="Times New Roman" w:cs="Times New Roman"/>
          <w:sz w:val="20"/>
          <w:szCs w:val="20"/>
        </w:rPr>
        <w:t>Takeharu</w:t>
      </w:r>
      <w:proofErr w:type="spellEnd"/>
      <w:r w:rsidRPr="00A73597">
        <w:rPr>
          <w:rFonts w:ascii="Times New Roman" w:hAnsi="Times New Roman" w:cs="Times New Roman"/>
          <w:sz w:val="20"/>
          <w:szCs w:val="20"/>
        </w:rPr>
        <w:t xml:space="preserve"> Ono, Daisuke Sano</w:t>
      </w:r>
      <w:r w:rsidRPr="00A73597">
        <w:rPr>
          <w:rFonts w:ascii="Times New Roman" w:hAnsi="Times New Roman" w:cs="Times New Roman"/>
          <w:sz w:val="20"/>
          <w:szCs w:val="20"/>
          <w:lang w:eastAsia="ja-JP"/>
        </w:rPr>
        <w:t xml:space="preserve">, </w:t>
      </w:r>
      <w:proofErr w:type="spellStart"/>
      <w:r w:rsidRPr="00A73597">
        <w:rPr>
          <w:rFonts w:ascii="Times New Roman" w:hAnsi="Times New Roman" w:cs="Times New Roman"/>
          <w:sz w:val="20"/>
          <w:szCs w:val="20"/>
          <w:lang w:eastAsia="ja-JP"/>
        </w:rPr>
        <w:t>Moriyasu</w:t>
      </w:r>
      <w:proofErr w:type="spellEnd"/>
      <w:r w:rsidRPr="00A73597">
        <w:rPr>
          <w:rFonts w:ascii="Times New Roman" w:hAnsi="Times New Roman" w:cs="Times New Roman"/>
          <w:sz w:val="20"/>
          <w:szCs w:val="20"/>
          <w:lang w:eastAsia="ja-JP"/>
        </w:rPr>
        <w:t xml:space="preserve"> Yamauchi, </w:t>
      </w:r>
      <w:r w:rsidRPr="00A73597">
        <w:rPr>
          <w:rFonts w:ascii="Times New Roman" w:hAnsi="Times New Roman" w:cs="Times New Roman"/>
          <w:sz w:val="20"/>
          <w:szCs w:val="20"/>
        </w:rPr>
        <w:t>Akihito Watanabe, Koichi Omori, Tomoko Yamazaki,</w:t>
      </w:r>
      <w:r w:rsidRPr="00A73597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A73597">
        <w:rPr>
          <w:rFonts w:ascii="Times New Roman" w:hAnsi="Times New Roman" w:cs="Times New Roman"/>
          <w:sz w:val="20"/>
          <w:szCs w:val="20"/>
        </w:rPr>
        <w:t>Nobuya</w:t>
      </w:r>
      <w:proofErr w:type="spellEnd"/>
      <w:r w:rsidRPr="00A735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3597">
        <w:rPr>
          <w:rFonts w:ascii="Times New Roman" w:hAnsi="Times New Roman" w:cs="Times New Roman"/>
          <w:sz w:val="20"/>
          <w:szCs w:val="20"/>
        </w:rPr>
        <w:t>Monden</w:t>
      </w:r>
      <w:proofErr w:type="spellEnd"/>
      <w:r w:rsidRPr="00A73597">
        <w:rPr>
          <w:rFonts w:ascii="Times New Roman" w:hAnsi="Times New Roman" w:cs="Times New Roman"/>
          <w:sz w:val="20"/>
          <w:szCs w:val="20"/>
        </w:rPr>
        <w:t xml:space="preserve">, Naomi Kudo, Makoto Arai, </w:t>
      </w:r>
      <w:proofErr w:type="spellStart"/>
      <w:r w:rsidRPr="00A73597">
        <w:rPr>
          <w:rFonts w:ascii="Times New Roman" w:hAnsi="Times New Roman" w:cs="Times New Roman"/>
          <w:sz w:val="20"/>
          <w:szCs w:val="20"/>
        </w:rPr>
        <w:t>Daiju</w:t>
      </w:r>
      <w:proofErr w:type="spellEnd"/>
      <w:r w:rsidRPr="00A73597">
        <w:rPr>
          <w:rFonts w:ascii="Times New Roman" w:hAnsi="Times New Roman" w:cs="Times New Roman"/>
          <w:sz w:val="20"/>
          <w:szCs w:val="20"/>
        </w:rPr>
        <w:t xml:space="preserve"> Sakurai</w:t>
      </w:r>
      <w:r w:rsidRPr="00A73597">
        <w:rPr>
          <w:rFonts w:ascii="Times New Roman" w:hAnsi="Times New Roman" w:cs="Times New Roman"/>
          <w:sz w:val="20"/>
          <w:szCs w:val="20"/>
          <w:lang w:eastAsia="ja-JP"/>
        </w:rPr>
        <w:t xml:space="preserve">, </w:t>
      </w:r>
      <w:r w:rsidRPr="00A73597">
        <w:rPr>
          <w:rFonts w:ascii="Times New Roman" w:hAnsi="Times New Roman" w:cs="Times New Roman"/>
          <w:sz w:val="20"/>
          <w:szCs w:val="20"/>
        </w:rPr>
        <w:t xml:space="preserve">Takahiro </w:t>
      </w:r>
      <w:proofErr w:type="spellStart"/>
      <w:r w:rsidRPr="00A73597">
        <w:rPr>
          <w:rFonts w:ascii="Times New Roman" w:hAnsi="Times New Roman" w:cs="Times New Roman"/>
          <w:sz w:val="20"/>
          <w:szCs w:val="20"/>
        </w:rPr>
        <w:t>Asakage</w:t>
      </w:r>
      <w:proofErr w:type="spellEnd"/>
      <w:r w:rsidRPr="00A735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73597">
        <w:rPr>
          <w:rFonts w:ascii="Times New Roman" w:hAnsi="Times New Roman" w:cs="Times New Roman"/>
          <w:sz w:val="20"/>
          <w:szCs w:val="20"/>
        </w:rPr>
        <w:t>Issei</w:t>
      </w:r>
      <w:proofErr w:type="spellEnd"/>
      <w:r w:rsidRPr="00A73597">
        <w:rPr>
          <w:rFonts w:ascii="Times New Roman" w:hAnsi="Times New Roman" w:cs="Times New Roman"/>
          <w:sz w:val="20"/>
          <w:szCs w:val="20"/>
        </w:rPr>
        <w:t xml:space="preserve"> Doi, Takayuki Yamada</w:t>
      </w:r>
      <w:r w:rsidRPr="00A73597">
        <w:rPr>
          <w:rFonts w:ascii="Times New Roman" w:hAnsi="Times New Roman" w:cs="Times New Roman"/>
          <w:sz w:val="20"/>
          <w:szCs w:val="20"/>
          <w:lang w:eastAsia="ja-JP"/>
        </w:rPr>
        <w:t xml:space="preserve">, </w:t>
      </w:r>
      <w:r w:rsidRPr="00A73597">
        <w:rPr>
          <w:rFonts w:ascii="Times New Roman" w:hAnsi="Times New Roman" w:cs="Times New Roman"/>
          <w:sz w:val="20"/>
          <w:szCs w:val="20"/>
        </w:rPr>
        <w:t>Akihiro Homma</w:t>
      </w:r>
    </w:p>
    <w:p w:rsidR="00A73597" w:rsidRPr="00A73597" w:rsidRDefault="00A73597" w:rsidP="00A73597">
      <w:pPr>
        <w:rPr>
          <w:rFonts w:ascii="Times New Roman" w:hAnsi="Times New Roman" w:cs="Times New Roman"/>
          <w:sz w:val="20"/>
          <w:szCs w:val="20"/>
        </w:rPr>
      </w:pPr>
      <w:r w:rsidRPr="00A73597">
        <w:rPr>
          <w:rFonts w:ascii="Times New Roman" w:hAnsi="Times New Roman" w:cs="Times New Roman"/>
          <w:b/>
          <w:sz w:val="20"/>
          <w:szCs w:val="20"/>
        </w:rPr>
        <w:t>Corresponding Author:</w:t>
      </w:r>
      <w:r w:rsidRPr="00A73597">
        <w:rPr>
          <w:rFonts w:ascii="Times New Roman" w:hAnsi="Times New Roman" w:cs="Times New Roman"/>
          <w:sz w:val="20"/>
          <w:szCs w:val="20"/>
        </w:rPr>
        <w:t xml:space="preserve"> Akihiro Homma, E-mail: </w:t>
      </w:r>
      <w:hyperlink r:id="rId4" w:history="1">
        <w:r w:rsidRPr="00A73597">
          <w:rPr>
            <w:rStyle w:val="a3"/>
            <w:rFonts w:ascii="Times New Roman" w:hAnsi="Times New Roman" w:cs="Times New Roman"/>
            <w:sz w:val="20"/>
            <w:szCs w:val="20"/>
          </w:rPr>
          <w:t>ak-homma@med.hokudai.ac.jp</w:t>
        </w:r>
      </w:hyperlink>
    </w:p>
    <w:p w:rsidR="00A73597" w:rsidRDefault="00A73597">
      <w:pPr>
        <w:widowControl/>
        <w:spacing w:before="0" w:beforeAutospacing="0" w:after="160" w:afterAutospacing="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06890" w:rsidRPr="00A73597" w:rsidRDefault="00F06890" w:rsidP="00F06890">
      <w:pPr>
        <w:rPr>
          <w:rFonts w:ascii="Times New Roman" w:hAnsi="Times New Roman" w:cs="Times New Roman"/>
          <w:sz w:val="20"/>
          <w:szCs w:val="20"/>
        </w:rPr>
      </w:pPr>
      <w:r w:rsidRPr="00A73597">
        <w:rPr>
          <w:rFonts w:ascii="Times New Roman" w:hAnsi="Times New Roman" w:cs="Times New Roman"/>
          <w:b/>
          <w:sz w:val="20"/>
          <w:szCs w:val="20"/>
        </w:rPr>
        <w:lastRenderedPageBreak/>
        <w:t>Table S1.</w:t>
      </w:r>
      <w:r w:rsidRPr="00A73597">
        <w:rPr>
          <w:rFonts w:ascii="Times New Roman" w:hAnsi="Times New Roman" w:cs="Times New Roman"/>
          <w:sz w:val="20"/>
          <w:szCs w:val="20"/>
        </w:rPr>
        <w:t xml:space="preserve"> Nivolumab treatment parameters </w:t>
      </w:r>
    </w:p>
    <w:tbl>
      <w:tblPr>
        <w:tblW w:w="8046" w:type="dxa"/>
        <w:tblBorders>
          <w:top w:val="single" w:sz="8" w:space="0" w:color="000000"/>
          <w:bottom w:val="single" w:sz="8" w:space="0" w:color="000000"/>
        </w:tblBorders>
        <w:tblLook w:val="0600" w:firstRow="0" w:lastRow="0" w:firstColumn="0" w:lastColumn="0" w:noHBand="1" w:noVBand="1"/>
      </w:tblPr>
      <w:tblGrid>
        <w:gridCol w:w="4928"/>
        <w:gridCol w:w="3118"/>
      </w:tblGrid>
      <w:tr w:rsidR="00F06890" w:rsidRPr="00A73597" w:rsidTr="002029FF">
        <w:trPr>
          <w:trHeight w:val="396"/>
        </w:trPr>
        <w:tc>
          <w:tcPr>
            <w:tcW w:w="492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97">
              <w:rPr>
                <w:rFonts w:ascii="Times New Roman" w:hAnsi="Times New Roman" w:cs="Times New Roman"/>
                <w:b/>
                <w:sz w:val="20"/>
                <w:szCs w:val="20"/>
              </w:rPr>
              <w:t>Nivolumab</w:t>
            </w:r>
          </w:p>
        </w:tc>
      </w:tr>
      <w:tr w:rsidR="00F06890" w:rsidRPr="00A73597" w:rsidTr="002029FF">
        <w:trPr>
          <w:trHeight w:val="413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597">
              <w:rPr>
                <w:rFonts w:ascii="Times New Roman" w:hAnsi="Times New Roman" w:cs="Times New Roman"/>
                <w:sz w:val="20"/>
                <w:szCs w:val="20"/>
              </w:rPr>
              <w:t>Line of treatment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890" w:rsidRPr="00A73597" w:rsidTr="002029FF">
        <w:trPr>
          <w:trHeight w:val="413"/>
        </w:trPr>
        <w:tc>
          <w:tcPr>
            <w:tcW w:w="4928" w:type="dxa"/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597">
              <w:rPr>
                <w:rFonts w:ascii="Times New Roman" w:hAnsi="Times New Roman" w:cs="Times New Roman"/>
                <w:sz w:val="20"/>
                <w:szCs w:val="20"/>
              </w:rPr>
              <w:tab/>
              <w:t>Median (range)</w:t>
            </w:r>
          </w:p>
        </w:tc>
        <w:tc>
          <w:tcPr>
            <w:tcW w:w="3118" w:type="dxa"/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97">
              <w:rPr>
                <w:rFonts w:ascii="Times New Roman" w:hAnsi="Times New Roman" w:cs="Times New Roman"/>
                <w:sz w:val="20"/>
                <w:szCs w:val="20"/>
              </w:rPr>
              <w:t>2.0 (1–6)</w:t>
            </w:r>
          </w:p>
        </w:tc>
      </w:tr>
      <w:tr w:rsidR="00F06890" w:rsidRPr="00A73597" w:rsidTr="002029FF">
        <w:trPr>
          <w:trHeight w:val="413"/>
        </w:trPr>
        <w:tc>
          <w:tcPr>
            <w:tcW w:w="4928" w:type="dxa"/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597">
              <w:rPr>
                <w:rFonts w:ascii="Times New Roman" w:hAnsi="Times New Roman" w:cs="Times New Roman"/>
                <w:sz w:val="20"/>
                <w:szCs w:val="20"/>
              </w:rPr>
              <w:tab/>
              <w:t>IQR</w:t>
            </w:r>
          </w:p>
        </w:tc>
        <w:tc>
          <w:tcPr>
            <w:tcW w:w="3118" w:type="dxa"/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97">
              <w:rPr>
                <w:rFonts w:ascii="Times New Roman" w:hAnsi="Times New Roman" w:cs="Times New Roman"/>
                <w:sz w:val="20"/>
                <w:szCs w:val="20"/>
              </w:rPr>
              <w:t>1.0–3.0</w:t>
            </w:r>
          </w:p>
        </w:tc>
      </w:tr>
      <w:tr w:rsidR="00F06890" w:rsidRPr="00A73597" w:rsidTr="002029FF">
        <w:trPr>
          <w:trHeight w:val="413"/>
        </w:trPr>
        <w:tc>
          <w:tcPr>
            <w:tcW w:w="4928" w:type="dxa"/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59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Mean (SD) </w:t>
            </w:r>
          </w:p>
        </w:tc>
        <w:tc>
          <w:tcPr>
            <w:tcW w:w="3118" w:type="dxa"/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97">
              <w:rPr>
                <w:rFonts w:ascii="Times New Roman" w:hAnsi="Times New Roman" w:cs="Times New Roman"/>
                <w:sz w:val="20"/>
                <w:szCs w:val="20"/>
              </w:rPr>
              <w:t>2.2 (1.1)</w:t>
            </w:r>
          </w:p>
        </w:tc>
      </w:tr>
      <w:tr w:rsidR="00F06890" w:rsidRPr="00A73597" w:rsidTr="002029FF">
        <w:trPr>
          <w:trHeight w:val="413"/>
        </w:trPr>
        <w:tc>
          <w:tcPr>
            <w:tcW w:w="4928" w:type="dxa"/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597">
              <w:rPr>
                <w:rFonts w:ascii="Times New Roman" w:hAnsi="Times New Roman" w:cs="Times New Roman"/>
                <w:sz w:val="20"/>
                <w:szCs w:val="20"/>
              </w:rPr>
              <w:t>Number of doses</w:t>
            </w:r>
          </w:p>
        </w:tc>
        <w:tc>
          <w:tcPr>
            <w:tcW w:w="3118" w:type="dxa"/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890" w:rsidRPr="00A73597" w:rsidTr="002029FF">
        <w:trPr>
          <w:trHeight w:val="413"/>
        </w:trPr>
        <w:tc>
          <w:tcPr>
            <w:tcW w:w="4928" w:type="dxa"/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597">
              <w:rPr>
                <w:rFonts w:ascii="Times New Roman" w:hAnsi="Times New Roman" w:cs="Times New Roman"/>
                <w:sz w:val="20"/>
                <w:szCs w:val="20"/>
              </w:rPr>
              <w:tab/>
              <w:t>Median (range)</w:t>
            </w:r>
          </w:p>
        </w:tc>
        <w:tc>
          <w:tcPr>
            <w:tcW w:w="3118" w:type="dxa"/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97">
              <w:rPr>
                <w:rFonts w:ascii="Times New Roman" w:hAnsi="Times New Roman" w:cs="Times New Roman"/>
                <w:sz w:val="20"/>
                <w:szCs w:val="20"/>
              </w:rPr>
              <w:t>6.0 (1–27)</w:t>
            </w:r>
          </w:p>
        </w:tc>
      </w:tr>
      <w:tr w:rsidR="00F06890" w:rsidRPr="00A73597" w:rsidTr="002029FF">
        <w:trPr>
          <w:trHeight w:val="413"/>
        </w:trPr>
        <w:tc>
          <w:tcPr>
            <w:tcW w:w="4928" w:type="dxa"/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597">
              <w:rPr>
                <w:rFonts w:ascii="Times New Roman" w:hAnsi="Times New Roman" w:cs="Times New Roman"/>
                <w:sz w:val="20"/>
                <w:szCs w:val="20"/>
              </w:rPr>
              <w:tab/>
              <w:t>IQR</w:t>
            </w:r>
          </w:p>
        </w:tc>
        <w:tc>
          <w:tcPr>
            <w:tcW w:w="3118" w:type="dxa"/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97">
              <w:rPr>
                <w:rFonts w:ascii="Times New Roman" w:hAnsi="Times New Roman" w:cs="Times New Roman"/>
                <w:sz w:val="20"/>
                <w:szCs w:val="20"/>
              </w:rPr>
              <w:t>3.0–12.0</w:t>
            </w:r>
          </w:p>
        </w:tc>
      </w:tr>
      <w:tr w:rsidR="00F06890" w:rsidRPr="00A73597" w:rsidTr="002029FF">
        <w:trPr>
          <w:trHeight w:val="413"/>
        </w:trPr>
        <w:tc>
          <w:tcPr>
            <w:tcW w:w="4928" w:type="dxa"/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59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Mean (SD) </w:t>
            </w:r>
          </w:p>
        </w:tc>
        <w:tc>
          <w:tcPr>
            <w:tcW w:w="3118" w:type="dxa"/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97">
              <w:rPr>
                <w:rFonts w:ascii="Times New Roman" w:hAnsi="Times New Roman" w:cs="Times New Roman"/>
                <w:sz w:val="20"/>
                <w:szCs w:val="20"/>
              </w:rPr>
              <w:t>8.9 (7.8)</w:t>
            </w:r>
          </w:p>
        </w:tc>
      </w:tr>
      <w:tr w:rsidR="00F06890" w:rsidRPr="00A73597" w:rsidTr="002029FF">
        <w:trPr>
          <w:trHeight w:val="413"/>
        </w:trPr>
        <w:tc>
          <w:tcPr>
            <w:tcW w:w="4928" w:type="dxa"/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597">
              <w:rPr>
                <w:rFonts w:ascii="Times New Roman" w:hAnsi="Times New Roman" w:cs="Times New Roman"/>
                <w:sz w:val="20"/>
                <w:szCs w:val="20"/>
              </w:rPr>
              <w:t>Duration of administration (days)</w:t>
            </w:r>
          </w:p>
        </w:tc>
        <w:tc>
          <w:tcPr>
            <w:tcW w:w="3118" w:type="dxa"/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890" w:rsidRPr="00A73597" w:rsidTr="002029FF">
        <w:trPr>
          <w:trHeight w:val="413"/>
        </w:trPr>
        <w:tc>
          <w:tcPr>
            <w:tcW w:w="4928" w:type="dxa"/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597">
              <w:rPr>
                <w:rFonts w:ascii="Times New Roman" w:hAnsi="Times New Roman" w:cs="Times New Roman"/>
                <w:sz w:val="20"/>
                <w:szCs w:val="20"/>
              </w:rPr>
              <w:tab/>
              <w:t>Median (range)</w:t>
            </w:r>
          </w:p>
        </w:tc>
        <w:tc>
          <w:tcPr>
            <w:tcW w:w="3118" w:type="dxa"/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97">
              <w:rPr>
                <w:rFonts w:ascii="Times New Roman" w:hAnsi="Times New Roman" w:cs="Times New Roman"/>
                <w:sz w:val="20"/>
                <w:szCs w:val="20"/>
              </w:rPr>
              <w:t>72.5 (1–380)</w:t>
            </w:r>
          </w:p>
        </w:tc>
      </w:tr>
      <w:tr w:rsidR="00F06890" w:rsidRPr="00A73597" w:rsidTr="002029FF">
        <w:trPr>
          <w:trHeight w:val="413"/>
        </w:trPr>
        <w:tc>
          <w:tcPr>
            <w:tcW w:w="4928" w:type="dxa"/>
            <w:shd w:val="clear" w:color="auto" w:fill="auto"/>
          </w:tcPr>
          <w:p w:rsidR="00F06890" w:rsidRPr="00A73597" w:rsidRDefault="00F06890" w:rsidP="002029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597">
              <w:rPr>
                <w:rFonts w:ascii="Times New Roman" w:hAnsi="Times New Roman" w:cs="Times New Roman"/>
                <w:sz w:val="20"/>
                <w:szCs w:val="20"/>
              </w:rPr>
              <w:tab/>
              <w:t>IQR</w:t>
            </w:r>
          </w:p>
        </w:tc>
        <w:tc>
          <w:tcPr>
            <w:tcW w:w="3118" w:type="dxa"/>
            <w:shd w:val="clear" w:color="auto" w:fill="auto"/>
          </w:tcPr>
          <w:p w:rsidR="00F06890" w:rsidRPr="00A73597" w:rsidRDefault="00F06890" w:rsidP="002029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97">
              <w:rPr>
                <w:rFonts w:ascii="Times New Roman" w:hAnsi="Times New Roman" w:cs="Times New Roman"/>
                <w:sz w:val="20"/>
                <w:szCs w:val="20"/>
              </w:rPr>
              <w:t>31.5–173.0</w:t>
            </w:r>
          </w:p>
        </w:tc>
      </w:tr>
      <w:tr w:rsidR="00F06890" w:rsidRPr="00A73597" w:rsidTr="002029FF">
        <w:trPr>
          <w:trHeight w:val="413"/>
        </w:trPr>
        <w:tc>
          <w:tcPr>
            <w:tcW w:w="4928" w:type="dxa"/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597">
              <w:rPr>
                <w:rFonts w:ascii="Times New Roman" w:hAnsi="Times New Roman" w:cs="Times New Roman"/>
                <w:sz w:val="20"/>
                <w:szCs w:val="20"/>
              </w:rPr>
              <w:tab/>
              <w:t>Mean (SD)</w:t>
            </w:r>
          </w:p>
        </w:tc>
        <w:tc>
          <w:tcPr>
            <w:tcW w:w="3118" w:type="dxa"/>
            <w:shd w:val="clear" w:color="auto" w:fill="auto"/>
            <w:hideMark/>
          </w:tcPr>
          <w:p w:rsidR="00F06890" w:rsidRPr="00A73597" w:rsidRDefault="00F06890" w:rsidP="002029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597">
              <w:rPr>
                <w:rFonts w:ascii="Times New Roman" w:hAnsi="Times New Roman" w:cs="Times New Roman"/>
                <w:sz w:val="20"/>
                <w:szCs w:val="20"/>
              </w:rPr>
              <w:t>122.9 (120.2)</w:t>
            </w:r>
          </w:p>
        </w:tc>
      </w:tr>
    </w:tbl>
    <w:p w:rsidR="00F06890" w:rsidRDefault="00F06890" w:rsidP="00F06890">
      <w:pPr>
        <w:rPr>
          <w:rFonts w:ascii="Times New Roman" w:hAnsi="Times New Roman" w:cs="Times New Roman"/>
          <w:sz w:val="20"/>
          <w:szCs w:val="20"/>
        </w:rPr>
      </w:pPr>
      <w:r w:rsidRPr="00A73597">
        <w:rPr>
          <w:rFonts w:ascii="Times New Roman" w:hAnsi="Times New Roman" w:cs="Times New Roman"/>
          <w:sz w:val="20"/>
          <w:szCs w:val="20"/>
        </w:rPr>
        <w:t>IQR, interquartile range; SD, standard deviation</w:t>
      </w:r>
    </w:p>
    <w:p w:rsidR="00A46087" w:rsidRDefault="00A46087" w:rsidP="00F06890">
      <w:pPr>
        <w:rPr>
          <w:rFonts w:ascii="Times New Roman" w:hAnsi="Times New Roman" w:cs="Times New Roman"/>
          <w:sz w:val="20"/>
          <w:szCs w:val="20"/>
        </w:rPr>
      </w:pPr>
    </w:p>
    <w:p w:rsidR="00A46087" w:rsidRDefault="00A46087">
      <w:pPr>
        <w:widowControl/>
        <w:spacing w:before="0" w:beforeAutospacing="0" w:after="160" w:afterAutospacing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46087" w:rsidRDefault="00A46087" w:rsidP="00F06890">
      <w:pPr>
        <w:rPr>
          <w:rFonts w:ascii="Times New Roman" w:hAnsi="Times New Roman" w:cs="Times New Roman"/>
          <w:sz w:val="20"/>
          <w:szCs w:val="20"/>
        </w:rPr>
      </w:pPr>
      <w:r w:rsidRPr="00A4608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DC5B3F">
        <w:rPr>
          <w:rFonts w:ascii="Times New Roman" w:hAnsi="Times New Roman" w:cs="Times New Roman"/>
          <w:b/>
          <w:sz w:val="20"/>
          <w:szCs w:val="20"/>
        </w:rPr>
        <w:t>S</w:t>
      </w:r>
      <w:r w:rsidRPr="00A46087">
        <w:rPr>
          <w:rFonts w:ascii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Primary site and histology of patients with non-squamous cell carcinoma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4260"/>
        <w:gridCol w:w="1350"/>
      </w:tblGrid>
      <w:tr w:rsidR="00A46087" w:rsidRPr="00A46087" w:rsidTr="00A46087">
        <w:trPr>
          <w:trHeight w:val="270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46087" w:rsidRPr="00A46087" w:rsidRDefault="00A46087" w:rsidP="00A46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ANGE!A1:C21"/>
            <w:r w:rsidRPr="00A4608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Primary site</w:t>
            </w:r>
            <w:bookmarkEnd w:id="1"/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46087" w:rsidRPr="00A46087" w:rsidRDefault="00A46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Histology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46087" w:rsidRPr="00A46087" w:rsidRDefault="00A46087" w:rsidP="00A46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/>
                <w:b/>
                <w:sz w:val="20"/>
                <w:szCs w:val="20"/>
              </w:rPr>
              <w:t>No. of cases</w:t>
            </w:r>
          </w:p>
        </w:tc>
      </w:tr>
      <w:tr w:rsidR="00A46087" w:rsidRPr="00A46087" w:rsidTr="00A46087">
        <w:trPr>
          <w:trHeight w:val="270"/>
        </w:trPr>
        <w:tc>
          <w:tcPr>
            <w:tcW w:w="2040" w:type="dxa"/>
            <w:tcBorders>
              <w:top w:val="single" w:sz="4" w:space="0" w:color="auto"/>
            </w:tcBorders>
            <w:hideMark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Salivary gland</w:t>
            </w:r>
          </w:p>
        </w:tc>
        <w:tc>
          <w:tcPr>
            <w:tcW w:w="4260" w:type="dxa"/>
            <w:tcBorders>
              <w:top w:val="single" w:sz="4" w:space="0" w:color="auto"/>
            </w:tcBorders>
            <w:noWrap/>
            <w:hideMark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Salivary duct cancer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46087" w:rsidRPr="00A46087" w:rsidRDefault="00A46087" w:rsidP="00A4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</w:tr>
      <w:tr w:rsidR="00A46087" w:rsidRPr="00A46087" w:rsidTr="00A46087">
        <w:trPr>
          <w:trHeight w:val="270"/>
        </w:trPr>
        <w:tc>
          <w:tcPr>
            <w:tcW w:w="2040" w:type="dxa"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noWrap/>
            <w:hideMark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denocarcinoma</w:t>
            </w:r>
          </w:p>
        </w:tc>
        <w:tc>
          <w:tcPr>
            <w:tcW w:w="1350" w:type="dxa"/>
            <w:noWrap/>
            <w:hideMark/>
          </w:tcPr>
          <w:p w:rsidR="00A46087" w:rsidRPr="00A46087" w:rsidRDefault="00A46087" w:rsidP="00A4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</w:tr>
      <w:tr w:rsidR="00A46087" w:rsidRPr="00A46087" w:rsidTr="00A46087">
        <w:trPr>
          <w:trHeight w:val="270"/>
        </w:trPr>
        <w:tc>
          <w:tcPr>
            <w:tcW w:w="2040" w:type="dxa"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noWrap/>
            <w:hideMark/>
          </w:tcPr>
          <w:p w:rsidR="00A46087" w:rsidRPr="00A46087" w:rsidRDefault="00A46087" w:rsidP="00535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denocarcinoma</w:t>
            </w:r>
            <w:r w:rsidR="00535D30">
              <w:rPr>
                <w:rFonts w:ascii="Times New Roman" w:hAnsi="Times New Roman" w:cs="Times New Roman"/>
                <w:sz w:val="20"/>
                <w:szCs w:val="20"/>
              </w:rPr>
              <w:t xml:space="preserve"> (not otherwise specified)</w:t>
            </w:r>
          </w:p>
        </w:tc>
        <w:tc>
          <w:tcPr>
            <w:tcW w:w="1350" w:type="dxa"/>
            <w:noWrap/>
            <w:hideMark/>
          </w:tcPr>
          <w:p w:rsidR="00A46087" w:rsidRPr="00A46087" w:rsidRDefault="00A46087" w:rsidP="00A4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</w:tr>
      <w:tr w:rsidR="00A46087" w:rsidRPr="00A46087" w:rsidTr="00A46087">
        <w:trPr>
          <w:trHeight w:val="270"/>
        </w:trPr>
        <w:tc>
          <w:tcPr>
            <w:tcW w:w="2040" w:type="dxa"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noWrap/>
            <w:hideMark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Mucoepidermoid carcinoma</w:t>
            </w:r>
          </w:p>
        </w:tc>
        <w:tc>
          <w:tcPr>
            <w:tcW w:w="1350" w:type="dxa"/>
            <w:noWrap/>
            <w:hideMark/>
          </w:tcPr>
          <w:p w:rsidR="00A46087" w:rsidRPr="00A46087" w:rsidRDefault="00A46087" w:rsidP="00A4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</w:tr>
      <w:tr w:rsidR="00A46087" w:rsidRPr="00A46087" w:rsidTr="00A46087">
        <w:trPr>
          <w:trHeight w:val="270"/>
        </w:trPr>
        <w:tc>
          <w:tcPr>
            <w:tcW w:w="2040" w:type="dxa"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noWrap/>
            <w:hideMark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arotid gland cancer</w:t>
            </w:r>
          </w:p>
        </w:tc>
        <w:tc>
          <w:tcPr>
            <w:tcW w:w="1350" w:type="dxa"/>
            <w:noWrap/>
            <w:hideMark/>
          </w:tcPr>
          <w:p w:rsidR="00A46087" w:rsidRPr="00A46087" w:rsidRDefault="00A46087" w:rsidP="00A4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A46087" w:rsidRPr="00A46087" w:rsidTr="00A46087">
        <w:trPr>
          <w:trHeight w:val="270"/>
        </w:trPr>
        <w:tc>
          <w:tcPr>
            <w:tcW w:w="2040" w:type="dxa"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noWrap/>
            <w:hideMark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arotid duct cancer</w:t>
            </w:r>
          </w:p>
        </w:tc>
        <w:tc>
          <w:tcPr>
            <w:tcW w:w="1350" w:type="dxa"/>
            <w:noWrap/>
            <w:hideMark/>
          </w:tcPr>
          <w:p w:rsidR="00A46087" w:rsidRPr="00A46087" w:rsidRDefault="00A46087" w:rsidP="00A4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A46087" w:rsidRPr="00A46087" w:rsidTr="00A46087">
        <w:trPr>
          <w:trHeight w:val="270"/>
        </w:trPr>
        <w:tc>
          <w:tcPr>
            <w:tcW w:w="2040" w:type="dxa"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noWrap/>
            <w:hideMark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Adenoid cystic carcinoma</w:t>
            </w:r>
          </w:p>
        </w:tc>
        <w:tc>
          <w:tcPr>
            <w:tcW w:w="1350" w:type="dxa"/>
            <w:noWrap/>
            <w:hideMark/>
          </w:tcPr>
          <w:p w:rsidR="00A46087" w:rsidRPr="00A46087" w:rsidRDefault="00A46087" w:rsidP="00A4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A46087" w:rsidRPr="00A46087" w:rsidTr="00A46087">
        <w:trPr>
          <w:trHeight w:val="513"/>
        </w:trPr>
        <w:tc>
          <w:tcPr>
            <w:tcW w:w="2040" w:type="dxa"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hideMark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Poorly differentiated carcinoma</w:t>
            </w:r>
          </w:p>
        </w:tc>
        <w:tc>
          <w:tcPr>
            <w:tcW w:w="1350" w:type="dxa"/>
            <w:noWrap/>
            <w:hideMark/>
          </w:tcPr>
          <w:p w:rsidR="00A46087" w:rsidRPr="00A46087" w:rsidRDefault="00A46087" w:rsidP="00A4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A46087" w:rsidRPr="00A46087" w:rsidTr="00A46087">
        <w:trPr>
          <w:trHeight w:val="270"/>
        </w:trPr>
        <w:tc>
          <w:tcPr>
            <w:tcW w:w="2040" w:type="dxa"/>
            <w:noWrap/>
            <w:hideMark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Maxillary sinus</w:t>
            </w:r>
          </w:p>
        </w:tc>
        <w:tc>
          <w:tcPr>
            <w:tcW w:w="4260" w:type="dxa"/>
            <w:noWrap/>
            <w:hideMark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yoepithelioma</w:t>
            </w:r>
          </w:p>
        </w:tc>
        <w:tc>
          <w:tcPr>
            <w:tcW w:w="1350" w:type="dxa"/>
            <w:noWrap/>
            <w:hideMark/>
          </w:tcPr>
          <w:p w:rsidR="00A46087" w:rsidRPr="00A46087" w:rsidRDefault="00A46087" w:rsidP="00A4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A46087" w:rsidRPr="00A46087" w:rsidTr="00A46087">
        <w:trPr>
          <w:trHeight w:val="270"/>
        </w:trPr>
        <w:tc>
          <w:tcPr>
            <w:tcW w:w="2040" w:type="dxa"/>
            <w:noWrap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noWrap/>
            <w:hideMark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euroendocrine carcinoma</w:t>
            </w:r>
          </w:p>
        </w:tc>
        <w:tc>
          <w:tcPr>
            <w:tcW w:w="1350" w:type="dxa"/>
            <w:noWrap/>
            <w:hideMark/>
          </w:tcPr>
          <w:p w:rsidR="00A46087" w:rsidRPr="00A46087" w:rsidRDefault="00A46087" w:rsidP="00A4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A46087" w:rsidRPr="00A46087" w:rsidTr="00A46087">
        <w:trPr>
          <w:trHeight w:val="270"/>
        </w:trPr>
        <w:tc>
          <w:tcPr>
            <w:tcW w:w="2040" w:type="dxa"/>
            <w:noWrap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noWrap/>
            <w:hideMark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Adenoid cystic carcinoma</w:t>
            </w:r>
          </w:p>
        </w:tc>
        <w:tc>
          <w:tcPr>
            <w:tcW w:w="1350" w:type="dxa"/>
            <w:noWrap/>
            <w:hideMark/>
          </w:tcPr>
          <w:p w:rsidR="00A46087" w:rsidRPr="00A46087" w:rsidRDefault="00A46087" w:rsidP="00A4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A46087" w:rsidRPr="00A46087" w:rsidTr="00A46087">
        <w:trPr>
          <w:trHeight w:val="270"/>
        </w:trPr>
        <w:tc>
          <w:tcPr>
            <w:tcW w:w="2040" w:type="dxa"/>
            <w:noWrap/>
            <w:hideMark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Hypopharynx</w:t>
            </w:r>
          </w:p>
        </w:tc>
        <w:tc>
          <w:tcPr>
            <w:tcW w:w="4260" w:type="dxa"/>
            <w:noWrap/>
            <w:hideMark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ymphoepithelioma</w:t>
            </w:r>
          </w:p>
        </w:tc>
        <w:tc>
          <w:tcPr>
            <w:tcW w:w="1350" w:type="dxa"/>
            <w:noWrap/>
            <w:hideMark/>
          </w:tcPr>
          <w:p w:rsidR="00A46087" w:rsidRPr="00A46087" w:rsidRDefault="00A46087" w:rsidP="00A4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A46087" w:rsidRPr="00A46087" w:rsidTr="00A46087">
        <w:trPr>
          <w:trHeight w:val="270"/>
        </w:trPr>
        <w:tc>
          <w:tcPr>
            <w:tcW w:w="2040" w:type="dxa"/>
            <w:noWrap/>
            <w:hideMark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noWrap/>
            <w:hideMark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euroendocrine carcinoma</w:t>
            </w:r>
          </w:p>
        </w:tc>
        <w:tc>
          <w:tcPr>
            <w:tcW w:w="1350" w:type="dxa"/>
            <w:noWrap/>
            <w:hideMark/>
          </w:tcPr>
          <w:p w:rsidR="00A46087" w:rsidRPr="00A46087" w:rsidRDefault="00A46087" w:rsidP="00A4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A46087" w:rsidRPr="00A46087" w:rsidTr="00A46087">
        <w:trPr>
          <w:trHeight w:val="540"/>
        </w:trPr>
        <w:tc>
          <w:tcPr>
            <w:tcW w:w="2040" w:type="dxa"/>
            <w:hideMark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Oropharyngeal</w:t>
            </w:r>
          </w:p>
        </w:tc>
        <w:tc>
          <w:tcPr>
            <w:tcW w:w="4260" w:type="dxa"/>
            <w:noWrap/>
            <w:hideMark/>
          </w:tcPr>
          <w:p w:rsidR="00A46087" w:rsidRPr="00A46087" w:rsidRDefault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Adenoid cystic carcinoma</w:t>
            </w:r>
          </w:p>
        </w:tc>
        <w:tc>
          <w:tcPr>
            <w:tcW w:w="1350" w:type="dxa"/>
            <w:noWrap/>
            <w:hideMark/>
          </w:tcPr>
          <w:p w:rsidR="00A46087" w:rsidRPr="00A46087" w:rsidRDefault="00A46087" w:rsidP="00A4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A46087" w:rsidRPr="00A46087" w:rsidTr="00A46087">
        <w:trPr>
          <w:trHeight w:val="540"/>
        </w:trPr>
        <w:tc>
          <w:tcPr>
            <w:tcW w:w="2040" w:type="dxa"/>
          </w:tcPr>
          <w:p w:rsidR="00A46087" w:rsidRPr="00A46087" w:rsidRDefault="00A46087" w:rsidP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noWrap/>
          </w:tcPr>
          <w:p w:rsidR="00A46087" w:rsidRPr="00A46087" w:rsidRDefault="00A46087" w:rsidP="00A4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Salivary duct cancer</w:t>
            </w:r>
          </w:p>
        </w:tc>
        <w:tc>
          <w:tcPr>
            <w:tcW w:w="1350" w:type="dxa"/>
            <w:noWrap/>
          </w:tcPr>
          <w:p w:rsidR="00A46087" w:rsidRPr="00A46087" w:rsidRDefault="00A46087" w:rsidP="00A4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A46087" w:rsidRPr="00A46087" w:rsidTr="00A46087">
        <w:trPr>
          <w:trHeight w:val="270"/>
        </w:trPr>
        <w:tc>
          <w:tcPr>
            <w:tcW w:w="2040" w:type="dxa"/>
            <w:noWrap/>
            <w:hideMark/>
          </w:tcPr>
          <w:p w:rsidR="00A46087" w:rsidRPr="00A46087" w:rsidRDefault="00A46087" w:rsidP="005E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Other</w:t>
            </w:r>
          </w:p>
        </w:tc>
        <w:tc>
          <w:tcPr>
            <w:tcW w:w="4260" w:type="dxa"/>
            <w:noWrap/>
            <w:hideMark/>
          </w:tcPr>
          <w:p w:rsidR="00A46087" w:rsidRPr="00A46087" w:rsidRDefault="00A46087" w:rsidP="005E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/>
                <w:sz w:val="20"/>
                <w:szCs w:val="20"/>
              </w:rPr>
              <w:t>Myoepithelioma</w:t>
            </w:r>
          </w:p>
        </w:tc>
        <w:tc>
          <w:tcPr>
            <w:tcW w:w="1350" w:type="dxa"/>
            <w:noWrap/>
            <w:hideMark/>
          </w:tcPr>
          <w:p w:rsidR="00A46087" w:rsidRPr="00A46087" w:rsidRDefault="00A46087" w:rsidP="00A4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A46087" w:rsidRPr="00A46087" w:rsidTr="00A46087">
        <w:trPr>
          <w:trHeight w:val="270"/>
        </w:trPr>
        <w:tc>
          <w:tcPr>
            <w:tcW w:w="2040" w:type="dxa"/>
            <w:noWrap/>
          </w:tcPr>
          <w:p w:rsidR="00A46087" w:rsidRPr="00A46087" w:rsidRDefault="00A46087" w:rsidP="005E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noWrap/>
            <w:hideMark/>
          </w:tcPr>
          <w:p w:rsidR="00A46087" w:rsidRPr="00A46087" w:rsidRDefault="00A46087" w:rsidP="005E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6087">
              <w:rPr>
                <w:rFonts w:ascii="Times New Roman" w:hAnsi="Times New Roman" w:cs="Times New Roman"/>
                <w:sz w:val="20"/>
                <w:szCs w:val="20"/>
              </w:rPr>
              <w:t>denocarcinom</w:t>
            </w: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350" w:type="dxa"/>
            <w:noWrap/>
            <w:hideMark/>
          </w:tcPr>
          <w:p w:rsidR="00A46087" w:rsidRPr="00A46087" w:rsidRDefault="00A46087" w:rsidP="00A4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A46087" w:rsidRPr="00A46087" w:rsidTr="00A46087">
        <w:trPr>
          <w:trHeight w:val="469"/>
        </w:trPr>
        <w:tc>
          <w:tcPr>
            <w:tcW w:w="2040" w:type="dxa"/>
            <w:noWrap/>
          </w:tcPr>
          <w:p w:rsidR="00A46087" w:rsidRPr="00A46087" w:rsidRDefault="00A46087" w:rsidP="005E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noWrap/>
            <w:hideMark/>
          </w:tcPr>
          <w:p w:rsidR="00A46087" w:rsidRPr="00A46087" w:rsidRDefault="00A46087" w:rsidP="005E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denoid cystic carcinoma (unknown primary site)</w:t>
            </w:r>
          </w:p>
        </w:tc>
        <w:tc>
          <w:tcPr>
            <w:tcW w:w="1350" w:type="dxa"/>
            <w:noWrap/>
            <w:hideMark/>
          </w:tcPr>
          <w:p w:rsidR="00A46087" w:rsidRPr="00A46087" w:rsidRDefault="00A46087" w:rsidP="00A4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A46087" w:rsidRPr="00A46087" w:rsidTr="00A46087">
        <w:trPr>
          <w:trHeight w:val="270"/>
        </w:trPr>
        <w:tc>
          <w:tcPr>
            <w:tcW w:w="2040" w:type="dxa"/>
            <w:noWrap/>
          </w:tcPr>
          <w:p w:rsidR="00A46087" w:rsidRPr="00A46087" w:rsidRDefault="00A46087" w:rsidP="005E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noWrap/>
            <w:hideMark/>
          </w:tcPr>
          <w:p w:rsidR="00A46087" w:rsidRPr="00A46087" w:rsidRDefault="00A46087" w:rsidP="005E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ndifferentiated carcinoma</w:t>
            </w:r>
          </w:p>
        </w:tc>
        <w:tc>
          <w:tcPr>
            <w:tcW w:w="1350" w:type="dxa"/>
            <w:noWrap/>
            <w:hideMark/>
          </w:tcPr>
          <w:p w:rsidR="00A46087" w:rsidRPr="00A46087" w:rsidRDefault="00A46087" w:rsidP="00A4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A46087" w:rsidRPr="00A46087" w:rsidTr="00A46087">
        <w:trPr>
          <w:trHeight w:val="270"/>
        </w:trPr>
        <w:tc>
          <w:tcPr>
            <w:tcW w:w="2040" w:type="dxa"/>
            <w:tcBorders>
              <w:bottom w:val="single" w:sz="4" w:space="0" w:color="auto"/>
            </w:tcBorders>
            <w:noWrap/>
          </w:tcPr>
          <w:p w:rsidR="00A46087" w:rsidRPr="00A46087" w:rsidRDefault="00A46087" w:rsidP="005E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4" w:space="0" w:color="auto"/>
            </w:tcBorders>
            <w:noWrap/>
            <w:hideMark/>
          </w:tcPr>
          <w:p w:rsidR="00A46087" w:rsidRPr="00A46087" w:rsidRDefault="00A46087" w:rsidP="005E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lfactory neuroblastoma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:rsidR="00A46087" w:rsidRPr="00A46087" w:rsidRDefault="00A46087" w:rsidP="00A4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8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</w:tbl>
    <w:p w:rsidR="00A46087" w:rsidRPr="00A73597" w:rsidRDefault="00A46087" w:rsidP="00F06890">
      <w:pPr>
        <w:rPr>
          <w:rFonts w:ascii="Times New Roman" w:hAnsi="Times New Roman" w:cs="Times New Roman"/>
          <w:sz w:val="20"/>
          <w:szCs w:val="20"/>
        </w:rPr>
      </w:pPr>
    </w:p>
    <w:p w:rsidR="00797ED7" w:rsidRDefault="00797ED7">
      <w:pPr>
        <w:widowControl/>
        <w:spacing w:before="0" w:beforeAutospacing="0" w:after="160" w:afterAutospacing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97ED7" w:rsidRPr="00797ED7" w:rsidRDefault="00797ED7" w:rsidP="00797ED7">
      <w:pPr>
        <w:rPr>
          <w:rFonts w:ascii="Times New Roman" w:hAnsi="Times New Roman" w:cs="Times New Roman"/>
          <w:sz w:val="20"/>
          <w:szCs w:val="20"/>
        </w:rPr>
      </w:pPr>
      <w:r w:rsidRPr="00797ED7">
        <w:rPr>
          <w:rFonts w:ascii="Times New Roman" w:hAnsi="Times New Roman" w:cs="Times New Roman"/>
          <w:b/>
          <w:sz w:val="20"/>
          <w:szCs w:val="20"/>
        </w:rPr>
        <w:lastRenderedPageBreak/>
        <w:t>Figure S1.</w:t>
      </w:r>
      <w:r w:rsidRPr="00797ED7">
        <w:rPr>
          <w:rFonts w:ascii="Times New Roman" w:hAnsi="Times New Roman" w:cs="Times New Roman"/>
          <w:sz w:val="20"/>
          <w:szCs w:val="20"/>
        </w:rPr>
        <w:t xml:space="preserve"> (A) Overall response rate (B) progression-free survival and (C) overall survival among patients according to histology status. BOR, best overall response; CR, complete response; ECOG PS, Eastern Cooperative Oncology Group performance status; NR, not reached; ORR, objective response rate; OS, overall survival; PD, progressive disease; PFS, progression-free survival; PR, partial response; SCC, squamous cell carcinoma; SD, stable disease.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7ED7">
        <w:rPr>
          <w:rFonts w:ascii="Times New Roman" w:hAnsi="Times New Roman" w:cs="Times New Roman"/>
          <w:sz w:val="20"/>
          <w:szCs w:val="20"/>
        </w:rPr>
        <w:t>*log-rank test</w:t>
      </w:r>
    </w:p>
    <w:p w:rsidR="00797ED7" w:rsidRPr="00797ED7" w:rsidRDefault="00797ED7" w:rsidP="00797ED7">
      <w:pPr>
        <w:rPr>
          <w:rFonts w:ascii="Times New Roman" w:hAnsi="Times New Roman" w:cs="Times New Roman"/>
          <w:sz w:val="20"/>
          <w:szCs w:val="20"/>
        </w:rPr>
      </w:pPr>
      <w:r w:rsidRPr="00797ED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759F7AC" wp14:editId="10920DC3">
            <wp:extent cx="3929960" cy="714375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996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ED7" w:rsidRPr="00797ED7" w:rsidSect="00544BE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4185CC7-D42C-45FC-9FB2-7DBA622E0A5E}"/>
    <w:docVar w:name="dgnword-eventsink" w:val="2289450742000"/>
  </w:docVars>
  <w:rsids>
    <w:rsidRoot w:val="00F06890"/>
    <w:rsid w:val="0034206B"/>
    <w:rsid w:val="004411ED"/>
    <w:rsid w:val="004C11CB"/>
    <w:rsid w:val="00535D30"/>
    <w:rsid w:val="00544BE6"/>
    <w:rsid w:val="00784880"/>
    <w:rsid w:val="00785460"/>
    <w:rsid w:val="00797ED7"/>
    <w:rsid w:val="007F1C2F"/>
    <w:rsid w:val="00A46087"/>
    <w:rsid w:val="00A73597"/>
    <w:rsid w:val="00B00926"/>
    <w:rsid w:val="00DC5B3F"/>
    <w:rsid w:val="00F0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27A666-7AB3-4C22-9908-62456995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890"/>
    <w:pPr>
      <w:widowControl w:val="0"/>
      <w:spacing w:before="100" w:beforeAutospacing="1" w:after="100" w:afterAutospacing="1" w:line="480" w:lineRule="auto"/>
    </w:pPr>
    <w:rPr>
      <w:rFonts w:ascii="Arial" w:eastAsia="ＭＳ 明朝" w:hAnsi="Arial" w:cs="Arial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F06890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06890"/>
    <w:rPr>
      <w:rFonts w:ascii="Arial" w:eastAsia="ＭＳ 明朝" w:hAnsi="Arial" w:cs="Arial"/>
      <w:b/>
      <w:bCs/>
      <w:sz w:val="28"/>
      <w:szCs w:val="28"/>
      <w:lang w:eastAsia="ko-KR"/>
    </w:rPr>
  </w:style>
  <w:style w:type="character" w:styleId="a3">
    <w:name w:val="Hyperlink"/>
    <w:uiPriority w:val="99"/>
    <w:unhideWhenUsed/>
    <w:rsid w:val="00A73597"/>
    <w:rPr>
      <w:color w:val="0000FF"/>
      <w:u w:val="single"/>
    </w:rPr>
  </w:style>
  <w:style w:type="table" w:styleId="a4">
    <w:name w:val="Table Grid"/>
    <w:basedOn w:val="a1"/>
    <w:uiPriority w:val="39"/>
    <w:rsid w:val="00A4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k-homma@med.hokudai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 Healthcare</dc:creator>
  <cp:keywords/>
  <dc:description/>
  <cp:lastModifiedBy>石森 久美</cp:lastModifiedBy>
  <cp:revision>2</cp:revision>
  <cp:lastPrinted>2020-06-04T02:16:00Z</cp:lastPrinted>
  <dcterms:created xsi:type="dcterms:W3CDTF">2021-01-14T05:59:00Z</dcterms:created>
  <dcterms:modified xsi:type="dcterms:W3CDTF">2021-01-14T05:59:00Z</dcterms:modified>
</cp:coreProperties>
</file>