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336F0" w14:textId="778C0EFF" w:rsidR="00AA7B27" w:rsidRPr="00AA7B27" w:rsidRDefault="00AA7B27" w:rsidP="00AA7B2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</w:t>
      </w:r>
      <w:r w:rsidRPr="00CE097F">
        <w:rPr>
          <w:rFonts w:ascii="Arial" w:hAnsi="Arial" w:cs="Arial"/>
          <w:b/>
          <w:bCs/>
        </w:rPr>
        <w:t xml:space="preserve"> </w:t>
      </w:r>
      <w:r w:rsidR="0086126D">
        <w:rPr>
          <w:rFonts w:ascii="Arial" w:hAnsi="Arial" w:cs="Arial" w:hint="eastAsia"/>
          <w:b/>
          <w:bCs/>
        </w:rPr>
        <w:t>S</w:t>
      </w:r>
      <w:r w:rsidRPr="00CE097F">
        <w:rPr>
          <w:rFonts w:ascii="Arial" w:hAnsi="Arial" w:cs="Arial"/>
          <w:b/>
          <w:bCs/>
        </w:rPr>
        <w:t>1 Progression-</w:t>
      </w:r>
      <w:r>
        <w:rPr>
          <w:rFonts w:ascii="Arial" w:hAnsi="Arial" w:cs="Arial"/>
          <w:b/>
          <w:bCs/>
        </w:rPr>
        <w:t>free and overall survival in all patients</w:t>
      </w:r>
    </w:p>
    <w:p w14:paraId="08CF75A0" w14:textId="77777777" w:rsidR="00AA7B27" w:rsidRPr="00231C1F" w:rsidRDefault="00231C1F">
      <w:r>
        <w:rPr>
          <w:noProof/>
          <w:lang w:val="en-IN" w:eastAsia="en-IN"/>
        </w:rPr>
        <w:drawing>
          <wp:inline distT="0" distB="0" distL="0" distR="0" wp14:anchorId="52586A13" wp14:editId="24EA3A70">
            <wp:extent cx="5400040" cy="30378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25D6" w14:textId="77777777" w:rsidR="00AA7B27" w:rsidRPr="00F76E9B" w:rsidRDefault="00AA7B27" w:rsidP="00AA7B27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 xml:space="preserve">(A) Kaplan-Meier curves of progression-free survival </w:t>
      </w:r>
      <w:r w:rsidRPr="00C337C7">
        <w:rPr>
          <w:rFonts w:ascii="Arial" w:hAnsi="Arial" w:cs="Arial"/>
          <w:sz w:val="16"/>
          <w:szCs w:val="16"/>
        </w:rPr>
        <w:t>in all</w:t>
      </w:r>
      <w:r w:rsidRPr="00F76E9B">
        <w:rPr>
          <w:rFonts w:ascii="Arial" w:hAnsi="Arial"/>
          <w:sz w:val="16"/>
        </w:rPr>
        <w:t xml:space="preserve"> patients</w:t>
      </w:r>
      <w:r w:rsidRPr="00CE097F">
        <w:rPr>
          <w:rFonts w:ascii="Arial" w:hAnsi="Arial" w:cs="Arial"/>
          <w:sz w:val="16"/>
          <w:szCs w:val="16"/>
        </w:rPr>
        <w:t xml:space="preserve">. </w:t>
      </w:r>
    </w:p>
    <w:p w14:paraId="47184AC0" w14:textId="0FA9223E" w:rsidR="00AA7B27" w:rsidRPr="00F76E9B" w:rsidRDefault="00AA7B27" w:rsidP="00AA7B27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 xml:space="preserve">(B) Kaplan-Meier curves of overall survival </w:t>
      </w:r>
      <w:r w:rsidR="00F552A8" w:rsidRPr="00C337C7">
        <w:rPr>
          <w:rFonts w:ascii="Arial" w:hAnsi="Arial" w:cs="Arial"/>
          <w:sz w:val="16"/>
          <w:szCs w:val="16"/>
        </w:rPr>
        <w:t>in all</w:t>
      </w:r>
      <w:r w:rsidR="00F552A8" w:rsidRPr="00F76E9B">
        <w:rPr>
          <w:rFonts w:ascii="Arial" w:hAnsi="Arial"/>
          <w:sz w:val="16"/>
        </w:rPr>
        <w:t xml:space="preserve"> patients</w:t>
      </w:r>
      <w:r w:rsidR="00F552A8" w:rsidRPr="00CE097F">
        <w:rPr>
          <w:rFonts w:ascii="Arial" w:hAnsi="Arial" w:cs="Arial"/>
          <w:sz w:val="16"/>
          <w:szCs w:val="16"/>
        </w:rPr>
        <w:t>.</w:t>
      </w:r>
    </w:p>
    <w:p w14:paraId="09F87095" w14:textId="77777777" w:rsidR="00AA7B27" w:rsidRDefault="00AA7B27">
      <w:r>
        <w:br w:type="page"/>
      </w:r>
    </w:p>
    <w:p w14:paraId="1B03CCE3" w14:textId="33DCB162" w:rsidR="00AA7B27" w:rsidRDefault="00AA7B27" w:rsidP="00AA7B27">
      <w:pPr>
        <w:rPr>
          <w:rFonts w:ascii="Arial" w:hAnsi="Arial" w:cs="Arial"/>
          <w:b/>
          <w:bCs/>
        </w:rPr>
      </w:pPr>
      <w:r w:rsidRPr="004F2A91">
        <w:rPr>
          <w:rFonts w:ascii="Arial" w:hAnsi="Arial"/>
          <w:b/>
          <w:bCs/>
        </w:rPr>
        <w:lastRenderedPageBreak/>
        <w:t>F</w:t>
      </w:r>
      <w:r>
        <w:rPr>
          <w:rFonts w:ascii="Arial" w:hAnsi="Arial"/>
          <w:b/>
          <w:bCs/>
        </w:rPr>
        <w:t>IGURE</w:t>
      </w:r>
      <w:r w:rsidRPr="004F2A91">
        <w:rPr>
          <w:rFonts w:ascii="Arial" w:hAnsi="Arial"/>
          <w:b/>
          <w:bCs/>
        </w:rPr>
        <w:t xml:space="preserve"> </w:t>
      </w:r>
      <w:r w:rsidR="0086126D">
        <w:rPr>
          <w:rFonts w:ascii="Arial" w:hAnsi="Arial"/>
          <w:b/>
          <w:bCs/>
        </w:rPr>
        <w:t>S</w:t>
      </w:r>
      <w:r w:rsidRPr="004F2A91">
        <w:rPr>
          <w:rFonts w:ascii="Arial" w:hAnsi="Arial"/>
          <w:b/>
          <w:bCs/>
        </w:rPr>
        <w:t>2</w:t>
      </w:r>
      <w:r w:rsidRPr="00F76E9B">
        <w:rPr>
          <w:rFonts w:ascii="Arial" w:hAnsi="Arial"/>
        </w:rPr>
        <w:t xml:space="preserve"> </w:t>
      </w:r>
      <w:r w:rsidR="00D01EBF" w:rsidRPr="00E16BFF">
        <w:rPr>
          <w:rFonts w:ascii="Arial" w:hAnsi="Arial"/>
          <w:b/>
        </w:rPr>
        <w:t>Treatment</w:t>
      </w:r>
      <w:r w:rsidR="00D01EBF">
        <w:rPr>
          <w:rFonts w:ascii="Arial" w:hAnsi="Arial"/>
        </w:rPr>
        <w:t xml:space="preserve"> </w:t>
      </w:r>
      <w:r w:rsidR="00D01EBF">
        <w:rPr>
          <w:rFonts w:ascii="Arial" w:hAnsi="Arial"/>
          <w:b/>
          <w:bCs/>
        </w:rPr>
        <w:t>r</w:t>
      </w:r>
      <w:r w:rsidRPr="004F2A91">
        <w:rPr>
          <w:rFonts w:ascii="Arial" w:hAnsi="Arial"/>
          <w:b/>
          <w:bCs/>
        </w:rPr>
        <w:t xml:space="preserve">esponse in LT and NLT </w:t>
      </w:r>
      <w:r w:rsidRPr="004F2A91">
        <w:rPr>
          <w:rFonts w:ascii="Arial" w:hAnsi="Arial" w:cs="Arial"/>
          <w:b/>
          <w:bCs/>
        </w:rPr>
        <w:t>groups</w:t>
      </w:r>
    </w:p>
    <w:p w14:paraId="7BD7E240" w14:textId="77777777" w:rsidR="00AA7B27" w:rsidRPr="00E87580" w:rsidRDefault="00E87580" w:rsidP="00E87580">
      <w:pPr>
        <w:rPr>
          <w:rFonts w:ascii="Arial" w:hAnsi="Arial"/>
        </w:rPr>
      </w:pPr>
      <w:r>
        <w:rPr>
          <w:rFonts w:ascii="Arial" w:hAnsi="Arial" w:hint="eastAsia"/>
          <w:noProof/>
          <w:lang w:val="en-IN" w:eastAsia="en-IN"/>
        </w:rPr>
        <w:drawing>
          <wp:inline distT="0" distB="0" distL="0" distR="0" wp14:anchorId="48D0A4DE" wp14:editId="0751ABBF">
            <wp:extent cx="5400040" cy="303784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CD9C" w14:textId="08327E71" w:rsidR="008B61A1" w:rsidRPr="00386507" w:rsidRDefault="008B61A1" w:rsidP="00AA7B27">
      <w:pPr>
        <w:rPr>
          <w:rFonts w:ascii="Arial" w:hAnsi="Arial"/>
          <w:color w:val="000000" w:themeColor="text1"/>
          <w:sz w:val="16"/>
        </w:rPr>
      </w:pPr>
      <w:r w:rsidRPr="00386507">
        <w:rPr>
          <w:rFonts w:ascii="Arial" w:hAnsi="Arial" w:hint="eastAsia"/>
          <w:color w:val="000000" w:themeColor="text1"/>
          <w:sz w:val="16"/>
        </w:rPr>
        <w:t>T</w:t>
      </w:r>
      <w:r w:rsidRPr="00386507">
        <w:rPr>
          <w:rFonts w:ascii="Arial" w:hAnsi="Arial"/>
          <w:color w:val="000000" w:themeColor="text1"/>
          <w:sz w:val="16"/>
        </w:rPr>
        <w:t>his figure shows</w:t>
      </w:r>
      <w:r w:rsidR="00386507" w:rsidRPr="00386507">
        <w:rPr>
          <w:rFonts w:ascii="Arial" w:hAnsi="Arial"/>
          <w:color w:val="000000" w:themeColor="text1"/>
          <w:sz w:val="16"/>
        </w:rPr>
        <w:t xml:space="preserve"> the</w:t>
      </w:r>
      <w:r w:rsidRPr="00386507">
        <w:rPr>
          <w:rFonts w:ascii="Arial" w:hAnsi="Arial"/>
          <w:color w:val="000000" w:themeColor="text1"/>
          <w:sz w:val="16"/>
        </w:rPr>
        <w:t xml:space="preserve"> treatment response in</w:t>
      </w:r>
      <w:r w:rsidR="00386507" w:rsidRPr="00386507">
        <w:rPr>
          <w:rFonts w:ascii="Arial" w:hAnsi="Arial"/>
          <w:color w:val="000000" w:themeColor="text1"/>
          <w:sz w:val="16"/>
        </w:rPr>
        <w:t xml:space="preserve"> the</w:t>
      </w:r>
      <w:r w:rsidRPr="00386507">
        <w:rPr>
          <w:rFonts w:ascii="Arial" w:hAnsi="Arial"/>
          <w:color w:val="000000" w:themeColor="text1"/>
          <w:sz w:val="16"/>
        </w:rPr>
        <w:t xml:space="preserve"> LT and NLT groups. The response rate of</w:t>
      </w:r>
      <w:r w:rsidR="00386507" w:rsidRPr="00386507">
        <w:rPr>
          <w:rFonts w:ascii="Arial" w:hAnsi="Arial"/>
          <w:color w:val="000000" w:themeColor="text1"/>
          <w:sz w:val="16"/>
        </w:rPr>
        <w:t xml:space="preserve"> the</w:t>
      </w:r>
      <w:r w:rsidRPr="00386507">
        <w:rPr>
          <w:rFonts w:ascii="Arial" w:hAnsi="Arial"/>
          <w:color w:val="000000" w:themeColor="text1"/>
          <w:sz w:val="16"/>
        </w:rPr>
        <w:t xml:space="preserve"> LT group was </w:t>
      </w:r>
      <w:r w:rsidR="00386507" w:rsidRPr="00386507">
        <w:rPr>
          <w:rFonts w:ascii="Arial" w:hAnsi="Arial"/>
          <w:color w:val="000000" w:themeColor="text1"/>
          <w:sz w:val="16"/>
        </w:rPr>
        <w:t>remarkably higher than that of the NLT group.</w:t>
      </w:r>
    </w:p>
    <w:p w14:paraId="1D2AAE0D" w14:textId="77777777" w:rsidR="008B61A1" w:rsidRDefault="008B61A1" w:rsidP="00AA7B27">
      <w:pPr>
        <w:rPr>
          <w:rFonts w:ascii="Arial" w:hAnsi="Arial"/>
          <w:sz w:val="16"/>
        </w:rPr>
      </w:pPr>
    </w:p>
    <w:p w14:paraId="240F9D86" w14:textId="3FBBA80C" w:rsidR="00AA7B27" w:rsidRPr="00F76E9B" w:rsidRDefault="00AA7B27" w:rsidP="00AA7B27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Abbreviations: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CR, complete response;</w:t>
      </w:r>
      <w:r>
        <w:rPr>
          <w:rFonts w:ascii="Arial" w:hAnsi="Arial"/>
          <w:sz w:val="16"/>
        </w:rPr>
        <w:t xml:space="preserve"> LT group, patients receiving initial immune checkpoint inhibitor for &gt; 1 year without progression disease; </w:t>
      </w:r>
      <w:r w:rsidRPr="00F76E9B">
        <w:rPr>
          <w:rFonts w:ascii="Arial" w:hAnsi="Arial"/>
          <w:sz w:val="16"/>
        </w:rPr>
        <w:t>NE, not evaluable</w:t>
      </w:r>
      <w:r>
        <w:rPr>
          <w:rFonts w:ascii="Arial" w:hAnsi="Arial"/>
          <w:sz w:val="16"/>
        </w:rPr>
        <w:t>; NLT group, patients other than LT group;</w:t>
      </w:r>
      <w:r w:rsidRPr="007D7B19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PD, progressive disease; PR, partial response; SD, stable disease</w:t>
      </w:r>
      <w:r>
        <w:rPr>
          <w:rFonts w:ascii="Arial" w:hAnsi="Arial"/>
          <w:sz w:val="16"/>
        </w:rPr>
        <w:t>.</w:t>
      </w:r>
    </w:p>
    <w:p w14:paraId="061AE34B" w14:textId="77777777" w:rsidR="00AA7B27" w:rsidRPr="00AA7B27" w:rsidRDefault="00AA7B27"/>
    <w:p w14:paraId="508E5DE8" w14:textId="77777777" w:rsidR="00AA7B27" w:rsidRDefault="00AA7B27">
      <w:r>
        <w:br w:type="page"/>
      </w:r>
    </w:p>
    <w:p w14:paraId="00B566D3" w14:textId="0A688E5A" w:rsidR="00AA7B27" w:rsidRDefault="00AA7B27" w:rsidP="00AA7B27">
      <w:pPr>
        <w:rPr>
          <w:rFonts w:ascii="Arial" w:hAnsi="Arial"/>
          <w:b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>IGURE</w:t>
      </w:r>
      <w:r w:rsidRPr="00F76E9B">
        <w:rPr>
          <w:rFonts w:ascii="Arial" w:hAnsi="Arial"/>
          <w:b/>
        </w:rPr>
        <w:t xml:space="preserve">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>3 Progression-</w:t>
      </w:r>
      <w:r w:rsidRPr="00C337C7">
        <w:rPr>
          <w:rFonts w:ascii="Arial" w:hAnsi="Arial" w:cs="Arial"/>
          <w:b/>
          <w:bCs/>
        </w:rPr>
        <w:t>free survival</w:t>
      </w:r>
      <w:r w:rsidRPr="00F76E9B">
        <w:rPr>
          <w:rFonts w:ascii="Arial" w:hAnsi="Arial"/>
          <w:b/>
        </w:rPr>
        <w:t xml:space="preserve"> in all patients by subgroup</w:t>
      </w:r>
      <w:r w:rsidR="007C443C">
        <w:rPr>
          <w:rFonts w:ascii="Arial" w:hAnsi="Arial"/>
          <w:b/>
        </w:rPr>
        <w:t xml:space="preserve"> analysis</w:t>
      </w:r>
    </w:p>
    <w:p w14:paraId="4A366273" w14:textId="77777777" w:rsidR="00B85511" w:rsidRPr="00F76E9B" w:rsidRDefault="00B85511" w:rsidP="00AA7B27">
      <w:pPr>
        <w:rPr>
          <w:rFonts w:ascii="Arial" w:hAnsi="Arial"/>
          <w:b/>
        </w:rPr>
      </w:pPr>
      <w:r>
        <w:rPr>
          <w:rFonts w:ascii="Arial" w:hAnsi="Arial"/>
          <w:b/>
          <w:noProof/>
          <w:lang w:val="en-IN" w:eastAsia="en-IN"/>
        </w:rPr>
        <w:drawing>
          <wp:inline distT="0" distB="0" distL="0" distR="0" wp14:anchorId="633682B8" wp14:editId="3D41BFDC">
            <wp:extent cx="5400040" cy="303784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BFA7" w14:textId="77777777" w:rsidR="00AA7B27" w:rsidRPr="00AA7B27" w:rsidRDefault="00B85511">
      <w:r>
        <w:rPr>
          <w:noProof/>
          <w:lang w:val="en-IN" w:eastAsia="en-IN"/>
        </w:rPr>
        <w:drawing>
          <wp:inline distT="0" distB="0" distL="0" distR="0" wp14:anchorId="1E6A2DCC" wp14:editId="6A6B9A89">
            <wp:extent cx="5400040" cy="303784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41DB" w14:textId="77777777" w:rsidR="00AA7B27" w:rsidRDefault="006D3D30">
      <w:r>
        <w:rPr>
          <w:noProof/>
          <w:lang w:val="en-IN" w:eastAsia="en-IN"/>
        </w:rPr>
        <w:lastRenderedPageBreak/>
        <w:drawing>
          <wp:inline distT="0" distB="0" distL="0" distR="0" wp14:anchorId="3D147926" wp14:editId="5578788D">
            <wp:extent cx="5400040" cy="303784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66BE" w14:textId="77777777" w:rsidR="00D24EDD" w:rsidRDefault="00D24EDD"/>
    <w:p w14:paraId="79956E59" w14:textId="450404D8" w:rsidR="00D24EDD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Kaplan</w:t>
      </w:r>
      <w:r w:rsidR="00D01EBF">
        <w:rPr>
          <w:rFonts w:ascii="Arial" w:hAnsi="Arial"/>
          <w:sz w:val="16"/>
        </w:rPr>
        <w:t>–</w:t>
      </w:r>
      <w:r w:rsidRPr="00F76E9B">
        <w:rPr>
          <w:rFonts w:ascii="Arial" w:hAnsi="Arial"/>
          <w:sz w:val="16"/>
        </w:rPr>
        <w:t xml:space="preserve">Meier curves of progression-free survival </w:t>
      </w:r>
      <w:r w:rsidR="0008245D">
        <w:rPr>
          <w:rFonts w:ascii="Arial" w:hAnsi="Arial"/>
          <w:sz w:val="16"/>
        </w:rPr>
        <w:t>in</w:t>
      </w:r>
      <w:r w:rsidR="0008245D" w:rsidRPr="00F76E9B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 xml:space="preserve">all patients according to (A) sex, (B) age, (C) smoking status, (D) pack year, (E) TNM stage, (F) tumor burden, (G) irradiation, (H) performance status, (I) PD-L1 expression, (J) peripheral blood marker group, (K) response, (L) AE. </w:t>
      </w:r>
    </w:p>
    <w:p w14:paraId="74B738C0" w14:textId="77777777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Abbreviations: AE, adverse event</w:t>
      </w:r>
      <w:r>
        <w:rPr>
          <w:rFonts w:ascii="Arial" w:hAnsi="Arial" w:cs="Arial"/>
          <w:sz w:val="16"/>
          <w:szCs w:val="16"/>
        </w:rPr>
        <w:t xml:space="preserve">; </w:t>
      </w:r>
      <w:r w:rsidRPr="00F76E9B">
        <w:rPr>
          <w:rFonts w:ascii="Arial" w:hAnsi="Arial"/>
          <w:sz w:val="16"/>
        </w:rPr>
        <w:t>CR, complete response;</w:t>
      </w:r>
      <w:r w:rsidRPr="007D7B19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NE, not evaluable; PD, progressive disease;</w:t>
      </w:r>
      <w:r w:rsidRPr="007D7B19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PR, partial response; PS, performance status;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SD, stable disease; WBC, white blood cell</w:t>
      </w:r>
      <w:r>
        <w:rPr>
          <w:rFonts w:ascii="Arial" w:hAnsi="Arial"/>
          <w:sz w:val="16"/>
        </w:rPr>
        <w:t>.</w:t>
      </w:r>
    </w:p>
    <w:p w14:paraId="340917A9" w14:textId="77777777" w:rsidR="00D24EDD" w:rsidRDefault="00D24EDD">
      <w:r>
        <w:br w:type="page"/>
      </w:r>
    </w:p>
    <w:p w14:paraId="5BDD7640" w14:textId="30CE9796" w:rsidR="00D24EDD" w:rsidRPr="00F76E9B" w:rsidRDefault="00D24EDD" w:rsidP="00D24EDD">
      <w:pPr>
        <w:rPr>
          <w:rFonts w:ascii="Arial" w:hAnsi="Arial"/>
          <w:b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>IGURE</w:t>
      </w:r>
      <w:r w:rsidRPr="00F76E9B">
        <w:rPr>
          <w:rFonts w:ascii="Arial" w:hAnsi="Arial"/>
          <w:b/>
        </w:rPr>
        <w:t xml:space="preserve">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 xml:space="preserve">4 Overall </w:t>
      </w:r>
      <w:r w:rsidRPr="00C337C7">
        <w:rPr>
          <w:rFonts w:ascii="Arial" w:hAnsi="Arial" w:cs="Arial"/>
          <w:b/>
          <w:bCs/>
        </w:rPr>
        <w:t>survival</w:t>
      </w:r>
      <w:r w:rsidRPr="00F76E9B">
        <w:rPr>
          <w:rFonts w:ascii="Arial" w:hAnsi="Arial"/>
          <w:b/>
        </w:rPr>
        <w:t xml:space="preserve"> in all patients by subgroup</w:t>
      </w:r>
      <w:r w:rsidR="007C443C">
        <w:rPr>
          <w:rFonts w:ascii="Arial" w:hAnsi="Arial"/>
          <w:b/>
        </w:rPr>
        <w:t xml:space="preserve"> analysis</w:t>
      </w:r>
    </w:p>
    <w:p w14:paraId="5A0E5681" w14:textId="77777777" w:rsidR="00D24EDD" w:rsidRDefault="00264D1B" w:rsidP="00D24EDD">
      <w:r>
        <w:rPr>
          <w:rFonts w:hint="eastAsia"/>
          <w:noProof/>
          <w:lang w:val="en-IN" w:eastAsia="en-IN"/>
        </w:rPr>
        <w:drawing>
          <wp:inline distT="0" distB="0" distL="0" distR="0" wp14:anchorId="09B59996" wp14:editId="16D1B33C">
            <wp:extent cx="5400040" cy="303784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8A39" w14:textId="77777777" w:rsidR="00D24EDD" w:rsidRDefault="00264D1B">
      <w:r>
        <w:rPr>
          <w:noProof/>
          <w:lang w:val="en-IN" w:eastAsia="en-IN"/>
        </w:rPr>
        <w:drawing>
          <wp:inline distT="0" distB="0" distL="0" distR="0" wp14:anchorId="05D5D0EE" wp14:editId="76BCDC8D">
            <wp:extent cx="5400040" cy="303784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941C" w14:textId="77777777" w:rsidR="00D24EDD" w:rsidRDefault="00264D1B">
      <w:r>
        <w:rPr>
          <w:noProof/>
          <w:lang w:val="en-IN" w:eastAsia="en-IN"/>
        </w:rPr>
        <w:lastRenderedPageBreak/>
        <w:drawing>
          <wp:inline distT="0" distB="0" distL="0" distR="0" wp14:anchorId="4665FFDD" wp14:editId="521597D4">
            <wp:extent cx="5400040" cy="303784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C31F" w14:textId="73373218" w:rsidR="00D24EDD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Kaplan</w:t>
      </w:r>
      <w:r w:rsidR="00D01EBF">
        <w:rPr>
          <w:rFonts w:ascii="Arial" w:hAnsi="Arial"/>
          <w:sz w:val="16"/>
        </w:rPr>
        <w:t>–</w:t>
      </w:r>
      <w:r w:rsidRPr="00F76E9B">
        <w:rPr>
          <w:rFonts w:ascii="Arial" w:hAnsi="Arial"/>
          <w:sz w:val="16"/>
        </w:rPr>
        <w:t xml:space="preserve">Meier curves of overall survival </w:t>
      </w:r>
      <w:r w:rsidR="00E53511">
        <w:rPr>
          <w:rFonts w:ascii="Arial" w:hAnsi="Arial"/>
          <w:sz w:val="16"/>
        </w:rPr>
        <w:t xml:space="preserve">in </w:t>
      </w:r>
      <w:r w:rsidRPr="00F76E9B">
        <w:rPr>
          <w:rFonts w:ascii="Arial" w:hAnsi="Arial"/>
          <w:sz w:val="16"/>
        </w:rPr>
        <w:t xml:space="preserve">all patients according to (A) sex, (B) age, (C) smoking status, (D) pack year, (E) TNM stage, (F) tumor burden, (G) irradiation, (H) performance status, (I) PD-L1 expression, (J) peripheral blood marker group, (K) response, (L) AE. </w:t>
      </w:r>
    </w:p>
    <w:p w14:paraId="0E686B02" w14:textId="77777777" w:rsidR="00D24EDD" w:rsidRDefault="00D24EDD" w:rsidP="00D24EDD">
      <w:r w:rsidRPr="00F76E9B">
        <w:rPr>
          <w:rFonts w:ascii="Arial" w:hAnsi="Arial"/>
          <w:sz w:val="16"/>
        </w:rPr>
        <w:t>Abbreviations: AE, adverse event</w:t>
      </w:r>
      <w:r>
        <w:rPr>
          <w:rFonts w:ascii="Arial" w:hAnsi="Arial"/>
          <w:sz w:val="16"/>
        </w:rPr>
        <w:t xml:space="preserve">; </w:t>
      </w:r>
      <w:r w:rsidRPr="00F76E9B">
        <w:rPr>
          <w:rFonts w:ascii="Arial" w:hAnsi="Arial"/>
          <w:sz w:val="16"/>
        </w:rPr>
        <w:t>CR, complete response;</w:t>
      </w:r>
      <w:r w:rsidRPr="00E4224D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NE, not evaluable; PD, progressive disease; PR, partial response; PS, performance status; SD, stable disease; WBC, white blood cell</w:t>
      </w:r>
      <w:r w:rsidRPr="00CE097F">
        <w:rPr>
          <w:rFonts w:ascii="Arial" w:hAnsi="Arial" w:cs="Arial"/>
          <w:sz w:val="16"/>
          <w:szCs w:val="16"/>
        </w:rPr>
        <w:t>.</w:t>
      </w:r>
    </w:p>
    <w:p w14:paraId="56DDF109" w14:textId="77777777" w:rsidR="00D24EDD" w:rsidRDefault="00D24EDD">
      <w:r>
        <w:br w:type="page"/>
      </w:r>
    </w:p>
    <w:p w14:paraId="1B74C0C9" w14:textId="32C3C7D5" w:rsidR="00D24EDD" w:rsidRPr="00F76E9B" w:rsidRDefault="00D24EDD" w:rsidP="00D24EDD">
      <w:pPr>
        <w:rPr>
          <w:rFonts w:ascii="Arial" w:hAnsi="Arial"/>
          <w:b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>IGURE</w:t>
      </w:r>
      <w:r w:rsidRPr="00F76E9B">
        <w:rPr>
          <w:rFonts w:ascii="Arial" w:hAnsi="Arial"/>
          <w:b/>
        </w:rPr>
        <w:t xml:space="preserve">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>5 Progression-</w:t>
      </w:r>
      <w:r w:rsidRPr="00C337C7">
        <w:rPr>
          <w:rFonts w:ascii="Arial" w:hAnsi="Arial" w:cs="Arial"/>
          <w:b/>
          <w:bCs/>
        </w:rPr>
        <w:t>free survival</w:t>
      </w:r>
      <w:r w:rsidRPr="00F76E9B">
        <w:rPr>
          <w:rFonts w:ascii="Arial" w:hAnsi="Arial"/>
          <w:b/>
        </w:rPr>
        <w:t xml:space="preserve"> in LT group by subgroup</w:t>
      </w:r>
      <w:r w:rsidR="007C443C">
        <w:rPr>
          <w:rFonts w:ascii="Arial" w:hAnsi="Arial"/>
          <w:b/>
        </w:rPr>
        <w:t xml:space="preserve"> analysis</w:t>
      </w:r>
    </w:p>
    <w:p w14:paraId="6914A2AD" w14:textId="77777777" w:rsidR="00D24EDD" w:rsidRPr="00D24EDD" w:rsidRDefault="006403BB">
      <w:r>
        <w:rPr>
          <w:noProof/>
          <w:lang w:val="en-IN" w:eastAsia="en-IN"/>
        </w:rPr>
        <w:drawing>
          <wp:inline distT="0" distB="0" distL="0" distR="0" wp14:anchorId="216E71FD" wp14:editId="2517C5D0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C7E0" w14:textId="77777777" w:rsidR="00D24EDD" w:rsidRDefault="00645416">
      <w:r>
        <w:rPr>
          <w:noProof/>
          <w:lang w:val="en-IN" w:eastAsia="en-IN"/>
        </w:rPr>
        <w:drawing>
          <wp:inline distT="0" distB="0" distL="0" distR="0" wp14:anchorId="1C0C7A4E" wp14:editId="25BCCF97">
            <wp:extent cx="5400040" cy="30378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ADF8" w14:textId="77777777" w:rsidR="00D24EDD" w:rsidRDefault="006403BB">
      <w:r>
        <w:rPr>
          <w:noProof/>
          <w:lang w:val="en-IN" w:eastAsia="en-IN"/>
        </w:rPr>
        <w:lastRenderedPageBreak/>
        <w:drawing>
          <wp:inline distT="0" distB="0" distL="0" distR="0" wp14:anchorId="577491BF" wp14:editId="2E082793">
            <wp:extent cx="5400040" cy="30378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FBE0" w14:textId="77777777" w:rsidR="008D293B" w:rsidRDefault="008D293B" w:rsidP="00D24EDD">
      <w:pPr>
        <w:rPr>
          <w:rFonts w:ascii="Arial" w:hAnsi="Arial"/>
          <w:sz w:val="16"/>
        </w:rPr>
      </w:pPr>
    </w:p>
    <w:p w14:paraId="4026B916" w14:textId="6963FC5C" w:rsidR="00D24EDD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Kaplan</w:t>
      </w:r>
      <w:r w:rsidR="00D01EBF">
        <w:rPr>
          <w:rFonts w:ascii="Arial" w:hAnsi="Arial"/>
          <w:sz w:val="16"/>
        </w:rPr>
        <w:t>–</w:t>
      </w:r>
      <w:r w:rsidRPr="00F76E9B">
        <w:rPr>
          <w:rFonts w:ascii="Arial" w:hAnsi="Arial"/>
          <w:sz w:val="16"/>
        </w:rPr>
        <w:t xml:space="preserve">Meier curves of progression-free survival </w:t>
      </w:r>
      <w:r w:rsidR="002A42EC">
        <w:rPr>
          <w:rFonts w:ascii="Arial" w:hAnsi="Arial"/>
          <w:sz w:val="16"/>
        </w:rPr>
        <w:t>in</w:t>
      </w:r>
      <w:r w:rsidR="002A42EC" w:rsidRPr="00F76E9B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 xml:space="preserve">LT group </w:t>
      </w:r>
      <w:r w:rsidR="002A42EC">
        <w:rPr>
          <w:rFonts w:ascii="Arial" w:hAnsi="Arial"/>
          <w:sz w:val="16"/>
        </w:rPr>
        <w:t xml:space="preserve">of </w:t>
      </w:r>
      <w:r w:rsidRPr="00F76E9B">
        <w:rPr>
          <w:rFonts w:ascii="Arial" w:hAnsi="Arial"/>
          <w:sz w:val="16"/>
        </w:rPr>
        <w:t xml:space="preserve">patients according to (A) sex, (B) age, (C) smoking status, (D) pack year, (E) TNM stage, (F) tumor burden, (G) irradiation, (H) performance status, (I) PD-L1 expression, (J) peripheral blood marker group, (K) response, (L) AE. </w:t>
      </w:r>
    </w:p>
    <w:p w14:paraId="28974C72" w14:textId="3BD55001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Abbreviations: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AE, adverse event</w:t>
      </w:r>
      <w:r>
        <w:rPr>
          <w:rFonts w:ascii="Arial" w:hAnsi="Arial" w:cs="Arial"/>
          <w:sz w:val="16"/>
          <w:szCs w:val="16"/>
        </w:rPr>
        <w:t xml:space="preserve">; </w:t>
      </w:r>
      <w:r w:rsidRPr="00F76E9B">
        <w:rPr>
          <w:rFonts w:ascii="Arial" w:hAnsi="Arial"/>
          <w:sz w:val="16"/>
        </w:rPr>
        <w:t xml:space="preserve">CR, complete response; </w:t>
      </w:r>
      <w:r>
        <w:rPr>
          <w:rFonts w:ascii="Arial" w:hAnsi="Arial"/>
          <w:sz w:val="16"/>
        </w:rPr>
        <w:t>LT group, patients receiving initial immune checkpoint inhibitor for &gt;1 year without progression disease;</w:t>
      </w:r>
      <w:r w:rsidRPr="00E4224D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NE, not evaluable;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PD, progressive disease; PR, partial response;</w:t>
      </w:r>
      <w:r w:rsidRPr="00E4224D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PS, performance status; SD, stable disease; WBC, white blood cell</w:t>
      </w:r>
      <w:r>
        <w:rPr>
          <w:rFonts w:ascii="Arial" w:hAnsi="Arial"/>
          <w:sz w:val="16"/>
        </w:rPr>
        <w:t>.</w:t>
      </w:r>
      <w:r w:rsidRPr="00CE097F">
        <w:rPr>
          <w:rFonts w:ascii="Arial" w:hAnsi="Arial" w:cs="Arial"/>
          <w:sz w:val="16"/>
          <w:szCs w:val="16"/>
        </w:rPr>
        <w:t xml:space="preserve"> </w:t>
      </w:r>
    </w:p>
    <w:p w14:paraId="4F5C87E1" w14:textId="77777777" w:rsidR="00D24EDD" w:rsidRDefault="00D24EDD">
      <w:r>
        <w:br w:type="page"/>
      </w:r>
    </w:p>
    <w:p w14:paraId="2BD5B41B" w14:textId="7CFCDFBD" w:rsidR="00D24EDD" w:rsidRPr="00F76E9B" w:rsidRDefault="00D24EDD" w:rsidP="00D24EDD">
      <w:pPr>
        <w:rPr>
          <w:rFonts w:ascii="Arial" w:hAnsi="Arial"/>
          <w:b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 xml:space="preserve">IGURE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 xml:space="preserve">6 Overall </w:t>
      </w:r>
      <w:r w:rsidRPr="00C337C7">
        <w:rPr>
          <w:rFonts w:ascii="Arial" w:hAnsi="Arial" w:cs="Arial"/>
          <w:b/>
          <w:bCs/>
        </w:rPr>
        <w:t>survival</w:t>
      </w:r>
      <w:r w:rsidRPr="00F76E9B">
        <w:rPr>
          <w:rFonts w:ascii="Arial" w:hAnsi="Arial"/>
          <w:b/>
        </w:rPr>
        <w:t xml:space="preserve"> in LT group by subgroup</w:t>
      </w:r>
      <w:r w:rsidR="007C443C">
        <w:rPr>
          <w:rFonts w:ascii="Arial" w:hAnsi="Arial"/>
          <w:b/>
        </w:rPr>
        <w:t xml:space="preserve"> analysis</w:t>
      </w:r>
    </w:p>
    <w:p w14:paraId="406B42D4" w14:textId="77777777" w:rsidR="00D24EDD" w:rsidRDefault="00C110AE">
      <w:r>
        <w:rPr>
          <w:noProof/>
          <w:lang w:val="en-IN" w:eastAsia="en-IN"/>
        </w:rPr>
        <w:drawing>
          <wp:inline distT="0" distB="0" distL="0" distR="0" wp14:anchorId="09E30E6B" wp14:editId="66ACD471">
            <wp:extent cx="5400040" cy="30378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A2BE" w14:textId="77777777" w:rsidR="00C110AE" w:rsidRPr="00C110AE" w:rsidRDefault="00C110AE">
      <w:r>
        <w:rPr>
          <w:rFonts w:hint="eastAsia"/>
          <w:noProof/>
          <w:lang w:val="en-IN" w:eastAsia="en-IN"/>
        </w:rPr>
        <w:drawing>
          <wp:inline distT="0" distB="0" distL="0" distR="0" wp14:anchorId="0F5EEE63" wp14:editId="47EBFEB1">
            <wp:extent cx="5400040" cy="303784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4A29" w14:textId="77777777" w:rsidR="00D24EDD" w:rsidRDefault="00C110AE">
      <w:r>
        <w:rPr>
          <w:noProof/>
          <w:lang w:val="en-IN" w:eastAsia="en-IN"/>
        </w:rPr>
        <w:lastRenderedPageBreak/>
        <w:drawing>
          <wp:inline distT="0" distB="0" distL="0" distR="0" wp14:anchorId="4396A504" wp14:editId="054566B2">
            <wp:extent cx="5400040" cy="30378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D98B" w14:textId="044AE1B4" w:rsidR="00D24EDD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Kaplan</w:t>
      </w:r>
      <w:r w:rsidR="00D01EBF">
        <w:rPr>
          <w:rFonts w:ascii="Arial" w:hAnsi="Arial"/>
          <w:sz w:val="16"/>
        </w:rPr>
        <w:t>–</w:t>
      </w:r>
      <w:r w:rsidRPr="00F76E9B">
        <w:rPr>
          <w:rFonts w:ascii="Arial" w:hAnsi="Arial"/>
          <w:sz w:val="16"/>
        </w:rPr>
        <w:t xml:space="preserve">Meier curves of overall survival </w:t>
      </w:r>
      <w:r w:rsidR="00D44006">
        <w:rPr>
          <w:rFonts w:ascii="Arial" w:hAnsi="Arial"/>
          <w:sz w:val="16"/>
        </w:rPr>
        <w:t>in</w:t>
      </w:r>
      <w:r w:rsidR="00D44006" w:rsidRPr="00F76E9B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 xml:space="preserve">LT group </w:t>
      </w:r>
      <w:r w:rsidR="00D44006">
        <w:rPr>
          <w:rFonts w:ascii="Arial" w:hAnsi="Arial"/>
          <w:sz w:val="16"/>
        </w:rPr>
        <w:t xml:space="preserve">of </w:t>
      </w:r>
      <w:r w:rsidRPr="00F76E9B">
        <w:rPr>
          <w:rFonts w:ascii="Arial" w:hAnsi="Arial"/>
          <w:sz w:val="16"/>
        </w:rPr>
        <w:t>patients according to (A) sex, (B) age, (C) smoking status, (D) pack year, (E) TNM stage, (F) tumor burden, (G) irradiation, (H) performance status, (I) PD-L1 expression, (J) peripheral blood marker group, (K) response, (L) AE.</w:t>
      </w:r>
    </w:p>
    <w:p w14:paraId="1F266A63" w14:textId="47C16885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Abbreviations: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AE, adverse event</w:t>
      </w:r>
      <w:r>
        <w:rPr>
          <w:rFonts w:ascii="Arial" w:hAnsi="Arial" w:cs="Arial"/>
          <w:sz w:val="16"/>
          <w:szCs w:val="16"/>
        </w:rPr>
        <w:t>;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 xml:space="preserve">CR, complete response; </w:t>
      </w:r>
      <w:r>
        <w:rPr>
          <w:rFonts w:ascii="Arial" w:hAnsi="Arial"/>
          <w:sz w:val="16"/>
        </w:rPr>
        <w:t xml:space="preserve">LT group, patients receiving initial immune checkpoint inhibitor for &gt;1 year without progression disease; </w:t>
      </w:r>
      <w:r w:rsidRPr="00F76E9B">
        <w:rPr>
          <w:rFonts w:ascii="Arial" w:hAnsi="Arial"/>
          <w:sz w:val="16"/>
        </w:rPr>
        <w:t>NE, not evaluable;</w:t>
      </w:r>
      <w:r w:rsidRPr="00E4224D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PD, progressive disease;</w:t>
      </w:r>
      <w:r w:rsidRPr="00E4224D"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PR, partial response; PS, performance status;</w:t>
      </w:r>
      <w:r>
        <w:rPr>
          <w:rFonts w:ascii="Arial" w:hAnsi="Arial"/>
          <w:sz w:val="16"/>
        </w:rPr>
        <w:t xml:space="preserve"> </w:t>
      </w:r>
      <w:r w:rsidRPr="00F76E9B">
        <w:rPr>
          <w:rFonts w:ascii="Arial" w:hAnsi="Arial"/>
          <w:sz w:val="16"/>
        </w:rPr>
        <w:t>SD, stable disease</w:t>
      </w:r>
      <w:r>
        <w:rPr>
          <w:rFonts w:ascii="Arial" w:hAnsi="Arial"/>
          <w:sz w:val="16"/>
        </w:rPr>
        <w:t>.</w:t>
      </w:r>
    </w:p>
    <w:p w14:paraId="1FCC16FB" w14:textId="77777777" w:rsidR="00D24EDD" w:rsidRDefault="00D24EDD">
      <w:r>
        <w:br w:type="page"/>
      </w:r>
    </w:p>
    <w:p w14:paraId="739A6BCE" w14:textId="6D350445" w:rsidR="00D24EDD" w:rsidRDefault="00D24EDD" w:rsidP="00D24EDD">
      <w:pPr>
        <w:rPr>
          <w:rFonts w:ascii="Arial" w:hAnsi="Arial" w:cs="Arial"/>
          <w:b/>
          <w:bCs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>IGURE</w:t>
      </w:r>
      <w:r w:rsidRPr="00F76E9B">
        <w:rPr>
          <w:rFonts w:ascii="Arial" w:hAnsi="Arial"/>
          <w:b/>
        </w:rPr>
        <w:t xml:space="preserve">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>7 Progression-</w:t>
      </w:r>
      <w:r w:rsidRPr="00C337C7">
        <w:rPr>
          <w:rFonts w:ascii="Arial" w:hAnsi="Arial" w:cs="Arial"/>
          <w:b/>
          <w:bCs/>
        </w:rPr>
        <w:t>free survival</w:t>
      </w:r>
      <w:r w:rsidRPr="00F76E9B">
        <w:rPr>
          <w:rFonts w:ascii="Arial" w:hAnsi="Arial"/>
          <w:b/>
        </w:rPr>
        <w:t xml:space="preserve"> in LT group </w:t>
      </w:r>
      <w:r>
        <w:rPr>
          <w:rFonts w:ascii="Arial" w:hAnsi="Arial"/>
          <w:b/>
        </w:rPr>
        <w:t xml:space="preserve">calculated from </w:t>
      </w:r>
      <w:r w:rsidRPr="00F76E9B">
        <w:rPr>
          <w:rFonts w:ascii="Arial" w:hAnsi="Arial"/>
          <w:b/>
        </w:rPr>
        <w:t>1</w:t>
      </w:r>
      <w:r w:rsidRPr="00C337C7">
        <w:rPr>
          <w:rFonts w:ascii="Arial" w:hAnsi="Arial" w:cs="Arial"/>
          <w:b/>
          <w:bCs/>
        </w:rPr>
        <w:t xml:space="preserve"> </w:t>
      </w:r>
      <w:r w:rsidRPr="00F76E9B">
        <w:rPr>
          <w:rFonts w:ascii="Arial" w:hAnsi="Arial"/>
          <w:b/>
        </w:rPr>
        <w:t>year / 1.5</w:t>
      </w:r>
      <w:r w:rsidRPr="00C337C7">
        <w:rPr>
          <w:rFonts w:ascii="Arial" w:hAnsi="Arial" w:cs="Arial"/>
          <w:b/>
          <w:bCs/>
        </w:rPr>
        <w:t xml:space="preserve"> years</w:t>
      </w:r>
      <w:r w:rsidRPr="00F76E9B">
        <w:rPr>
          <w:rFonts w:ascii="Arial" w:hAnsi="Arial"/>
          <w:b/>
        </w:rPr>
        <w:t xml:space="preserve"> / 2</w:t>
      </w:r>
      <w:r w:rsidRPr="00C337C7">
        <w:rPr>
          <w:rFonts w:ascii="Arial" w:hAnsi="Arial" w:cs="Arial"/>
          <w:b/>
          <w:bCs/>
        </w:rPr>
        <w:t xml:space="preserve"> years after </w:t>
      </w:r>
      <w:r w:rsidRPr="00F76E9B">
        <w:rPr>
          <w:rFonts w:ascii="Arial" w:hAnsi="Arial"/>
          <w:b/>
        </w:rPr>
        <w:t>ICI treatment</w:t>
      </w:r>
      <w:r w:rsidRPr="00C337C7">
        <w:rPr>
          <w:rFonts w:ascii="Arial" w:hAnsi="Arial" w:cs="Arial"/>
          <w:b/>
          <w:bCs/>
        </w:rPr>
        <w:t xml:space="preserve"> initiation</w:t>
      </w:r>
    </w:p>
    <w:p w14:paraId="0626A8C3" w14:textId="77777777" w:rsidR="00D24EDD" w:rsidRPr="0044035B" w:rsidRDefault="0044035B" w:rsidP="004403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IN" w:eastAsia="en-IN"/>
        </w:rPr>
        <w:drawing>
          <wp:inline distT="0" distB="0" distL="0" distR="0" wp14:anchorId="52815EC7" wp14:editId="481DE743">
            <wp:extent cx="5400040" cy="303784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FC1C" w14:textId="082B25DB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 xml:space="preserve">Kaplan-Meier curves of progression-free survival </w:t>
      </w:r>
      <w:r w:rsidR="00D44006">
        <w:rPr>
          <w:rFonts w:ascii="Arial" w:hAnsi="Arial"/>
          <w:sz w:val="16"/>
        </w:rPr>
        <w:t xml:space="preserve">at </w:t>
      </w:r>
      <w:r w:rsidRPr="00F76E9B">
        <w:rPr>
          <w:rFonts w:ascii="Arial" w:hAnsi="Arial"/>
          <w:sz w:val="16"/>
        </w:rPr>
        <w:t>(A) 1</w:t>
      </w:r>
      <w:r w:rsidRPr="00C337C7">
        <w:rPr>
          <w:rFonts w:ascii="Arial" w:hAnsi="Arial" w:cs="Arial"/>
          <w:sz w:val="16"/>
          <w:szCs w:val="16"/>
        </w:rPr>
        <w:t xml:space="preserve"> </w:t>
      </w:r>
      <w:r w:rsidRPr="00F76E9B">
        <w:rPr>
          <w:rFonts w:ascii="Arial" w:hAnsi="Arial"/>
          <w:sz w:val="16"/>
        </w:rPr>
        <w:t>year / (B) 1.5</w:t>
      </w:r>
      <w:r w:rsidRPr="00C337C7">
        <w:rPr>
          <w:rFonts w:ascii="Arial" w:hAnsi="Arial" w:cs="Arial"/>
          <w:sz w:val="16"/>
          <w:szCs w:val="16"/>
        </w:rPr>
        <w:t xml:space="preserve"> years</w:t>
      </w:r>
      <w:r w:rsidRPr="00F76E9B">
        <w:rPr>
          <w:rFonts w:ascii="Arial" w:hAnsi="Arial"/>
          <w:sz w:val="16"/>
        </w:rPr>
        <w:t xml:space="preserve"> / (C) 2</w:t>
      </w:r>
      <w:r w:rsidRPr="00C337C7">
        <w:rPr>
          <w:rFonts w:ascii="Arial" w:hAnsi="Arial" w:cs="Arial"/>
          <w:sz w:val="16"/>
          <w:szCs w:val="16"/>
        </w:rPr>
        <w:t xml:space="preserve"> years after</w:t>
      </w:r>
      <w:r w:rsidRPr="00F76E9B">
        <w:rPr>
          <w:rFonts w:ascii="Arial" w:hAnsi="Arial"/>
          <w:sz w:val="16"/>
        </w:rPr>
        <w:t xml:space="preserve"> the start of ICI treatment. </w:t>
      </w:r>
    </w:p>
    <w:p w14:paraId="69E88BA5" w14:textId="5C521098" w:rsidR="00D24EDD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 xml:space="preserve">(D) The 6-month PFS rate </w:t>
      </w:r>
      <w:r w:rsidR="00EA5235">
        <w:rPr>
          <w:rFonts w:ascii="Arial" w:hAnsi="Arial"/>
          <w:sz w:val="16"/>
        </w:rPr>
        <w:t xml:space="preserve">at </w:t>
      </w:r>
      <w:r w:rsidRPr="00F76E9B">
        <w:rPr>
          <w:rFonts w:ascii="Arial" w:hAnsi="Arial"/>
          <w:sz w:val="16"/>
        </w:rPr>
        <w:t>1</w:t>
      </w:r>
      <w:r w:rsidRPr="00C337C7">
        <w:rPr>
          <w:rFonts w:ascii="Arial" w:hAnsi="Arial" w:cs="Arial"/>
          <w:sz w:val="16"/>
          <w:szCs w:val="16"/>
        </w:rPr>
        <w:t xml:space="preserve"> </w:t>
      </w:r>
      <w:r w:rsidRPr="00F76E9B">
        <w:rPr>
          <w:rFonts w:ascii="Arial" w:hAnsi="Arial"/>
          <w:sz w:val="16"/>
        </w:rPr>
        <w:t>year / 1.5</w:t>
      </w:r>
      <w:r w:rsidRPr="00C337C7">
        <w:rPr>
          <w:rFonts w:ascii="Arial" w:hAnsi="Arial" w:cs="Arial"/>
          <w:sz w:val="16"/>
          <w:szCs w:val="16"/>
        </w:rPr>
        <w:t xml:space="preserve"> years</w:t>
      </w:r>
      <w:r w:rsidRPr="00F76E9B">
        <w:rPr>
          <w:rFonts w:ascii="Arial" w:hAnsi="Arial"/>
          <w:sz w:val="16"/>
        </w:rPr>
        <w:t xml:space="preserve"> / 2</w:t>
      </w:r>
      <w:r w:rsidRPr="00C337C7">
        <w:rPr>
          <w:rFonts w:ascii="Arial" w:hAnsi="Arial" w:cs="Arial"/>
          <w:sz w:val="16"/>
          <w:szCs w:val="16"/>
        </w:rPr>
        <w:t xml:space="preserve"> years after</w:t>
      </w:r>
      <w:r w:rsidRPr="00F76E9B">
        <w:rPr>
          <w:rFonts w:ascii="Arial" w:hAnsi="Arial"/>
          <w:sz w:val="16"/>
        </w:rPr>
        <w:t xml:space="preserve"> the start of ICI treatment were 79.8%, 89.5%, and 80.2%, respectively. The 1-year PFS rate </w:t>
      </w:r>
      <w:r w:rsidR="00EA5235">
        <w:rPr>
          <w:rFonts w:ascii="Arial" w:hAnsi="Arial"/>
          <w:sz w:val="16"/>
        </w:rPr>
        <w:t xml:space="preserve">at </w:t>
      </w:r>
      <w:r w:rsidRPr="00F76E9B">
        <w:rPr>
          <w:rFonts w:ascii="Arial" w:hAnsi="Arial"/>
          <w:sz w:val="16"/>
        </w:rPr>
        <w:t>1</w:t>
      </w:r>
      <w:r w:rsidRPr="00C337C7">
        <w:rPr>
          <w:rFonts w:ascii="Arial" w:hAnsi="Arial" w:cs="Arial"/>
          <w:sz w:val="16"/>
          <w:szCs w:val="16"/>
        </w:rPr>
        <w:t xml:space="preserve"> </w:t>
      </w:r>
      <w:r w:rsidRPr="00F76E9B">
        <w:rPr>
          <w:rFonts w:ascii="Arial" w:hAnsi="Arial"/>
          <w:sz w:val="16"/>
        </w:rPr>
        <w:t>year / 1.5</w:t>
      </w:r>
      <w:r w:rsidRPr="00C337C7">
        <w:rPr>
          <w:rFonts w:ascii="Arial" w:hAnsi="Arial" w:cs="Arial"/>
          <w:sz w:val="16"/>
          <w:szCs w:val="16"/>
        </w:rPr>
        <w:t xml:space="preserve"> years</w:t>
      </w:r>
      <w:r w:rsidRPr="00F76E9B">
        <w:rPr>
          <w:rFonts w:ascii="Arial" w:hAnsi="Arial"/>
          <w:sz w:val="16"/>
        </w:rPr>
        <w:t xml:space="preserve"> / 2</w:t>
      </w:r>
      <w:r w:rsidRPr="00C337C7">
        <w:rPr>
          <w:rFonts w:ascii="Arial" w:hAnsi="Arial" w:cs="Arial"/>
          <w:sz w:val="16"/>
          <w:szCs w:val="16"/>
        </w:rPr>
        <w:t xml:space="preserve"> years after</w:t>
      </w:r>
      <w:r w:rsidRPr="00F76E9B">
        <w:rPr>
          <w:rFonts w:ascii="Arial" w:hAnsi="Arial"/>
          <w:sz w:val="16"/>
        </w:rPr>
        <w:t xml:space="preserve"> the start of ICI treatment were 69.9%, 72.2%, and 76.5%, respectively.</w:t>
      </w:r>
    </w:p>
    <w:p w14:paraId="1942321A" w14:textId="61D38925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Abbreviations:</w:t>
      </w:r>
      <w:r>
        <w:rPr>
          <w:rFonts w:ascii="Arial" w:hAnsi="Arial"/>
          <w:sz w:val="16"/>
        </w:rPr>
        <w:t xml:space="preserve"> LT group, patients receiving initial immune checkpoint inhibitor for &gt;1 year without progression disease; </w:t>
      </w:r>
      <w:r w:rsidRPr="00F76E9B">
        <w:rPr>
          <w:rFonts w:ascii="Arial" w:hAnsi="Arial"/>
          <w:sz w:val="16"/>
        </w:rPr>
        <w:t>ICI, immune checkpoint inhibitor</w:t>
      </w:r>
      <w:r>
        <w:rPr>
          <w:rFonts w:ascii="Arial" w:hAnsi="Arial"/>
          <w:sz w:val="16"/>
        </w:rPr>
        <w:t xml:space="preserve">; </w:t>
      </w:r>
      <w:r w:rsidRPr="00F76E9B">
        <w:rPr>
          <w:rFonts w:ascii="Arial" w:hAnsi="Arial"/>
          <w:sz w:val="16"/>
        </w:rPr>
        <w:t>PFS, progression-free survival</w:t>
      </w:r>
      <w:r>
        <w:rPr>
          <w:rFonts w:ascii="Arial" w:hAnsi="Arial"/>
          <w:sz w:val="16"/>
        </w:rPr>
        <w:t>.</w:t>
      </w:r>
    </w:p>
    <w:p w14:paraId="1B88DE46" w14:textId="77777777" w:rsidR="00D24EDD" w:rsidRDefault="00D24EDD">
      <w:r>
        <w:br w:type="page"/>
      </w:r>
    </w:p>
    <w:p w14:paraId="6CC3DA33" w14:textId="0B412E55" w:rsidR="00D24EDD" w:rsidRPr="00F76E9B" w:rsidRDefault="00D24EDD" w:rsidP="00D24EDD">
      <w:pPr>
        <w:rPr>
          <w:rFonts w:ascii="Arial" w:hAnsi="Arial"/>
          <w:b/>
        </w:rPr>
      </w:pPr>
      <w:r w:rsidRPr="00F76E9B">
        <w:rPr>
          <w:rFonts w:ascii="Arial" w:hAnsi="Arial"/>
          <w:b/>
        </w:rPr>
        <w:lastRenderedPageBreak/>
        <w:t>F</w:t>
      </w:r>
      <w:r>
        <w:rPr>
          <w:rFonts w:ascii="Arial" w:hAnsi="Arial"/>
          <w:b/>
        </w:rPr>
        <w:t>IGURE</w:t>
      </w:r>
      <w:r w:rsidRPr="00F76E9B">
        <w:rPr>
          <w:rFonts w:ascii="Arial" w:hAnsi="Arial"/>
          <w:b/>
        </w:rPr>
        <w:t xml:space="preserve"> </w:t>
      </w:r>
      <w:r w:rsidR="0086126D">
        <w:rPr>
          <w:rFonts w:ascii="Arial" w:hAnsi="Arial"/>
          <w:b/>
        </w:rPr>
        <w:t>S</w:t>
      </w:r>
      <w:r w:rsidRPr="00F76E9B">
        <w:rPr>
          <w:rFonts w:ascii="Arial" w:hAnsi="Arial"/>
          <w:b/>
        </w:rPr>
        <w:t xml:space="preserve">8 Overall </w:t>
      </w:r>
      <w:r w:rsidRPr="00C337C7">
        <w:rPr>
          <w:rFonts w:ascii="Arial" w:hAnsi="Arial" w:cs="Arial"/>
          <w:b/>
          <w:bCs/>
        </w:rPr>
        <w:t>survival</w:t>
      </w:r>
      <w:r w:rsidRPr="00F76E9B">
        <w:rPr>
          <w:rFonts w:ascii="Arial" w:hAnsi="Arial"/>
          <w:b/>
        </w:rPr>
        <w:t xml:space="preserve"> in all patients</w:t>
      </w:r>
      <w:r w:rsidRPr="00C337C7">
        <w:rPr>
          <w:rFonts w:ascii="Arial" w:hAnsi="Arial" w:cs="Arial"/>
          <w:b/>
          <w:bCs/>
        </w:rPr>
        <w:t xml:space="preserve"> who</w:t>
      </w:r>
      <w:r w:rsidR="007C443C">
        <w:rPr>
          <w:rFonts w:ascii="Arial" w:hAnsi="Arial" w:cs="Arial"/>
          <w:b/>
          <w:bCs/>
        </w:rPr>
        <w:t xml:space="preserve"> were administered</w:t>
      </w:r>
      <w:r w:rsidRPr="00C337C7">
        <w:rPr>
          <w:rFonts w:ascii="Arial" w:hAnsi="Arial" w:cs="Arial"/>
          <w:b/>
          <w:bCs/>
        </w:rPr>
        <w:t xml:space="preserve"> rechallenge treatment</w:t>
      </w:r>
    </w:p>
    <w:p w14:paraId="3096CE44" w14:textId="77777777" w:rsidR="00D24EDD" w:rsidRPr="00D24EDD" w:rsidRDefault="005E78EC">
      <w:r>
        <w:rPr>
          <w:noProof/>
          <w:lang w:val="en-IN" w:eastAsia="en-IN"/>
        </w:rPr>
        <w:drawing>
          <wp:inline distT="0" distB="0" distL="0" distR="0" wp14:anchorId="3E3DCF8E" wp14:editId="645048BC">
            <wp:extent cx="5400040" cy="303784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C45F" w14:textId="1B78398F" w:rsidR="00D24EDD" w:rsidRPr="00F76E9B" w:rsidRDefault="00D24EDD" w:rsidP="00D24EDD">
      <w:pPr>
        <w:rPr>
          <w:rFonts w:ascii="Arial" w:hAnsi="Arial"/>
          <w:sz w:val="16"/>
        </w:rPr>
      </w:pPr>
      <w:r w:rsidRPr="00F76E9B">
        <w:rPr>
          <w:rFonts w:ascii="Arial" w:hAnsi="Arial"/>
          <w:sz w:val="16"/>
        </w:rPr>
        <w:t>Kaplan</w:t>
      </w:r>
      <w:r w:rsidR="00AD4E93">
        <w:rPr>
          <w:rFonts w:ascii="Arial" w:hAnsi="Arial"/>
          <w:sz w:val="16"/>
        </w:rPr>
        <w:t>–</w:t>
      </w:r>
      <w:r w:rsidRPr="00F76E9B">
        <w:rPr>
          <w:rFonts w:ascii="Arial" w:hAnsi="Arial"/>
          <w:sz w:val="16"/>
        </w:rPr>
        <w:t xml:space="preserve">Meier curves of overall survival </w:t>
      </w:r>
      <w:r w:rsidR="00953EC5">
        <w:rPr>
          <w:rFonts w:ascii="Arial" w:hAnsi="Arial"/>
          <w:sz w:val="16"/>
        </w:rPr>
        <w:t>in all</w:t>
      </w:r>
      <w:r w:rsidR="00953EC5" w:rsidRPr="00F76E9B">
        <w:rPr>
          <w:rFonts w:ascii="Arial" w:hAnsi="Arial"/>
          <w:sz w:val="16"/>
        </w:rPr>
        <w:t xml:space="preserve"> patients </w:t>
      </w:r>
      <w:r w:rsidRPr="00F76E9B">
        <w:rPr>
          <w:rFonts w:ascii="Arial" w:hAnsi="Arial"/>
          <w:sz w:val="16"/>
        </w:rPr>
        <w:t>from the start of rechallenge treatment.</w:t>
      </w:r>
    </w:p>
    <w:p w14:paraId="084136CC" w14:textId="77777777" w:rsidR="00D24EDD" w:rsidRPr="00D24EDD" w:rsidRDefault="00D24EDD"/>
    <w:p w14:paraId="48DFF21F" w14:textId="77777777" w:rsidR="00D24EDD" w:rsidRPr="009076D5" w:rsidRDefault="00D24EDD"/>
    <w:sectPr w:rsidR="00D24EDD" w:rsidRPr="009076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27"/>
    <w:rsid w:val="0008245D"/>
    <w:rsid w:val="000E0551"/>
    <w:rsid w:val="00136E2E"/>
    <w:rsid w:val="00137A83"/>
    <w:rsid w:val="00231C1F"/>
    <w:rsid w:val="00256DD8"/>
    <w:rsid w:val="00264D1B"/>
    <w:rsid w:val="002A42EC"/>
    <w:rsid w:val="002B4495"/>
    <w:rsid w:val="002E7961"/>
    <w:rsid w:val="00317AA4"/>
    <w:rsid w:val="003849AB"/>
    <w:rsid w:val="00386507"/>
    <w:rsid w:val="003C63D9"/>
    <w:rsid w:val="003E2271"/>
    <w:rsid w:val="0044035B"/>
    <w:rsid w:val="00475924"/>
    <w:rsid w:val="005128E5"/>
    <w:rsid w:val="00597D89"/>
    <w:rsid w:val="005E78EC"/>
    <w:rsid w:val="006403BB"/>
    <w:rsid w:val="00645416"/>
    <w:rsid w:val="00680307"/>
    <w:rsid w:val="006A285E"/>
    <w:rsid w:val="006D3D30"/>
    <w:rsid w:val="006E4A69"/>
    <w:rsid w:val="006F1575"/>
    <w:rsid w:val="006F29A2"/>
    <w:rsid w:val="006F71B6"/>
    <w:rsid w:val="00762724"/>
    <w:rsid w:val="0076692C"/>
    <w:rsid w:val="007C443C"/>
    <w:rsid w:val="0080090F"/>
    <w:rsid w:val="00825AC8"/>
    <w:rsid w:val="0086126D"/>
    <w:rsid w:val="008B61A1"/>
    <w:rsid w:val="008D293B"/>
    <w:rsid w:val="008E795B"/>
    <w:rsid w:val="009076D5"/>
    <w:rsid w:val="009427E3"/>
    <w:rsid w:val="00953EC5"/>
    <w:rsid w:val="00960D20"/>
    <w:rsid w:val="00990710"/>
    <w:rsid w:val="009B73A6"/>
    <w:rsid w:val="00AA7B27"/>
    <w:rsid w:val="00AD4894"/>
    <w:rsid w:val="00AD4E93"/>
    <w:rsid w:val="00B02039"/>
    <w:rsid w:val="00B32ED6"/>
    <w:rsid w:val="00B65EC0"/>
    <w:rsid w:val="00B66252"/>
    <w:rsid w:val="00B81BAC"/>
    <w:rsid w:val="00B85511"/>
    <w:rsid w:val="00C110AE"/>
    <w:rsid w:val="00C13570"/>
    <w:rsid w:val="00CD674C"/>
    <w:rsid w:val="00CE03A3"/>
    <w:rsid w:val="00D01EBF"/>
    <w:rsid w:val="00D24EDD"/>
    <w:rsid w:val="00D44006"/>
    <w:rsid w:val="00D9237E"/>
    <w:rsid w:val="00DC5075"/>
    <w:rsid w:val="00E16BFF"/>
    <w:rsid w:val="00E2604E"/>
    <w:rsid w:val="00E53511"/>
    <w:rsid w:val="00E64631"/>
    <w:rsid w:val="00E87580"/>
    <w:rsid w:val="00EA5235"/>
    <w:rsid w:val="00EE148C"/>
    <w:rsid w:val="00F331F5"/>
    <w:rsid w:val="00F552A8"/>
    <w:rsid w:val="00F6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A5C883"/>
  <w15:chartTrackingRefBased/>
  <w15:docId w15:val="{81943C5C-5CAF-1F4E-A0AB-B2E40FA35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B27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7B27"/>
    <w:rPr>
      <w:rFonts w:ascii="ＭＳ 明朝" w:eastAsia="ＭＳ 明朝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A285E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A285E"/>
    <w:rPr>
      <w:sz w:val="24"/>
    </w:rPr>
  </w:style>
  <w:style w:type="character" w:customStyle="1" w:styleId="a7">
    <w:name w:val="コメント文字列 (文字)"/>
    <w:basedOn w:val="a0"/>
    <w:link w:val="a6"/>
    <w:uiPriority w:val="99"/>
    <w:semiHidden/>
    <w:rsid w:val="006A285E"/>
    <w:rPr>
      <w:sz w:val="24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A285E"/>
    <w:rPr>
      <w:b/>
      <w:bCs/>
      <w:sz w:val="20"/>
      <w:szCs w:val="20"/>
    </w:rPr>
  </w:style>
  <w:style w:type="character" w:customStyle="1" w:styleId="a9">
    <w:name w:val="コメント内容 (文字)"/>
    <w:basedOn w:val="a7"/>
    <w:link w:val="a8"/>
    <w:uiPriority w:val="99"/>
    <w:semiHidden/>
    <w:rsid w:val="006A28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 祥太郎</dc:creator>
  <cp:keywords/>
  <dc:description/>
  <cp:lastModifiedBy>石丸 恵</cp:lastModifiedBy>
  <cp:revision>2</cp:revision>
  <dcterms:created xsi:type="dcterms:W3CDTF">2021-07-05T05:23:00Z</dcterms:created>
  <dcterms:modified xsi:type="dcterms:W3CDTF">2021-07-05T05:23:00Z</dcterms:modified>
</cp:coreProperties>
</file>