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93D61" w14:textId="4E52D3D1" w:rsidR="009C3955" w:rsidRPr="00596E84" w:rsidRDefault="009C3955">
      <w:pPr>
        <w:rPr>
          <w:rFonts w:ascii="Century" w:hAnsi="Century"/>
          <w:b/>
          <w:bCs/>
        </w:rPr>
      </w:pPr>
      <w:r w:rsidRPr="00596E84">
        <w:rPr>
          <w:rFonts w:ascii="Century" w:hAnsi="Century" w:hint="eastAsia"/>
          <w:b/>
          <w:bCs/>
        </w:rPr>
        <w:t>S</w:t>
      </w:r>
      <w:r w:rsidRPr="00596E84">
        <w:rPr>
          <w:rFonts w:ascii="Century" w:hAnsi="Century"/>
          <w:b/>
          <w:bCs/>
        </w:rPr>
        <w:t xml:space="preserve">upplemental </w:t>
      </w:r>
      <w:r w:rsidR="00782F9B">
        <w:rPr>
          <w:rFonts w:ascii="Century" w:hAnsi="Century"/>
          <w:b/>
          <w:bCs/>
        </w:rPr>
        <w:t>t</w:t>
      </w:r>
      <w:r w:rsidRPr="00596E84">
        <w:rPr>
          <w:rFonts w:ascii="Century" w:hAnsi="Century"/>
          <w:b/>
          <w:bCs/>
        </w:rPr>
        <w:t xml:space="preserve">able 1. Residual analysis </w:t>
      </w:r>
      <w:r w:rsidR="00782F9B">
        <w:rPr>
          <w:rFonts w:ascii="Century" w:hAnsi="Century"/>
          <w:b/>
          <w:bCs/>
        </w:rPr>
        <w:t>for</w:t>
      </w:r>
      <w:r w:rsidR="00782F9B" w:rsidRPr="00596E84">
        <w:rPr>
          <w:rFonts w:ascii="Century" w:hAnsi="Century"/>
          <w:b/>
          <w:bCs/>
        </w:rPr>
        <w:t xml:space="preserve"> adverse event</w:t>
      </w:r>
      <w:r w:rsidR="00782F9B">
        <w:rPr>
          <w:rFonts w:ascii="Century" w:hAnsi="Century"/>
          <w:b/>
          <w:bCs/>
        </w:rPr>
        <w:t xml:space="preserve"> of chemoradiotherapy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C3955" w14:paraId="33541E58" w14:textId="77777777" w:rsidTr="00596E84">
        <w:tc>
          <w:tcPr>
            <w:tcW w:w="1698" w:type="dxa"/>
          </w:tcPr>
          <w:p w14:paraId="4727036D" w14:textId="77777777" w:rsidR="009C3955" w:rsidRPr="009C3955" w:rsidRDefault="009C3955">
            <w:pPr>
              <w:rPr>
                <w:rFonts w:ascii="Century" w:hAnsi="Century"/>
              </w:rPr>
            </w:pPr>
          </w:p>
        </w:tc>
        <w:tc>
          <w:tcPr>
            <w:tcW w:w="6796" w:type="dxa"/>
            <w:gridSpan w:val="4"/>
            <w:tcBorders>
              <w:bottom w:val="single" w:sz="4" w:space="0" w:color="auto"/>
            </w:tcBorders>
          </w:tcPr>
          <w:p w14:paraId="70F648CF" w14:textId="394DEEDF" w:rsidR="009C3955" w:rsidRPr="00596E84" w:rsidRDefault="009C3955" w:rsidP="00596E84">
            <w:pPr>
              <w:jc w:val="center"/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Adjusted standardized residual</w:t>
            </w:r>
          </w:p>
        </w:tc>
      </w:tr>
      <w:tr w:rsidR="009C3955" w14:paraId="2BF3CE13" w14:textId="77777777" w:rsidTr="00596E84">
        <w:tc>
          <w:tcPr>
            <w:tcW w:w="1698" w:type="dxa"/>
            <w:tcBorders>
              <w:bottom w:val="single" w:sz="4" w:space="0" w:color="auto"/>
            </w:tcBorders>
          </w:tcPr>
          <w:p w14:paraId="3D1CD43C" w14:textId="6B4F02E5" w:rsidR="009C3955" w:rsidRPr="009C3955" w:rsidRDefault="009C3955" w:rsidP="009C3955">
            <w:pPr>
              <w:rPr>
                <w:rFonts w:ascii="Century" w:hAnsi="Century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6D977" w14:textId="09963122" w:rsidR="009C3955" w:rsidRPr="00596E84" w:rsidRDefault="009C3955" w:rsidP="00596E84">
            <w:pPr>
              <w:jc w:val="center"/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PEG tube use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171A4" w14:textId="222C21B1" w:rsidR="009C3955" w:rsidRPr="00596E84" w:rsidRDefault="009C3955" w:rsidP="00596E84">
            <w:pPr>
              <w:jc w:val="center"/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NG tube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15806" w14:textId="0F6CC145" w:rsidR="009C3955" w:rsidRPr="00596E84" w:rsidRDefault="009C3955" w:rsidP="00596E84">
            <w:pPr>
              <w:jc w:val="center"/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TPN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6B9AC7E7" w14:textId="5A3F296A" w:rsidR="009C3955" w:rsidRPr="00596E84" w:rsidRDefault="009C3955" w:rsidP="00596E84">
            <w:pPr>
              <w:jc w:val="center"/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Oral intake alone</w:t>
            </w:r>
          </w:p>
        </w:tc>
      </w:tr>
      <w:tr w:rsidR="009C3955" w14:paraId="63F8F437" w14:textId="77777777" w:rsidTr="00596E84">
        <w:tc>
          <w:tcPr>
            <w:tcW w:w="1698" w:type="dxa"/>
            <w:tcBorders>
              <w:top w:val="single" w:sz="4" w:space="0" w:color="auto"/>
            </w:tcBorders>
          </w:tcPr>
          <w:p w14:paraId="43356AC5" w14:textId="506B0F9E" w:rsidR="009C3955" w:rsidRPr="00596E84" w:rsidRDefault="009C3955" w:rsidP="009C3955">
            <w:pPr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Fever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734DE66C" w14:textId="77777777" w:rsidR="009C3955" w:rsidRPr="009C3955" w:rsidRDefault="009C3955" w:rsidP="009C3955">
            <w:pPr>
              <w:rPr>
                <w:rFonts w:ascii="Century" w:hAnsi="Century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0E8DBBCB" w14:textId="77777777" w:rsidR="009C3955" w:rsidRPr="009C3955" w:rsidRDefault="009C3955" w:rsidP="009C3955">
            <w:pPr>
              <w:rPr>
                <w:rFonts w:ascii="Century" w:hAnsi="Century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6E6A0647" w14:textId="77777777" w:rsidR="009C3955" w:rsidRPr="009C3955" w:rsidRDefault="009C3955" w:rsidP="009C3955">
            <w:pPr>
              <w:rPr>
                <w:rFonts w:ascii="Century" w:hAnsi="Century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747FC016" w14:textId="77777777" w:rsidR="009C3955" w:rsidRPr="009C3955" w:rsidRDefault="009C3955" w:rsidP="009C3955">
            <w:pPr>
              <w:rPr>
                <w:rFonts w:ascii="Century" w:hAnsi="Century"/>
              </w:rPr>
            </w:pPr>
          </w:p>
        </w:tc>
      </w:tr>
      <w:tr w:rsidR="00596E84" w14:paraId="53C45480" w14:textId="77777777" w:rsidTr="009C3955">
        <w:tc>
          <w:tcPr>
            <w:tcW w:w="1698" w:type="dxa"/>
          </w:tcPr>
          <w:p w14:paraId="60BDD54B" w14:textId="36431058" w:rsidR="00596E84" w:rsidRPr="00596E84" w:rsidRDefault="00596E84" w:rsidP="00596E84">
            <w:pPr>
              <w:ind w:firstLineChars="100" w:firstLine="206"/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G0</w:t>
            </w:r>
          </w:p>
        </w:tc>
        <w:tc>
          <w:tcPr>
            <w:tcW w:w="1699" w:type="dxa"/>
          </w:tcPr>
          <w:p w14:paraId="6DAC8CFD" w14:textId="3DA4407C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-2.921</w:t>
            </w:r>
            <w:r>
              <w:t>*</w:t>
            </w:r>
          </w:p>
        </w:tc>
        <w:tc>
          <w:tcPr>
            <w:tcW w:w="1699" w:type="dxa"/>
          </w:tcPr>
          <w:p w14:paraId="0FA9B196" w14:textId="0AD3F1D1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-2.961</w:t>
            </w:r>
            <w:r>
              <w:t>*</w:t>
            </w:r>
          </w:p>
        </w:tc>
        <w:tc>
          <w:tcPr>
            <w:tcW w:w="1699" w:type="dxa"/>
          </w:tcPr>
          <w:p w14:paraId="7C0E7BB7" w14:textId="4A94F1F2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-3.400</w:t>
            </w:r>
            <w:r>
              <w:t>*</w:t>
            </w:r>
          </w:p>
        </w:tc>
        <w:tc>
          <w:tcPr>
            <w:tcW w:w="1699" w:type="dxa"/>
          </w:tcPr>
          <w:p w14:paraId="52AD0C79" w14:textId="15FD1920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6.172</w:t>
            </w:r>
            <w:r>
              <w:t>*</w:t>
            </w:r>
          </w:p>
        </w:tc>
      </w:tr>
      <w:tr w:rsidR="00596E84" w14:paraId="66C0545F" w14:textId="77777777" w:rsidTr="009C3955">
        <w:tc>
          <w:tcPr>
            <w:tcW w:w="1698" w:type="dxa"/>
          </w:tcPr>
          <w:p w14:paraId="2DEA8479" w14:textId="45D6C1AE" w:rsidR="00596E84" w:rsidRPr="00596E84" w:rsidRDefault="00596E84" w:rsidP="00596E84">
            <w:pPr>
              <w:ind w:firstLineChars="100" w:firstLine="206"/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G1</w:t>
            </w:r>
          </w:p>
        </w:tc>
        <w:tc>
          <w:tcPr>
            <w:tcW w:w="1699" w:type="dxa"/>
          </w:tcPr>
          <w:p w14:paraId="18E8E4DC" w14:textId="05CE528D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1.341</w:t>
            </w:r>
          </w:p>
        </w:tc>
        <w:tc>
          <w:tcPr>
            <w:tcW w:w="1699" w:type="dxa"/>
          </w:tcPr>
          <w:p w14:paraId="39A089AA" w14:textId="7FF08E6D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2.410</w:t>
            </w:r>
            <w:r>
              <w:t>*</w:t>
            </w:r>
          </w:p>
        </w:tc>
        <w:tc>
          <w:tcPr>
            <w:tcW w:w="1699" w:type="dxa"/>
          </w:tcPr>
          <w:p w14:paraId="5ECE0C02" w14:textId="4EACF7A1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0.179</w:t>
            </w:r>
          </w:p>
        </w:tc>
        <w:tc>
          <w:tcPr>
            <w:tcW w:w="1699" w:type="dxa"/>
          </w:tcPr>
          <w:p w14:paraId="21AF8CFC" w14:textId="29B99886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-2.599</w:t>
            </w:r>
            <w:r>
              <w:t>*</w:t>
            </w:r>
          </w:p>
        </w:tc>
      </w:tr>
      <w:tr w:rsidR="00596E84" w14:paraId="0CEFD6D1" w14:textId="77777777" w:rsidTr="00596E84">
        <w:tc>
          <w:tcPr>
            <w:tcW w:w="1698" w:type="dxa"/>
            <w:tcBorders>
              <w:bottom w:val="single" w:sz="4" w:space="0" w:color="BFBFBF" w:themeColor="background1" w:themeShade="BF"/>
            </w:tcBorders>
          </w:tcPr>
          <w:p w14:paraId="7B719C85" w14:textId="5AD11583" w:rsidR="00596E84" w:rsidRPr="00596E84" w:rsidRDefault="00596E84" w:rsidP="00596E84">
            <w:pPr>
              <w:ind w:firstLineChars="100" w:firstLine="206"/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G2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</w:tcPr>
          <w:p w14:paraId="508E9C9E" w14:textId="57419A94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1.953</w:t>
            </w:r>
            <w:r>
              <w:t>*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</w:tcPr>
          <w:p w14:paraId="0A1B2E72" w14:textId="0C87E7A3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0.488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</w:tcPr>
          <w:p w14:paraId="4FD1851C" w14:textId="4F129E9D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2.844</w:t>
            </w:r>
            <w:r>
              <w:t>*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</w:tcPr>
          <w:p w14:paraId="33EC57C4" w14:textId="501D137C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-3.702</w:t>
            </w:r>
            <w:r>
              <w:t>*</w:t>
            </w:r>
          </w:p>
        </w:tc>
      </w:tr>
      <w:tr w:rsidR="00596E84" w14:paraId="033E730A" w14:textId="77777777" w:rsidTr="00596E84">
        <w:tc>
          <w:tcPr>
            <w:tcW w:w="1698" w:type="dxa"/>
            <w:tcBorders>
              <w:bottom w:val="single" w:sz="4" w:space="0" w:color="auto"/>
            </w:tcBorders>
          </w:tcPr>
          <w:p w14:paraId="6810D6E1" w14:textId="2233329C" w:rsidR="00596E84" w:rsidRPr="00596E84" w:rsidRDefault="00596E84" w:rsidP="00596E84">
            <w:pPr>
              <w:ind w:firstLineChars="100" w:firstLine="206"/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G3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9107677" w14:textId="133091C8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0.816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79D8F51" w14:textId="49555CE1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1.222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28FF955" w14:textId="185BD4BD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2.908</w:t>
            </w:r>
            <w:r>
              <w:t>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85D02BA" w14:textId="06816ED7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862255">
              <w:t>-2.983</w:t>
            </w:r>
            <w:r>
              <w:t>*</w:t>
            </w:r>
          </w:p>
        </w:tc>
      </w:tr>
      <w:tr w:rsidR="006E5C16" w14:paraId="45E7DEC2" w14:textId="77777777" w:rsidTr="0045568C">
        <w:tc>
          <w:tcPr>
            <w:tcW w:w="3397" w:type="dxa"/>
            <w:gridSpan w:val="2"/>
            <w:tcBorders>
              <w:top w:val="single" w:sz="4" w:space="0" w:color="auto"/>
            </w:tcBorders>
          </w:tcPr>
          <w:p w14:paraId="7E089DDC" w14:textId="70455E6C" w:rsidR="006E5C16" w:rsidRPr="009C3955" w:rsidRDefault="006E5C16" w:rsidP="006E5C16">
            <w:pPr>
              <w:jc w:val="left"/>
              <w:rPr>
                <w:rFonts w:ascii="Century" w:hAnsi="Century"/>
              </w:rPr>
            </w:pPr>
            <w:r w:rsidRPr="00596E84">
              <w:rPr>
                <w:rFonts w:ascii="Century" w:hAnsi="Century"/>
                <w:b/>
                <w:bCs/>
              </w:rPr>
              <w:t>Aspiration</w:t>
            </w:r>
            <w:r>
              <w:rPr>
                <w:rFonts w:ascii="Century" w:hAnsi="Century"/>
                <w:b/>
                <w:bCs/>
              </w:rPr>
              <w:t xml:space="preserve"> pneumonia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B9D0AA4" w14:textId="77777777" w:rsidR="006E5C16" w:rsidRPr="009C3955" w:rsidRDefault="006E5C16" w:rsidP="00596E8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42AE0A06" w14:textId="77777777" w:rsidR="006E5C16" w:rsidRPr="009C3955" w:rsidRDefault="006E5C16" w:rsidP="00596E8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9C356DB" w14:textId="77777777" w:rsidR="006E5C16" w:rsidRPr="009C3955" w:rsidRDefault="006E5C16" w:rsidP="00596E84">
            <w:pPr>
              <w:jc w:val="center"/>
              <w:rPr>
                <w:rFonts w:ascii="Century" w:hAnsi="Century"/>
              </w:rPr>
            </w:pPr>
          </w:p>
        </w:tc>
      </w:tr>
      <w:tr w:rsidR="00596E84" w14:paraId="77FEE0EC" w14:textId="77777777" w:rsidTr="00596E84">
        <w:tc>
          <w:tcPr>
            <w:tcW w:w="1698" w:type="dxa"/>
            <w:tcBorders>
              <w:bottom w:val="single" w:sz="4" w:space="0" w:color="BFBFBF" w:themeColor="background1" w:themeShade="BF"/>
            </w:tcBorders>
          </w:tcPr>
          <w:p w14:paraId="3160D944" w14:textId="6F98E122" w:rsidR="00596E84" w:rsidRPr="00596E84" w:rsidRDefault="00210A22" w:rsidP="00596E84">
            <w:pPr>
              <w:ind w:firstLineChars="100" w:firstLine="206"/>
              <w:rPr>
                <w:rFonts w:ascii="Century" w:hAnsi="Century"/>
                <w:b/>
                <w:bCs/>
              </w:rPr>
            </w:pPr>
            <w:r w:rsidRPr="005377F0">
              <w:rPr>
                <w:b/>
                <w:bCs/>
              </w:rPr>
              <w:t>–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</w:tcPr>
          <w:p w14:paraId="6B7BDB6B" w14:textId="0D410E71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3307F1">
              <w:t>-0.995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</w:tcPr>
          <w:p w14:paraId="099D9049" w14:textId="2E85EC13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3307F1">
              <w:t>-4.809</w:t>
            </w:r>
            <w:r>
              <w:t>*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</w:tcPr>
          <w:p w14:paraId="7CB4F018" w14:textId="3A2A948E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3307F1">
              <w:t>-2.041</w:t>
            </w:r>
            <w:r>
              <w:t>*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</w:tcPr>
          <w:p w14:paraId="446BD609" w14:textId="0E7A3401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3307F1">
              <w:t>4.455</w:t>
            </w:r>
            <w:r>
              <w:t>*</w:t>
            </w:r>
          </w:p>
        </w:tc>
      </w:tr>
      <w:tr w:rsidR="00596E84" w14:paraId="0E63FCD2" w14:textId="77777777" w:rsidTr="00596E84">
        <w:tc>
          <w:tcPr>
            <w:tcW w:w="1698" w:type="dxa"/>
            <w:tcBorders>
              <w:bottom w:val="single" w:sz="4" w:space="0" w:color="auto"/>
            </w:tcBorders>
          </w:tcPr>
          <w:p w14:paraId="4EEAE15B" w14:textId="2EF5951B" w:rsidR="00596E84" w:rsidRPr="00596E84" w:rsidRDefault="00210A22" w:rsidP="00596E84">
            <w:pPr>
              <w:ind w:firstLineChars="100" w:firstLine="206"/>
              <w:rPr>
                <w:rFonts w:ascii="Century" w:hAnsi="Century"/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3D43721" w14:textId="3B5FB052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3307F1">
              <w:t>0.995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1F53A304" w14:textId="62BE50B1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3307F1">
              <w:t>4.809</w:t>
            </w:r>
            <w:r>
              <w:t>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6A18281" w14:textId="0E91E7E7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3307F1">
              <w:t>2.041</w:t>
            </w:r>
            <w:r>
              <w:t>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D187597" w14:textId="0129CEDA" w:rsidR="00596E84" w:rsidRPr="009C3955" w:rsidRDefault="00596E84" w:rsidP="00596E84">
            <w:pPr>
              <w:jc w:val="center"/>
              <w:rPr>
                <w:rFonts w:ascii="Century" w:hAnsi="Century"/>
              </w:rPr>
            </w:pPr>
            <w:r w:rsidRPr="003307F1">
              <w:t>-4.455</w:t>
            </w:r>
            <w:r>
              <w:t>*</w:t>
            </w:r>
          </w:p>
        </w:tc>
      </w:tr>
    </w:tbl>
    <w:p w14:paraId="317D706C" w14:textId="3BF1356C" w:rsidR="009C3955" w:rsidRDefault="00596E84">
      <w:pPr>
        <w:rPr>
          <w:rFonts w:ascii="Century" w:hAnsi="Century"/>
        </w:rPr>
      </w:pPr>
      <w:r w:rsidRPr="00596E84">
        <w:rPr>
          <w:rFonts w:ascii="Century" w:hAnsi="Century"/>
        </w:rPr>
        <w:t>PEG: percutaneous endoscopic gastrostomy, NG tube: nasogastric tube, TPN: total parenteral nutrition</w:t>
      </w:r>
    </w:p>
    <w:p w14:paraId="2F9B3ADE" w14:textId="7EA2030A" w:rsidR="00596E84" w:rsidRDefault="00596E84">
      <w:pPr>
        <w:rPr>
          <w:rFonts w:ascii="Century" w:hAnsi="Century"/>
        </w:rPr>
      </w:pPr>
      <w:r>
        <w:rPr>
          <w:rFonts w:ascii="Century" w:hAnsi="Century" w:hint="eastAsia"/>
        </w:rPr>
        <w:t>*</w:t>
      </w:r>
      <w:r w:rsidRPr="00596E84">
        <w:rPr>
          <w:rFonts w:ascii="Century" w:hAnsi="Century"/>
          <w:i/>
          <w:iCs/>
        </w:rPr>
        <w:t>p</w:t>
      </w:r>
      <w:r>
        <w:rPr>
          <w:rFonts w:ascii="Century" w:hAnsi="Century"/>
        </w:rPr>
        <w:t xml:space="preserve"> &lt; 0.05</w:t>
      </w:r>
    </w:p>
    <w:p w14:paraId="285B9D6E" w14:textId="5DB3561B" w:rsidR="00596E84" w:rsidRDefault="00596E84">
      <w:pPr>
        <w:widowControl/>
        <w:jc w:val="left"/>
        <w:rPr>
          <w:rFonts w:ascii="Century" w:hAnsi="Century"/>
        </w:rPr>
      </w:pPr>
      <w:r>
        <w:rPr>
          <w:rFonts w:ascii="Century" w:hAnsi="Century"/>
        </w:rPr>
        <w:br w:type="page"/>
      </w:r>
    </w:p>
    <w:p w14:paraId="57EFB019" w14:textId="1A9198F0" w:rsidR="00596E84" w:rsidRPr="00596E84" w:rsidRDefault="00596E84" w:rsidP="00596E84">
      <w:pPr>
        <w:rPr>
          <w:rFonts w:ascii="Century" w:hAnsi="Century"/>
          <w:b/>
          <w:bCs/>
        </w:rPr>
      </w:pPr>
      <w:r w:rsidRPr="00596E84">
        <w:rPr>
          <w:rFonts w:ascii="Century" w:hAnsi="Century" w:hint="eastAsia"/>
          <w:b/>
          <w:bCs/>
        </w:rPr>
        <w:lastRenderedPageBreak/>
        <w:t>S</w:t>
      </w:r>
      <w:r w:rsidRPr="00596E84">
        <w:rPr>
          <w:rFonts w:ascii="Century" w:hAnsi="Century"/>
          <w:b/>
          <w:bCs/>
        </w:rPr>
        <w:t xml:space="preserve">upplemental </w:t>
      </w:r>
      <w:r w:rsidR="00782F9B">
        <w:rPr>
          <w:rFonts w:ascii="Century" w:hAnsi="Century"/>
          <w:b/>
          <w:bCs/>
        </w:rPr>
        <w:t>t</w:t>
      </w:r>
      <w:r w:rsidRPr="00596E84">
        <w:rPr>
          <w:rFonts w:ascii="Century" w:hAnsi="Century"/>
          <w:b/>
          <w:bCs/>
        </w:rPr>
        <w:t xml:space="preserve">able </w:t>
      </w:r>
      <w:r>
        <w:rPr>
          <w:rFonts w:ascii="Century" w:hAnsi="Century"/>
          <w:b/>
          <w:bCs/>
        </w:rPr>
        <w:t>2</w:t>
      </w:r>
      <w:r w:rsidRPr="00596E84">
        <w:rPr>
          <w:rFonts w:ascii="Century" w:hAnsi="Century"/>
          <w:b/>
          <w:bCs/>
        </w:rPr>
        <w:t xml:space="preserve">. Residual analysis </w:t>
      </w:r>
      <w:r w:rsidR="00782F9B">
        <w:rPr>
          <w:rFonts w:ascii="Century" w:hAnsi="Century"/>
          <w:b/>
          <w:bCs/>
        </w:rPr>
        <w:t>for</w:t>
      </w:r>
      <w:r w:rsidRPr="00596E84">
        <w:rPr>
          <w:rFonts w:ascii="Century" w:hAnsi="Century"/>
          <w:b/>
          <w:bCs/>
        </w:rPr>
        <w:t xml:space="preserve"> </w:t>
      </w:r>
      <w:r w:rsidR="00782F9B">
        <w:rPr>
          <w:rFonts w:ascii="Century" w:hAnsi="Century"/>
          <w:b/>
          <w:bCs/>
        </w:rPr>
        <w:t>completion rate of chemoradiotherapy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96E84" w14:paraId="786BE86B" w14:textId="77777777" w:rsidTr="002C19DF">
        <w:tc>
          <w:tcPr>
            <w:tcW w:w="1698" w:type="dxa"/>
          </w:tcPr>
          <w:p w14:paraId="21438A1F" w14:textId="77777777" w:rsidR="00596E84" w:rsidRPr="00782F9B" w:rsidRDefault="00596E84" w:rsidP="002C19DF">
            <w:pPr>
              <w:rPr>
                <w:rFonts w:ascii="Century" w:hAnsi="Century"/>
              </w:rPr>
            </w:pPr>
          </w:p>
        </w:tc>
        <w:tc>
          <w:tcPr>
            <w:tcW w:w="6796" w:type="dxa"/>
            <w:gridSpan w:val="4"/>
            <w:tcBorders>
              <w:bottom w:val="single" w:sz="4" w:space="0" w:color="auto"/>
            </w:tcBorders>
          </w:tcPr>
          <w:p w14:paraId="37169556" w14:textId="77777777" w:rsidR="00596E84" w:rsidRPr="00596E84" w:rsidRDefault="00596E84" w:rsidP="002C19DF">
            <w:pPr>
              <w:jc w:val="center"/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Adjusted standardized residual</w:t>
            </w:r>
          </w:p>
        </w:tc>
      </w:tr>
      <w:tr w:rsidR="00596E84" w14:paraId="08E55D9D" w14:textId="77777777" w:rsidTr="002C19DF">
        <w:tc>
          <w:tcPr>
            <w:tcW w:w="1698" w:type="dxa"/>
            <w:tcBorders>
              <w:bottom w:val="single" w:sz="4" w:space="0" w:color="auto"/>
            </w:tcBorders>
          </w:tcPr>
          <w:p w14:paraId="5EC04B74" w14:textId="77777777" w:rsidR="00596E84" w:rsidRPr="009C3955" w:rsidRDefault="00596E84" w:rsidP="002C19DF">
            <w:pPr>
              <w:rPr>
                <w:rFonts w:ascii="Century" w:hAnsi="Century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B8147" w14:textId="77777777" w:rsidR="00596E84" w:rsidRPr="00596E84" w:rsidRDefault="00596E84" w:rsidP="002C19DF">
            <w:pPr>
              <w:jc w:val="center"/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PEG tube use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B35FE" w14:textId="77777777" w:rsidR="00596E84" w:rsidRPr="00596E84" w:rsidRDefault="00596E84" w:rsidP="002C19DF">
            <w:pPr>
              <w:jc w:val="center"/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NG tube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329C4" w14:textId="77777777" w:rsidR="00596E84" w:rsidRPr="00596E84" w:rsidRDefault="00596E84" w:rsidP="002C19DF">
            <w:pPr>
              <w:jc w:val="center"/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TPN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5EB60B89" w14:textId="77777777" w:rsidR="00596E84" w:rsidRPr="00596E84" w:rsidRDefault="00596E84" w:rsidP="002C19DF">
            <w:pPr>
              <w:jc w:val="center"/>
              <w:rPr>
                <w:rFonts w:ascii="Century" w:hAnsi="Century"/>
                <w:b/>
                <w:bCs/>
              </w:rPr>
            </w:pPr>
            <w:r w:rsidRPr="00596E84">
              <w:rPr>
                <w:rFonts w:ascii="Century" w:hAnsi="Century"/>
                <w:b/>
                <w:bCs/>
              </w:rPr>
              <w:t>Oral intake alone</w:t>
            </w:r>
          </w:p>
        </w:tc>
      </w:tr>
      <w:tr w:rsidR="00596E84" w14:paraId="6C67460F" w14:textId="77777777" w:rsidTr="002C19DF">
        <w:tc>
          <w:tcPr>
            <w:tcW w:w="1698" w:type="dxa"/>
            <w:tcBorders>
              <w:top w:val="single" w:sz="4" w:space="0" w:color="auto"/>
            </w:tcBorders>
          </w:tcPr>
          <w:p w14:paraId="26D01E9F" w14:textId="0A66A6EA" w:rsidR="00596E84" w:rsidRPr="00596E84" w:rsidRDefault="00782F9B" w:rsidP="002C19DF">
            <w:pPr>
              <w:rPr>
                <w:rFonts w:ascii="Century" w:hAnsi="Century"/>
                <w:b/>
                <w:bCs/>
              </w:rPr>
            </w:pPr>
            <w:r>
              <w:rPr>
                <w:rFonts w:ascii="Century" w:hAnsi="Century"/>
                <w:b/>
                <w:bCs/>
              </w:rPr>
              <w:t>Completion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193378EE" w14:textId="77777777" w:rsidR="00596E84" w:rsidRPr="009C3955" w:rsidRDefault="00596E84" w:rsidP="002C19D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66B2FAA8" w14:textId="77777777" w:rsidR="00596E84" w:rsidRPr="009C3955" w:rsidRDefault="00596E84" w:rsidP="002C19D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7B46E1B5" w14:textId="77777777" w:rsidR="00596E84" w:rsidRPr="009C3955" w:rsidRDefault="00596E84" w:rsidP="002C19D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694DE56C" w14:textId="77777777" w:rsidR="00596E84" w:rsidRPr="009C3955" w:rsidRDefault="00596E84" w:rsidP="002C19DF">
            <w:pPr>
              <w:jc w:val="center"/>
              <w:rPr>
                <w:rFonts w:ascii="Century" w:hAnsi="Century"/>
              </w:rPr>
            </w:pPr>
          </w:p>
        </w:tc>
      </w:tr>
      <w:tr w:rsidR="00782F9B" w14:paraId="6B32CB6C" w14:textId="77777777" w:rsidTr="002C19DF">
        <w:tc>
          <w:tcPr>
            <w:tcW w:w="1698" w:type="dxa"/>
            <w:tcBorders>
              <w:bottom w:val="single" w:sz="4" w:space="0" w:color="BFBFBF" w:themeColor="background1" w:themeShade="BF"/>
            </w:tcBorders>
          </w:tcPr>
          <w:p w14:paraId="50F7A7E2" w14:textId="27424181" w:rsidR="00782F9B" w:rsidRPr="00596E84" w:rsidRDefault="00782F9B" w:rsidP="00782F9B">
            <w:pPr>
              <w:ind w:firstLineChars="100" w:firstLine="206"/>
              <w:rPr>
                <w:rFonts w:ascii="Century" w:hAnsi="Century"/>
                <w:b/>
                <w:bCs/>
              </w:rPr>
            </w:pPr>
            <w:r>
              <w:rPr>
                <w:rFonts w:ascii="Century" w:hAnsi="Century" w:hint="eastAsia"/>
                <w:b/>
                <w:bCs/>
              </w:rPr>
              <w:t>Y</w:t>
            </w:r>
            <w:r>
              <w:rPr>
                <w:rFonts w:ascii="Century" w:hAnsi="Century"/>
                <w:b/>
                <w:bCs/>
              </w:rPr>
              <w:t>es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</w:tcPr>
          <w:p w14:paraId="47F05B73" w14:textId="7E5743E0" w:rsidR="00782F9B" w:rsidRPr="009C3955" w:rsidRDefault="00782F9B" w:rsidP="00782F9B">
            <w:pPr>
              <w:jc w:val="center"/>
              <w:rPr>
                <w:rFonts w:ascii="Century" w:hAnsi="Century"/>
              </w:rPr>
            </w:pPr>
            <w:r w:rsidRPr="007A2C70">
              <w:t>0.513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</w:tcPr>
          <w:p w14:paraId="6AF11627" w14:textId="138EB939" w:rsidR="00782F9B" w:rsidRPr="009C3955" w:rsidRDefault="00782F9B" w:rsidP="00782F9B">
            <w:pPr>
              <w:jc w:val="center"/>
              <w:rPr>
                <w:rFonts w:ascii="Century" w:hAnsi="Century"/>
              </w:rPr>
            </w:pPr>
            <w:r w:rsidRPr="007A2C70">
              <w:t>-2.539</w:t>
            </w:r>
            <w:r>
              <w:t>*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</w:tcPr>
          <w:p w14:paraId="3DEBCC08" w14:textId="5A9DB87E" w:rsidR="00782F9B" w:rsidRPr="009C3955" w:rsidRDefault="00782F9B" w:rsidP="00782F9B">
            <w:pPr>
              <w:jc w:val="center"/>
              <w:rPr>
                <w:rFonts w:ascii="Century" w:hAnsi="Century"/>
              </w:rPr>
            </w:pPr>
            <w:r w:rsidRPr="007A2C70">
              <w:t>-1.785</w:t>
            </w:r>
            <w:r>
              <w:t>*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</w:tcPr>
          <w:p w14:paraId="19FF1E1C" w14:textId="0DCC752A" w:rsidR="00782F9B" w:rsidRPr="009C3955" w:rsidRDefault="00782F9B" w:rsidP="00782F9B">
            <w:pPr>
              <w:jc w:val="center"/>
              <w:rPr>
                <w:rFonts w:ascii="Century" w:hAnsi="Century"/>
              </w:rPr>
            </w:pPr>
            <w:r w:rsidRPr="007A2C70">
              <w:t>1.756</w:t>
            </w:r>
            <w:r>
              <w:t>*</w:t>
            </w:r>
          </w:p>
        </w:tc>
      </w:tr>
      <w:tr w:rsidR="00782F9B" w14:paraId="13E0625D" w14:textId="77777777" w:rsidTr="002C19DF">
        <w:tc>
          <w:tcPr>
            <w:tcW w:w="1698" w:type="dxa"/>
            <w:tcBorders>
              <w:bottom w:val="single" w:sz="4" w:space="0" w:color="auto"/>
            </w:tcBorders>
          </w:tcPr>
          <w:p w14:paraId="16B2D15E" w14:textId="1D10A3F2" w:rsidR="00782F9B" w:rsidRPr="00596E84" w:rsidRDefault="00782F9B" w:rsidP="00782F9B">
            <w:pPr>
              <w:ind w:firstLineChars="100" w:firstLine="206"/>
              <w:rPr>
                <w:rFonts w:ascii="Century" w:hAnsi="Century"/>
                <w:b/>
                <w:bCs/>
              </w:rPr>
            </w:pPr>
            <w:r>
              <w:rPr>
                <w:rFonts w:ascii="Century" w:hAnsi="Century" w:hint="eastAsia"/>
                <w:b/>
                <w:bCs/>
              </w:rPr>
              <w:t>N</w:t>
            </w:r>
            <w:r>
              <w:rPr>
                <w:rFonts w:ascii="Century" w:hAnsi="Century"/>
                <w:b/>
                <w:bCs/>
              </w:rPr>
              <w:t>o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516C29C" w14:textId="1FAF8111" w:rsidR="00782F9B" w:rsidRPr="009C3955" w:rsidRDefault="00782F9B" w:rsidP="00782F9B">
            <w:pPr>
              <w:jc w:val="center"/>
              <w:rPr>
                <w:rFonts w:ascii="Century" w:hAnsi="Century"/>
              </w:rPr>
            </w:pPr>
            <w:r w:rsidRPr="007A2C70">
              <w:t>-0.513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534D51B" w14:textId="656479B3" w:rsidR="00782F9B" w:rsidRPr="009C3955" w:rsidRDefault="00782F9B" w:rsidP="00782F9B">
            <w:pPr>
              <w:jc w:val="center"/>
              <w:rPr>
                <w:rFonts w:ascii="Century" w:hAnsi="Century"/>
              </w:rPr>
            </w:pPr>
            <w:r w:rsidRPr="007A2C70">
              <w:t>2.539</w:t>
            </w:r>
            <w:r>
              <w:t>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46E03F01" w14:textId="6FBBAC43" w:rsidR="00782F9B" w:rsidRPr="009C3955" w:rsidRDefault="00782F9B" w:rsidP="00782F9B">
            <w:pPr>
              <w:jc w:val="center"/>
              <w:rPr>
                <w:rFonts w:ascii="Century" w:hAnsi="Century"/>
              </w:rPr>
            </w:pPr>
            <w:r w:rsidRPr="007A2C70">
              <w:t>1.785</w:t>
            </w:r>
            <w:r>
              <w:t>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3DDED2B" w14:textId="77B7723E" w:rsidR="00782F9B" w:rsidRPr="009C3955" w:rsidRDefault="00782F9B" w:rsidP="00782F9B">
            <w:pPr>
              <w:jc w:val="center"/>
              <w:rPr>
                <w:rFonts w:ascii="Century" w:hAnsi="Century"/>
              </w:rPr>
            </w:pPr>
            <w:r w:rsidRPr="007A2C70">
              <w:t>-1.756</w:t>
            </w:r>
            <w:r>
              <w:t>*</w:t>
            </w:r>
          </w:p>
        </w:tc>
      </w:tr>
    </w:tbl>
    <w:p w14:paraId="222A582A" w14:textId="77777777" w:rsidR="00596E84" w:rsidRDefault="00596E84" w:rsidP="00596E84">
      <w:pPr>
        <w:rPr>
          <w:rFonts w:ascii="Century" w:hAnsi="Century"/>
        </w:rPr>
      </w:pPr>
      <w:r w:rsidRPr="00596E84">
        <w:rPr>
          <w:rFonts w:ascii="Century" w:hAnsi="Century"/>
        </w:rPr>
        <w:t>PEG: percutaneous endoscopic gastrostomy, NG tube: nasogastric tube, TPN: total parenteral nutrition</w:t>
      </w:r>
    </w:p>
    <w:p w14:paraId="4D84F695" w14:textId="77777777" w:rsidR="00596E84" w:rsidRDefault="00596E84" w:rsidP="00596E84">
      <w:pPr>
        <w:rPr>
          <w:rFonts w:ascii="Century" w:hAnsi="Century"/>
        </w:rPr>
      </w:pPr>
      <w:r>
        <w:rPr>
          <w:rFonts w:ascii="Century" w:hAnsi="Century" w:hint="eastAsia"/>
        </w:rPr>
        <w:t>*</w:t>
      </w:r>
      <w:r w:rsidRPr="00596E84">
        <w:rPr>
          <w:rFonts w:ascii="Century" w:hAnsi="Century"/>
          <w:i/>
          <w:iCs/>
        </w:rPr>
        <w:t>p</w:t>
      </w:r>
      <w:r>
        <w:rPr>
          <w:rFonts w:ascii="Century" w:hAnsi="Century"/>
        </w:rPr>
        <w:t xml:space="preserve"> &lt; 0.05</w:t>
      </w:r>
    </w:p>
    <w:p w14:paraId="43FB3F25" w14:textId="77777777" w:rsidR="00596E84" w:rsidRPr="00596E84" w:rsidRDefault="00596E84">
      <w:pPr>
        <w:rPr>
          <w:rFonts w:ascii="Century" w:hAnsi="Century"/>
        </w:rPr>
      </w:pPr>
    </w:p>
    <w:sectPr w:rsidR="00596E84" w:rsidRPr="00596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E7F32" w14:textId="77777777" w:rsidR="00210A22" w:rsidRDefault="00210A22" w:rsidP="00210A22">
      <w:r>
        <w:separator/>
      </w:r>
    </w:p>
  </w:endnote>
  <w:endnote w:type="continuationSeparator" w:id="0">
    <w:p w14:paraId="56D0B9EB" w14:textId="77777777" w:rsidR="00210A22" w:rsidRDefault="00210A22" w:rsidP="0021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B87A1" w14:textId="77777777" w:rsidR="00210A22" w:rsidRDefault="00210A22" w:rsidP="00210A22">
      <w:r>
        <w:separator/>
      </w:r>
    </w:p>
  </w:footnote>
  <w:footnote w:type="continuationSeparator" w:id="0">
    <w:p w14:paraId="18257B1C" w14:textId="77777777" w:rsidR="00210A22" w:rsidRDefault="00210A22" w:rsidP="00210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55"/>
    <w:rsid w:val="00163C68"/>
    <w:rsid w:val="00210A22"/>
    <w:rsid w:val="00596E84"/>
    <w:rsid w:val="00697F5E"/>
    <w:rsid w:val="006E5C16"/>
    <w:rsid w:val="00782F9B"/>
    <w:rsid w:val="007915E8"/>
    <w:rsid w:val="007F4003"/>
    <w:rsid w:val="009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646D6"/>
  <w15:chartTrackingRefBased/>
  <w15:docId w15:val="{5BB16237-1287-458B-9FCA-56270777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C39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210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A22"/>
  </w:style>
  <w:style w:type="paragraph" w:styleId="a7">
    <w:name w:val="footer"/>
    <w:basedOn w:val="a"/>
    <w:link w:val="a8"/>
    <w:uiPriority w:val="99"/>
    <w:unhideWhenUsed/>
    <w:rsid w:val="00210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里志</dc:creator>
  <cp:keywords/>
  <dc:description/>
  <cp:lastModifiedBy>加納 里志</cp:lastModifiedBy>
  <cp:revision>3</cp:revision>
  <dcterms:created xsi:type="dcterms:W3CDTF">2020-10-31T04:16:00Z</dcterms:created>
  <dcterms:modified xsi:type="dcterms:W3CDTF">2020-11-01T07:19:00Z</dcterms:modified>
</cp:coreProperties>
</file>