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11F6" w:rsidRPr="006E1803" w:rsidRDefault="000B11F6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ja-JP"/>
        </w:rPr>
      </w:pPr>
      <w:bookmarkStart w:id="0" w:name="OLE_LINK39"/>
      <w:bookmarkStart w:id="1" w:name="OLE_LINK40"/>
      <w:bookmarkStart w:id="2" w:name="_GoBack"/>
    </w:p>
    <w:p w:rsidR="000B11F6" w:rsidRPr="006E1803" w:rsidRDefault="000B11F6" w:rsidP="000B11F6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6E18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Table 1 </w:t>
      </w:r>
      <w:r w:rsidR="00CE2CCE" w:rsidRPr="006E18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Number of samples </w:t>
      </w:r>
      <w:r w:rsidR="000F77B4" w:rsidRPr="006E18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obtained</w:t>
      </w:r>
      <w:r w:rsidR="00CE2CCE" w:rsidRPr="006E18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during the </w:t>
      </w:r>
      <w:r w:rsidRPr="006E18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first survey (from </w:t>
      </w:r>
      <w:r w:rsidR="00491EFE" w:rsidRPr="006E18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March 31</w:t>
      </w:r>
      <w:r w:rsidRPr="006E18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, 2011 to </w:t>
      </w:r>
      <w:r w:rsidR="00491EFE" w:rsidRPr="006E18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August 5,</w:t>
      </w:r>
      <w:r w:rsidRPr="006E18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2011)</w:t>
      </w:r>
      <w:r w:rsidR="00CE2CCE" w:rsidRPr="006E18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modified from (Sato, 2014)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1018"/>
        <w:gridCol w:w="2049"/>
        <w:gridCol w:w="1113"/>
        <w:gridCol w:w="878"/>
        <w:gridCol w:w="710"/>
        <w:gridCol w:w="3588"/>
      </w:tblGrid>
      <w:tr w:rsidR="006E1803" w:rsidRPr="006E1803" w:rsidTr="00CE2CCE">
        <w:trPr>
          <w:trHeight w:val="315"/>
        </w:trPr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Duration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Paddy field</w:t>
            </w:r>
            <w:r w:rsidR="000F77B4"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Others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F77B4" w:rsidP="000B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</w:t>
            </w:r>
            <w:r w:rsidR="000B11F6"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ote</w:t>
            </w:r>
          </w:p>
        </w:tc>
      </w:tr>
      <w:tr w:rsidR="006E1803" w:rsidRPr="006E1803" w:rsidTr="00CE2CCE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First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DF5768" w:rsidP="000B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March </w:t>
            </w:r>
            <w:r w:rsidR="000B11F6"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31</w:t>
            </w: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– April </w:t>
            </w:r>
            <w:r w:rsidR="000B11F6"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E1803" w:rsidRPr="006E1803" w:rsidTr="00CE2CCE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Second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DF5768" w:rsidP="000B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April </w:t>
            </w:r>
            <w:r w:rsidR="000B11F6"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6</w:t>
            </w: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– April </w:t>
            </w:r>
            <w:r w:rsidR="000B11F6"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E1803" w:rsidRPr="006E1803" w:rsidTr="00CE2CCE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Third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DF5768" w:rsidP="000B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April </w:t>
            </w:r>
            <w:r w:rsidR="000B11F6"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15</w:t>
            </w: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– April </w:t>
            </w:r>
            <w:r w:rsidR="000B11F6"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E1803" w:rsidRPr="006E1803" w:rsidTr="00CE2CCE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Fourth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DF5768" w:rsidP="000B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April </w:t>
            </w:r>
            <w:r w:rsidR="000B11F6"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E1803" w:rsidRPr="006E1803" w:rsidTr="00CE2CCE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Fifth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DF5768" w:rsidP="000B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May </w:t>
            </w:r>
            <w:r w:rsidR="000B11F6"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30</w:t>
            </w: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– June </w:t>
            </w:r>
            <w:r w:rsidR="000B11F6"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E1803" w:rsidRPr="006E1803" w:rsidTr="00CE2CCE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CE2CC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Sixth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DF5768" w:rsidP="00CE2CC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June </w:t>
            </w:r>
            <w:r w:rsidR="000B11F6"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23</w:t>
            </w: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– June </w:t>
            </w:r>
            <w:r w:rsidR="000B11F6"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CE2CC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CE2CC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CE2CC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Evacuation-prepared areas in case of emergency, etc.</w:t>
            </w:r>
          </w:p>
        </w:tc>
      </w:tr>
      <w:tr w:rsidR="006E1803" w:rsidRPr="006E1803" w:rsidTr="00CE2CCE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CE2CC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Seventh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DF5768" w:rsidP="00CE2CC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July </w:t>
            </w:r>
            <w:r w:rsidR="000B11F6"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6</w:t>
            </w: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– July </w:t>
            </w:r>
            <w:r w:rsidR="000B11F6"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CE2CC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CE2CC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CE2CC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Special areas where evacuation was encouraged, etc.</w:t>
            </w:r>
          </w:p>
        </w:tc>
      </w:tr>
      <w:tr w:rsidR="006E1803" w:rsidRPr="006E1803" w:rsidTr="00CE2CCE">
        <w:trPr>
          <w:trHeight w:val="315"/>
        </w:trPr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Eighth</w:t>
            </w:r>
          </w:p>
        </w:tc>
        <w:tc>
          <w:tcPr>
            <w:tcW w:w="20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DF5768" w:rsidP="000B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July </w:t>
            </w:r>
            <w:r w:rsidR="000B11F6"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27</w:t>
            </w: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– August </w:t>
            </w:r>
            <w:r w:rsidR="000B11F6"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35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Restricted areas (within 20</w:t>
            </w:r>
            <w:r w:rsidR="00CE2CCE"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km</w:t>
            </w:r>
            <w:r w:rsidR="00CE2CCE"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from FDNPP</w:t>
            </w: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).</w:t>
            </w:r>
          </w:p>
        </w:tc>
      </w:tr>
      <w:tr w:rsidR="000B11F6" w:rsidRPr="006E1803" w:rsidTr="00CE2CCE">
        <w:trPr>
          <w:trHeight w:val="315"/>
        </w:trPr>
        <w:tc>
          <w:tcPr>
            <w:tcW w:w="10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0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8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35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</w:tbl>
    <w:p w:rsidR="00CE2CCE" w:rsidRPr="006E1803" w:rsidRDefault="00CE2CCE" w:rsidP="009D49DB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:rsidR="00CE2CCE" w:rsidRPr="006E1803" w:rsidRDefault="00CE2CCE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6E18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br w:type="page"/>
      </w:r>
    </w:p>
    <w:p w:rsidR="000B11F6" w:rsidRPr="006E1803" w:rsidRDefault="000B11F6" w:rsidP="009D49DB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6E18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lastRenderedPageBreak/>
        <w:t>Table 2</w:t>
      </w:r>
      <w:r w:rsidR="00CE2CCE" w:rsidRPr="006E18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</w:t>
      </w:r>
      <w:r w:rsidRPr="006E18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CE2CCE" w:rsidRPr="006E18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Number of samples </w:t>
      </w:r>
      <w:r w:rsidR="000F77B4" w:rsidRPr="006E18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obtained</w:t>
      </w:r>
      <w:r w:rsidR="00CE2CCE" w:rsidRPr="006E18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during the</w:t>
      </w:r>
      <w:r w:rsidRPr="006E18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second survey (from October</w:t>
      </w:r>
      <w:r w:rsidR="00491EFE" w:rsidRPr="006E18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24,</w:t>
      </w:r>
      <w:r w:rsidRPr="006E18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2011 to February</w:t>
      </w:r>
      <w:r w:rsidR="00491EFE" w:rsidRPr="006E18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3,</w:t>
      </w:r>
      <w:r w:rsidRPr="006E18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2012)</w:t>
      </w:r>
      <w:r w:rsidR="00CE2CCE" w:rsidRPr="006E18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modified from (Sato, 2014)</w:t>
      </w:r>
    </w:p>
    <w:tbl>
      <w:tblPr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2551"/>
        <w:gridCol w:w="1134"/>
        <w:gridCol w:w="851"/>
        <w:gridCol w:w="708"/>
        <w:gridCol w:w="1738"/>
        <w:gridCol w:w="2516"/>
      </w:tblGrid>
      <w:tr w:rsidR="006E1803" w:rsidRPr="006E1803" w:rsidTr="00CE2CCE">
        <w:trPr>
          <w:trHeight w:val="315"/>
          <w:jc w:val="center"/>
        </w:trPr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Paddy field</w:t>
            </w:r>
            <w:r w:rsidR="000F77B4"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Others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Operated sites by private companies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Operated sites by Fukushima prefecture*</w:t>
            </w:r>
          </w:p>
        </w:tc>
      </w:tr>
      <w:tr w:rsidR="006E1803" w:rsidRPr="006E1803" w:rsidTr="00CE2CCE">
        <w:trPr>
          <w:trHeight w:val="315"/>
          <w:jc w:val="center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Kenpoku</w:t>
            </w:r>
            <w:proofErr w:type="spellEnd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(Northern area)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</w:tr>
      <w:tr w:rsidR="006E1803" w:rsidRPr="006E1803" w:rsidTr="00CE2CCE">
        <w:trPr>
          <w:trHeight w:val="315"/>
          <w:jc w:val="center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Kencyu</w:t>
            </w:r>
            <w:proofErr w:type="spellEnd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(Middle area)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</w:tr>
      <w:tr w:rsidR="006E1803" w:rsidRPr="006E1803" w:rsidTr="00CE2CCE">
        <w:trPr>
          <w:trHeight w:val="315"/>
          <w:jc w:val="center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Kennan (Southern area)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</w:t>
            </w:r>
          </w:p>
        </w:tc>
      </w:tr>
      <w:tr w:rsidR="006E1803" w:rsidRPr="006E1803" w:rsidTr="00CE2CCE">
        <w:trPr>
          <w:trHeight w:val="315"/>
          <w:jc w:val="center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Aidu</w:t>
            </w:r>
            <w:proofErr w:type="spellEnd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(Western area)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</w:t>
            </w:r>
          </w:p>
        </w:tc>
      </w:tr>
      <w:tr w:rsidR="006E1803" w:rsidRPr="006E1803" w:rsidTr="00CE2CCE">
        <w:trPr>
          <w:trHeight w:val="315"/>
          <w:jc w:val="center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Minami Aizu (Far west area)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</w:t>
            </w:r>
          </w:p>
        </w:tc>
      </w:tr>
      <w:tr w:rsidR="006E1803" w:rsidRPr="006E1803" w:rsidTr="00CE2CCE">
        <w:trPr>
          <w:trHeight w:val="315"/>
          <w:jc w:val="center"/>
        </w:trPr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Souso</w:t>
            </w:r>
            <w:proofErr w:type="spellEnd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(Coastal area)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7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2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432</w:t>
            </w:r>
          </w:p>
        </w:tc>
      </w:tr>
      <w:tr w:rsidR="006E1803" w:rsidRPr="006E1803" w:rsidTr="00CE2CCE">
        <w:trPr>
          <w:trHeight w:val="315"/>
          <w:jc w:val="center"/>
        </w:trPr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Iwaki (Iwaki area)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7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2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</w:t>
            </w:r>
          </w:p>
        </w:tc>
      </w:tr>
      <w:tr w:rsidR="006E1803" w:rsidRPr="006E1803" w:rsidTr="00CE2CCE">
        <w:trPr>
          <w:trHeight w:val="315"/>
          <w:jc w:val="center"/>
        </w:trPr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1316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931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2247</w:t>
            </w:r>
          </w:p>
        </w:tc>
        <w:tc>
          <w:tcPr>
            <w:tcW w:w="17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1808</w:t>
            </w:r>
          </w:p>
        </w:tc>
        <w:tc>
          <w:tcPr>
            <w:tcW w:w="25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1F6" w:rsidRPr="006E1803" w:rsidRDefault="000B11F6" w:rsidP="000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439</w:t>
            </w:r>
          </w:p>
        </w:tc>
      </w:tr>
    </w:tbl>
    <w:p w:rsidR="00CE2CCE" w:rsidRPr="006E1803" w:rsidRDefault="00CE2CCE" w:rsidP="000B11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6E18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* Fukushima prefecture consists of FATC and Fukushima Agriculture and Forestry Office. </w:t>
      </w:r>
    </w:p>
    <w:p w:rsidR="000B11F6" w:rsidRPr="006E1803" w:rsidRDefault="000B11F6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6E18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br w:type="page"/>
      </w:r>
    </w:p>
    <w:p w:rsidR="005F1101" w:rsidRPr="006E1803" w:rsidRDefault="005F1101" w:rsidP="005F1101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6E18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lastRenderedPageBreak/>
        <w:t>Table 3. Inspection method of Fukushima prefecture in 2011.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552"/>
        <w:gridCol w:w="3969"/>
        <w:gridCol w:w="2835"/>
      </w:tblGrid>
      <w:tr w:rsidR="006E1803" w:rsidRPr="006E1803" w:rsidTr="00CE2CC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101" w:rsidRPr="006E1803" w:rsidRDefault="005F1101" w:rsidP="005F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Category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1101" w:rsidRPr="006E1803" w:rsidRDefault="005F1101" w:rsidP="005F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Applicable municipalities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1101" w:rsidRPr="006E1803" w:rsidRDefault="005F1101" w:rsidP="005F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Inspection number</w:t>
            </w:r>
          </w:p>
        </w:tc>
      </w:tr>
      <w:tr w:rsidR="006E1803" w:rsidRPr="006E1803" w:rsidTr="00CE2CCE">
        <w:trPr>
          <w:trHeight w:val="188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F1101" w:rsidRPr="006E1803" w:rsidRDefault="005F1101" w:rsidP="00CE2CC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a) </w:t>
            </w:r>
            <w:proofErr w:type="spellStart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Radiocaesium</w:t>
            </w:r>
            <w:proofErr w:type="spellEnd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concentration of agricultural field is more than 1,000Bq/kg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F1101" w:rsidRPr="006E1803" w:rsidRDefault="005F1101" w:rsidP="00CE2CC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Fukushima city, Kawamata town, Date city, Kori town, </w:t>
            </w:r>
            <w:proofErr w:type="spellStart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Kunimi</w:t>
            </w:r>
            <w:proofErr w:type="spellEnd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town, </w:t>
            </w:r>
            <w:proofErr w:type="spellStart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Nihonmatsu</w:t>
            </w:r>
            <w:proofErr w:type="spellEnd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city, </w:t>
            </w:r>
            <w:proofErr w:type="spellStart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Motomiya</w:t>
            </w:r>
            <w:proofErr w:type="spellEnd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city, </w:t>
            </w:r>
            <w:proofErr w:type="spellStart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Otama</w:t>
            </w:r>
            <w:proofErr w:type="spellEnd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village, Koriyama city, Tamura city, Miharu town, </w:t>
            </w:r>
            <w:proofErr w:type="spellStart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Sukagawa</w:t>
            </w:r>
            <w:proofErr w:type="spellEnd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city, </w:t>
            </w:r>
            <w:proofErr w:type="spellStart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Nishigo</w:t>
            </w:r>
            <w:proofErr w:type="spellEnd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village, </w:t>
            </w:r>
            <w:proofErr w:type="spellStart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Izumi</w:t>
            </w:r>
            <w:r w:rsidR="00780821"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z</w:t>
            </w: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aki</w:t>
            </w:r>
            <w:proofErr w:type="spellEnd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village, Ten</w:t>
            </w:r>
            <w:r w:rsidR="00780821"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</w:t>
            </w:r>
            <w:proofErr w:type="spellStart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ei</w:t>
            </w:r>
            <w:proofErr w:type="spellEnd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village, </w:t>
            </w:r>
            <w:proofErr w:type="spellStart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Kitakata</w:t>
            </w:r>
            <w:proofErr w:type="spellEnd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city, Yukawa village, Mishima town, Shinchi town, Soma city, and Iwaki city (21 cities, towns and villages)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F1101" w:rsidRPr="006E1803" w:rsidRDefault="005F1101" w:rsidP="00CE2CC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One sample from </w:t>
            </w:r>
            <w:r w:rsidR="00CE2CCE"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every </w:t>
            </w: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former municipalit</w:t>
            </w:r>
            <w:r w:rsidR="000F77B4"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y</w:t>
            </w: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*</w:t>
            </w: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br/>
              <w:t xml:space="preserve">If the number of former municipalities is </w:t>
            </w:r>
            <w:r w:rsidR="000F77B4"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less</w:t>
            </w: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than 5, </w:t>
            </w:r>
            <w:r w:rsidR="000F77B4"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the </w:t>
            </w: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total number of sample</w:t>
            </w:r>
            <w:r w:rsidR="000F77B4"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</w:t>
            </w: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is 5.</w:t>
            </w:r>
          </w:p>
        </w:tc>
      </w:tr>
      <w:tr w:rsidR="006E1803" w:rsidRPr="006E1803" w:rsidTr="00CE2CCE">
        <w:trPr>
          <w:trHeight w:val="2112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F1101" w:rsidRPr="006E1803" w:rsidRDefault="005F1101" w:rsidP="00CE2CC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b) Air dose rate is exceeding 0.1 µ</w:t>
            </w:r>
            <w:proofErr w:type="spellStart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Sv</w:t>
            </w:r>
            <w:proofErr w:type="spellEnd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/hr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F1101" w:rsidRPr="006E1803" w:rsidRDefault="005F1101" w:rsidP="00CE2CC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Kagamiishi</w:t>
            </w:r>
            <w:proofErr w:type="spellEnd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town, Ishikawa town, </w:t>
            </w:r>
            <w:proofErr w:type="spellStart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Tamagawa</w:t>
            </w:r>
            <w:proofErr w:type="spellEnd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village, Hirata village, Asakawa town, </w:t>
            </w:r>
            <w:proofErr w:type="spellStart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Furudono</w:t>
            </w:r>
            <w:proofErr w:type="spellEnd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town, Ono town, Shirakawa city, Nakajima village, </w:t>
            </w:r>
            <w:proofErr w:type="spellStart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Yabuki</w:t>
            </w:r>
            <w:proofErr w:type="spellEnd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town, </w:t>
            </w:r>
            <w:proofErr w:type="spellStart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Tanakura</w:t>
            </w:r>
            <w:proofErr w:type="spellEnd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town, </w:t>
            </w:r>
            <w:proofErr w:type="spellStart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Yamatsuri</w:t>
            </w:r>
            <w:proofErr w:type="spellEnd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town, </w:t>
            </w:r>
            <w:proofErr w:type="spellStart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Hanawa</w:t>
            </w:r>
            <w:proofErr w:type="spellEnd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town, </w:t>
            </w:r>
            <w:proofErr w:type="spellStart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Same</w:t>
            </w:r>
            <w:r w:rsidR="002739B5"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g</w:t>
            </w: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awa</w:t>
            </w:r>
            <w:proofErr w:type="spellEnd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village, </w:t>
            </w:r>
            <w:proofErr w:type="spellStart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Ai</w:t>
            </w:r>
            <w:r w:rsidR="008D6644"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z</w:t>
            </w: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uwakamatsu</w:t>
            </w:r>
            <w:proofErr w:type="spellEnd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city, Bandai town, </w:t>
            </w:r>
            <w:proofErr w:type="spellStart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Inawashiro</w:t>
            </w:r>
            <w:proofErr w:type="spellEnd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town, </w:t>
            </w:r>
            <w:proofErr w:type="spellStart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Kitashiobara</w:t>
            </w:r>
            <w:proofErr w:type="spellEnd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town, </w:t>
            </w:r>
            <w:proofErr w:type="spellStart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Ai</w:t>
            </w:r>
            <w:r w:rsidR="008D6644"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z</w:t>
            </w: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ubange</w:t>
            </w:r>
            <w:proofErr w:type="spellEnd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town, </w:t>
            </w:r>
            <w:proofErr w:type="spellStart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Yanai</w:t>
            </w:r>
            <w:r w:rsidR="002739B5"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z</w:t>
            </w: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u</w:t>
            </w:r>
            <w:proofErr w:type="spellEnd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town, </w:t>
            </w:r>
            <w:proofErr w:type="spellStart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Minamiai</w:t>
            </w:r>
            <w:r w:rsidR="0020535B"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z</w:t>
            </w: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u</w:t>
            </w:r>
            <w:proofErr w:type="spellEnd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town, </w:t>
            </w:r>
            <w:proofErr w:type="spellStart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Shimogo</w:t>
            </w:r>
            <w:proofErr w:type="spellEnd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town (22 cities, towns and villages)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101" w:rsidRPr="006E1803" w:rsidRDefault="005F1101" w:rsidP="00CE2CC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Five sample</w:t>
            </w:r>
            <w:r w:rsidR="000F77B4"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</w:t>
            </w: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from each municipality.</w:t>
            </w:r>
          </w:p>
        </w:tc>
      </w:tr>
      <w:tr w:rsidR="006E1803" w:rsidRPr="006E1803" w:rsidTr="00CE2CCE">
        <w:trPr>
          <w:trHeight w:val="945"/>
        </w:trPr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101" w:rsidRPr="006E1803" w:rsidRDefault="005F1101" w:rsidP="00CE2CCE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C) Selected cities, towns and villages </w:t>
            </w:r>
            <w:r w:rsidR="000F77B4"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in</w:t>
            </w: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Fukushima prefecture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101" w:rsidRPr="006E1803" w:rsidRDefault="005F1101" w:rsidP="00CE2CCE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Kanayama</w:t>
            </w:r>
            <w:proofErr w:type="spellEnd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town, Showa village, </w:t>
            </w:r>
            <w:proofErr w:type="spellStart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Ai</w:t>
            </w:r>
            <w:r w:rsidR="00780821"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z</w:t>
            </w: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umisato</w:t>
            </w:r>
            <w:proofErr w:type="spellEnd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town, </w:t>
            </w:r>
            <w:proofErr w:type="spellStart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Tadami</w:t>
            </w:r>
            <w:proofErr w:type="spellEnd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town, </w:t>
            </w:r>
            <w:proofErr w:type="spellStart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Nishiai</w:t>
            </w:r>
            <w:r w:rsidR="00780821"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z</w:t>
            </w: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u</w:t>
            </w:r>
            <w:proofErr w:type="spellEnd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town (5 towns and village)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1101" w:rsidRPr="006E1803" w:rsidRDefault="005F1101" w:rsidP="00CE2CCE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Five sample</w:t>
            </w:r>
            <w:r w:rsidR="000F77B4"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</w:t>
            </w: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from each municipality.</w:t>
            </w:r>
          </w:p>
        </w:tc>
      </w:tr>
    </w:tbl>
    <w:p w:rsidR="00CE2CCE" w:rsidRPr="006E1803" w:rsidRDefault="00CE2CCE" w:rsidP="005F11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6E18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* Former municipalities </w:t>
      </w:r>
      <w:r w:rsidR="000F77B4" w:rsidRPr="006E18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are</w:t>
      </w:r>
      <w:r w:rsidRPr="006E18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based on Census of Agriculture and Forestry (1950)</w:t>
      </w:r>
    </w:p>
    <w:p w:rsidR="009C6A14" w:rsidRPr="006E1803" w:rsidRDefault="009C6A1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E1803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9C6A14" w:rsidRPr="006E1803" w:rsidRDefault="009C6A14" w:rsidP="009C6A14">
      <w:pPr>
        <w:spacing w:before="120" w:after="24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6E18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lastRenderedPageBreak/>
        <w:t>Table 4. Brown rice inspection category in Fukushima (main inspection)</w:t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2840"/>
        <w:gridCol w:w="3680"/>
        <w:gridCol w:w="2320"/>
      </w:tblGrid>
      <w:tr w:rsidR="006E1803" w:rsidRPr="006E1803" w:rsidTr="009C6A14">
        <w:trPr>
          <w:trHeight w:val="315"/>
        </w:trPr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A14" w:rsidRPr="006E1803" w:rsidRDefault="009C6A14" w:rsidP="009C6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Category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A14" w:rsidRPr="006E1803" w:rsidRDefault="009C6A14" w:rsidP="009C6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Applicable municipalities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A14" w:rsidRPr="006E1803" w:rsidRDefault="009C6A14" w:rsidP="009C6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Inspection number</w:t>
            </w:r>
          </w:p>
        </w:tc>
      </w:tr>
      <w:tr w:rsidR="006E1803" w:rsidRPr="006E1803" w:rsidTr="009C6A14">
        <w:trPr>
          <w:trHeight w:val="1890"/>
        </w:trPr>
        <w:tc>
          <w:tcPr>
            <w:tcW w:w="28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9C6A14" w:rsidRPr="006E1803" w:rsidRDefault="009C6A14" w:rsidP="009C6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a) Priority investigation zone</w:t>
            </w:r>
          </w:p>
        </w:tc>
        <w:tc>
          <w:tcPr>
            <w:tcW w:w="36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6A14" w:rsidRPr="006E1803" w:rsidRDefault="009C6A14" w:rsidP="009C6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Municipalities where the radioactivity of brown rice exceeded 200 Bq/kg based on preliminary inspection, and other investigation zone</w:t>
            </w:r>
            <w:r w:rsidR="000F77B4"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</w:t>
            </w: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after main inspection.</w:t>
            </w:r>
          </w:p>
        </w:tc>
        <w:tc>
          <w:tcPr>
            <w:tcW w:w="232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A14" w:rsidRPr="006E1803" w:rsidRDefault="009C6A14" w:rsidP="009C6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Two samples from every </w:t>
            </w:r>
            <w:r w:rsidR="000F77B4"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approximately</w:t>
            </w: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15 ha (equivalent to each settlement)</w:t>
            </w:r>
          </w:p>
        </w:tc>
      </w:tr>
      <w:tr w:rsidR="006E1803" w:rsidRPr="006E1803" w:rsidTr="009C6A14">
        <w:trPr>
          <w:trHeight w:val="945"/>
        </w:trPr>
        <w:tc>
          <w:tcPr>
            <w:tcW w:w="284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6A14" w:rsidRPr="006E1803" w:rsidRDefault="009C6A14" w:rsidP="009C6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b) Other investigation zone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6A14" w:rsidRPr="006E1803" w:rsidRDefault="009C6A14" w:rsidP="009C6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Municipalities where the radioactivity of brown rice is </w:t>
            </w:r>
            <w:r w:rsidR="000F77B4"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less than</w:t>
            </w: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200 </w:t>
            </w:r>
            <w:proofErr w:type="spellStart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Bq</w:t>
            </w:r>
            <w:proofErr w:type="spellEnd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/kg.</w:t>
            </w:r>
          </w:p>
        </w:tc>
        <w:tc>
          <w:tcPr>
            <w:tcW w:w="23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A14" w:rsidRPr="006E1803" w:rsidRDefault="009C6A14" w:rsidP="009C6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Two samples from each former municipali</w:t>
            </w:r>
            <w:r w:rsidR="000F77B4"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ty</w:t>
            </w: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*.</w:t>
            </w:r>
          </w:p>
        </w:tc>
      </w:tr>
    </w:tbl>
    <w:p w:rsidR="00CE2CCE" w:rsidRPr="006E1803" w:rsidRDefault="00CE2CCE" w:rsidP="009C6A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6E18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* Former municipalities </w:t>
      </w:r>
      <w:r w:rsidR="000F77B4" w:rsidRPr="006E18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are</w:t>
      </w:r>
      <w:r w:rsidRPr="006E18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based on Census of Agriculture and Forestry (1950)</w:t>
      </w:r>
    </w:p>
    <w:p w:rsidR="009C6A14" w:rsidRPr="006E1803" w:rsidRDefault="009C6A1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E1803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8D2904" w:rsidRPr="006E1803" w:rsidRDefault="008D2904" w:rsidP="002A4D26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6E18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lastRenderedPageBreak/>
        <w:t>Table 5. Placement organi</w:t>
      </w:r>
      <w:r w:rsidR="000F77B4" w:rsidRPr="006E18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s</w:t>
      </w:r>
      <w:r w:rsidRPr="006E18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ation of the analytical instrument. (201</w:t>
      </w:r>
      <w:r w:rsidR="00D37547" w:rsidRPr="006E1803">
        <w:rPr>
          <w:rFonts w:ascii="ＭＳ 明朝" w:eastAsia="ＭＳ 明朝" w:hAnsi="ＭＳ 明朝" w:cs="ＭＳ 明朝"/>
          <w:color w:val="000000" w:themeColor="text1"/>
          <w:sz w:val="20"/>
          <w:szCs w:val="20"/>
          <w:lang w:val="en-US" w:eastAsia="ja-JP"/>
        </w:rPr>
        <w:t>9</w:t>
      </w:r>
      <w:r w:rsidRPr="006E1803">
        <w:rPr>
          <w:rFonts w:ascii="Times New Roman" w:eastAsia="Times New Roman" w:hAnsi="Times New Roman" w:cs="Times New Roman" w:hint="eastAsia"/>
          <w:color w:val="000000" w:themeColor="text1"/>
          <w:sz w:val="20"/>
          <w:szCs w:val="20"/>
          <w:lang w:eastAsia="ja-JP"/>
        </w:rPr>
        <w:t>.</w:t>
      </w:r>
      <w:r w:rsidR="00D37547" w:rsidRPr="006E18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4</w:t>
      </w:r>
      <w:r w:rsidRPr="006E18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.1)</w:t>
      </w:r>
    </w:p>
    <w:tbl>
      <w:tblPr>
        <w:tblStyle w:val="2"/>
        <w:tblW w:w="8928" w:type="dxa"/>
        <w:tblLook w:val="04A0" w:firstRow="1" w:lastRow="0" w:firstColumn="1" w:lastColumn="0" w:noHBand="0" w:noVBand="1"/>
      </w:tblPr>
      <w:tblGrid>
        <w:gridCol w:w="4108"/>
        <w:gridCol w:w="2693"/>
        <w:gridCol w:w="2127"/>
      </w:tblGrid>
      <w:tr w:rsidR="006E1803" w:rsidRPr="006E1803" w:rsidTr="002A4D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dxa"/>
            <w:noWrap/>
            <w:hideMark/>
          </w:tcPr>
          <w:p w:rsidR="009C6A14" w:rsidRPr="006E1803" w:rsidRDefault="009C6A14" w:rsidP="002A4D26">
            <w:pPr>
              <w:spacing w:before="60" w:after="6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en-GB"/>
              </w:rPr>
              <w:t>Name of organi</w:t>
            </w:r>
            <w:r w:rsidR="000F77B4" w:rsidRPr="006E180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en-GB"/>
              </w:rPr>
              <w:t>s</w:t>
            </w:r>
            <w:r w:rsidRPr="006E180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en-GB"/>
              </w:rPr>
              <w:t>ation</w:t>
            </w:r>
          </w:p>
        </w:tc>
        <w:tc>
          <w:tcPr>
            <w:tcW w:w="2693" w:type="dxa"/>
            <w:noWrap/>
            <w:hideMark/>
          </w:tcPr>
          <w:p w:rsidR="009C6A14" w:rsidRPr="006E1803" w:rsidRDefault="009C6A14" w:rsidP="002A4D2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en-GB"/>
              </w:rPr>
              <w:t>Number of instruments</w:t>
            </w:r>
          </w:p>
        </w:tc>
        <w:tc>
          <w:tcPr>
            <w:tcW w:w="2127" w:type="dxa"/>
            <w:noWrap/>
            <w:hideMark/>
          </w:tcPr>
          <w:p w:rsidR="009C6A14" w:rsidRPr="006E1803" w:rsidRDefault="009C6A14" w:rsidP="002A4D2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en-GB"/>
              </w:rPr>
              <w:t>Type</w:t>
            </w:r>
          </w:p>
        </w:tc>
      </w:tr>
      <w:tr w:rsidR="006E1803" w:rsidRPr="006E1803" w:rsidTr="002A4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dxa"/>
            <w:tcBorders>
              <w:bottom w:val="nil"/>
            </w:tcBorders>
            <w:noWrap/>
            <w:hideMark/>
          </w:tcPr>
          <w:p w:rsidR="009C6A14" w:rsidRPr="006E1803" w:rsidRDefault="009C6A14" w:rsidP="002A4D26">
            <w:pPr>
              <w:spacing w:before="60" w:after="6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en-GB"/>
              </w:rPr>
              <w:t>Ken-</w:t>
            </w:r>
            <w:proofErr w:type="spellStart"/>
            <w:r w:rsidRPr="006E180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en-GB"/>
              </w:rPr>
              <w:t>poku</w:t>
            </w:r>
            <w:proofErr w:type="spellEnd"/>
            <w:r w:rsidRPr="006E180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 Agriculture and Forestry Office, Date Agriculture Promotion Sector</w:t>
            </w:r>
          </w:p>
        </w:tc>
        <w:tc>
          <w:tcPr>
            <w:tcW w:w="2693" w:type="dxa"/>
            <w:tcBorders>
              <w:bottom w:val="nil"/>
            </w:tcBorders>
            <w:noWrap/>
            <w:hideMark/>
          </w:tcPr>
          <w:p w:rsidR="009C6A14" w:rsidRPr="006E1803" w:rsidRDefault="009C6A14" w:rsidP="002A4D26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127" w:type="dxa"/>
            <w:tcBorders>
              <w:bottom w:val="nil"/>
            </w:tcBorders>
            <w:noWrap/>
            <w:hideMark/>
          </w:tcPr>
          <w:p w:rsidR="009C6A14" w:rsidRPr="006E1803" w:rsidRDefault="009C6A14" w:rsidP="002A4D26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NaI</w:t>
            </w:r>
            <w:proofErr w:type="spellEnd"/>
          </w:p>
        </w:tc>
      </w:tr>
      <w:tr w:rsidR="006E1803" w:rsidRPr="006E1803" w:rsidTr="002A4D2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dxa"/>
            <w:tcBorders>
              <w:top w:val="nil"/>
              <w:bottom w:val="nil"/>
            </w:tcBorders>
            <w:noWrap/>
            <w:hideMark/>
          </w:tcPr>
          <w:p w:rsidR="009C6A14" w:rsidRPr="006E1803" w:rsidRDefault="009C6A14" w:rsidP="002A4D26">
            <w:pPr>
              <w:spacing w:before="60" w:after="6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en-GB"/>
              </w:rPr>
              <w:t>Ken-</w:t>
            </w:r>
            <w:proofErr w:type="spellStart"/>
            <w:r w:rsidRPr="006E180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en-GB"/>
              </w:rPr>
              <w:t>poku</w:t>
            </w:r>
            <w:proofErr w:type="spellEnd"/>
            <w:r w:rsidRPr="006E180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 Agriculture and Forestry Office, Adachi Agriculture Promotion Sector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9C6A14" w:rsidRPr="006E1803" w:rsidRDefault="00D37547" w:rsidP="002A4D26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 w:hint="eastAsia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:rsidR="009C6A14" w:rsidRPr="006E1803" w:rsidRDefault="009C6A14" w:rsidP="002A4D26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NaI</w:t>
            </w:r>
            <w:proofErr w:type="spellEnd"/>
          </w:p>
        </w:tc>
      </w:tr>
      <w:tr w:rsidR="006E1803" w:rsidRPr="006E1803" w:rsidTr="002A4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dxa"/>
            <w:tcBorders>
              <w:top w:val="nil"/>
              <w:bottom w:val="nil"/>
            </w:tcBorders>
            <w:noWrap/>
            <w:hideMark/>
          </w:tcPr>
          <w:p w:rsidR="009C6A14" w:rsidRPr="006E1803" w:rsidRDefault="009C6A14" w:rsidP="002A4D26">
            <w:pPr>
              <w:spacing w:before="60" w:after="6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en-GB"/>
              </w:rPr>
              <w:t>Ken-chu Agriculture and Forestry Office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9C6A14" w:rsidRPr="006E1803" w:rsidRDefault="009C6A14" w:rsidP="002A4D26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:rsidR="009C6A14" w:rsidRPr="006E1803" w:rsidRDefault="009C6A14" w:rsidP="002A4D26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NaI</w:t>
            </w:r>
            <w:proofErr w:type="spellEnd"/>
          </w:p>
        </w:tc>
      </w:tr>
      <w:tr w:rsidR="006E1803" w:rsidRPr="006E1803" w:rsidTr="002A4D2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dxa"/>
            <w:tcBorders>
              <w:top w:val="nil"/>
              <w:bottom w:val="nil"/>
            </w:tcBorders>
            <w:noWrap/>
            <w:hideMark/>
          </w:tcPr>
          <w:p w:rsidR="009C6A14" w:rsidRPr="006E1803" w:rsidRDefault="009C6A14" w:rsidP="002A4D26">
            <w:pPr>
              <w:spacing w:before="60" w:after="6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Ken-chu Agriculture and Forestry Office, </w:t>
            </w:r>
            <w:proofErr w:type="spellStart"/>
            <w:r w:rsidRPr="006E180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en-GB"/>
              </w:rPr>
              <w:t>Sukagawa</w:t>
            </w:r>
            <w:proofErr w:type="spellEnd"/>
            <w:r w:rsidRPr="006E180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 Agriculture Promotion Sector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9C6A14" w:rsidRPr="006E1803" w:rsidRDefault="009C6A14" w:rsidP="002A4D26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:rsidR="009C6A14" w:rsidRPr="006E1803" w:rsidRDefault="009C6A14" w:rsidP="002A4D26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NaI</w:t>
            </w:r>
            <w:proofErr w:type="spellEnd"/>
          </w:p>
        </w:tc>
      </w:tr>
      <w:tr w:rsidR="006E1803" w:rsidRPr="006E1803" w:rsidTr="002A4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dxa"/>
            <w:tcBorders>
              <w:top w:val="nil"/>
              <w:bottom w:val="nil"/>
            </w:tcBorders>
            <w:noWrap/>
            <w:hideMark/>
          </w:tcPr>
          <w:p w:rsidR="009C6A14" w:rsidRPr="006E1803" w:rsidRDefault="009C6A14" w:rsidP="002A4D26">
            <w:pPr>
              <w:spacing w:before="60" w:after="6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Ken-chu Agriculture and Forestry Office, </w:t>
            </w:r>
            <w:proofErr w:type="spellStart"/>
            <w:r w:rsidRPr="006E180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en-GB"/>
              </w:rPr>
              <w:t>Sukagawa</w:t>
            </w:r>
            <w:proofErr w:type="spellEnd"/>
            <w:r w:rsidRPr="006E180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 Agriculture Promotion Sector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9C6A14" w:rsidRPr="006E1803" w:rsidRDefault="009C6A14" w:rsidP="002A4D26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:rsidR="009C6A14" w:rsidRPr="006E1803" w:rsidRDefault="009C6A14" w:rsidP="002A4D26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LaBr3</w:t>
            </w:r>
          </w:p>
        </w:tc>
      </w:tr>
      <w:tr w:rsidR="006E1803" w:rsidRPr="006E1803" w:rsidTr="002A4D2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dxa"/>
            <w:tcBorders>
              <w:top w:val="nil"/>
              <w:bottom w:val="nil"/>
            </w:tcBorders>
            <w:noWrap/>
            <w:hideMark/>
          </w:tcPr>
          <w:p w:rsidR="009C6A14" w:rsidRPr="006E1803" w:rsidRDefault="009C6A14" w:rsidP="002A4D26">
            <w:pPr>
              <w:spacing w:before="60" w:after="6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en-GB"/>
              </w:rPr>
              <w:t>Ken-nan Agriculture and Forestry Office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9C6A14" w:rsidRPr="006E1803" w:rsidRDefault="009C6A14" w:rsidP="002A4D26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:rsidR="009C6A14" w:rsidRPr="006E1803" w:rsidRDefault="009C6A14" w:rsidP="002A4D26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NaI</w:t>
            </w:r>
            <w:proofErr w:type="spellEnd"/>
          </w:p>
        </w:tc>
      </w:tr>
      <w:tr w:rsidR="006E1803" w:rsidRPr="006E1803" w:rsidTr="002A4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dxa"/>
            <w:tcBorders>
              <w:top w:val="nil"/>
              <w:bottom w:val="nil"/>
            </w:tcBorders>
            <w:noWrap/>
            <w:hideMark/>
          </w:tcPr>
          <w:p w:rsidR="009C6A14" w:rsidRPr="006E1803" w:rsidRDefault="009C6A14" w:rsidP="002A4D26">
            <w:pPr>
              <w:spacing w:before="60" w:after="6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en-GB"/>
              </w:rPr>
              <w:t>Minami-Aizu Agriculture and Forestry Office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9C6A14" w:rsidRPr="006E1803" w:rsidRDefault="009C6A14" w:rsidP="002A4D26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:rsidR="009C6A14" w:rsidRPr="006E1803" w:rsidRDefault="009C6A14" w:rsidP="002A4D26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LaBr3</w:t>
            </w:r>
          </w:p>
        </w:tc>
      </w:tr>
      <w:tr w:rsidR="006E1803" w:rsidRPr="006E1803" w:rsidTr="002A4D2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dxa"/>
            <w:tcBorders>
              <w:top w:val="nil"/>
              <w:bottom w:val="nil"/>
            </w:tcBorders>
            <w:noWrap/>
            <w:hideMark/>
          </w:tcPr>
          <w:p w:rsidR="009C6A14" w:rsidRPr="006E1803" w:rsidRDefault="009C6A14" w:rsidP="002A4D26">
            <w:pPr>
              <w:spacing w:before="60" w:after="6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6E180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en-GB"/>
              </w:rPr>
              <w:t>Soso</w:t>
            </w:r>
            <w:proofErr w:type="spellEnd"/>
            <w:r w:rsidRPr="006E180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 Agriculture and Forestry Office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9C6A14" w:rsidRPr="006E1803" w:rsidRDefault="009C6A14" w:rsidP="002A4D26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:rsidR="009C6A14" w:rsidRPr="006E1803" w:rsidRDefault="009C6A14" w:rsidP="002A4D26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LaBr3</w:t>
            </w:r>
          </w:p>
        </w:tc>
      </w:tr>
      <w:tr w:rsidR="006E1803" w:rsidRPr="006E1803" w:rsidTr="002A4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dxa"/>
            <w:tcBorders>
              <w:top w:val="nil"/>
              <w:bottom w:val="nil"/>
            </w:tcBorders>
            <w:noWrap/>
            <w:hideMark/>
          </w:tcPr>
          <w:p w:rsidR="009C6A14" w:rsidRPr="006E1803" w:rsidRDefault="009C6A14" w:rsidP="002A4D26">
            <w:pPr>
              <w:spacing w:before="60" w:after="6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9C6A14" w:rsidRPr="006E1803" w:rsidRDefault="009C6A14" w:rsidP="002A4D26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:rsidR="009C6A14" w:rsidRPr="006E1803" w:rsidRDefault="009C6A14" w:rsidP="002A4D26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NaI</w:t>
            </w:r>
            <w:proofErr w:type="spellEnd"/>
          </w:p>
        </w:tc>
      </w:tr>
      <w:tr w:rsidR="006E1803" w:rsidRPr="006E1803" w:rsidTr="002A4D2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dxa"/>
            <w:tcBorders>
              <w:top w:val="nil"/>
              <w:bottom w:val="nil"/>
            </w:tcBorders>
            <w:noWrap/>
            <w:hideMark/>
          </w:tcPr>
          <w:p w:rsidR="009C6A14" w:rsidRPr="006E1803" w:rsidRDefault="009C6A14" w:rsidP="002A4D26">
            <w:pPr>
              <w:spacing w:before="60" w:after="6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6E180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en-GB"/>
              </w:rPr>
              <w:t>Soso</w:t>
            </w:r>
            <w:proofErr w:type="spellEnd"/>
            <w:r w:rsidRPr="006E180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 Agriculture and Forestry Office, Futaba Agriculture Promotion Sector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9C6A14" w:rsidRPr="006E1803" w:rsidRDefault="009C6A14" w:rsidP="002A4D26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:rsidR="009C6A14" w:rsidRPr="006E1803" w:rsidRDefault="009C6A14" w:rsidP="002A4D26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NaI</w:t>
            </w:r>
            <w:proofErr w:type="spellEnd"/>
          </w:p>
        </w:tc>
      </w:tr>
      <w:tr w:rsidR="006E1803" w:rsidRPr="006E1803" w:rsidTr="002A4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dxa"/>
            <w:tcBorders>
              <w:top w:val="nil"/>
              <w:bottom w:val="nil"/>
            </w:tcBorders>
            <w:noWrap/>
            <w:hideMark/>
          </w:tcPr>
          <w:p w:rsidR="009C6A14" w:rsidRPr="006E1803" w:rsidRDefault="009C6A14" w:rsidP="002A4D26">
            <w:pPr>
              <w:spacing w:before="60" w:after="6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en-GB"/>
              </w:rPr>
              <w:t>Iwaki Agriculture and Forestry Office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9C6A14" w:rsidRPr="006E1803" w:rsidRDefault="009C6A14" w:rsidP="002A4D26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:rsidR="009C6A14" w:rsidRPr="006E1803" w:rsidRDefault="009C6A14" w:rsidP="002A4D26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NaI</w:t>
            </w:r>
            <w:proofErr w:type="spellEnd"/>
          </w:p>
        </w:tc>
      </w:tr>
      <w:tr w:rsidR="006E1803" w:rsidRPr="006E1803" w:rsidTr="002A4D2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dxa"/>
            <w:tcBorders>
              <w:top w:val="nil"/>
              <w:bottom w:val="nil"/>
            </w:tcBorders>
            <w:noWrap/>
            <w:hideMark/>
          </w:tcPr>
          <w:p w:rsidR="009C6A14" w:rsidRPr="006E1803" w:rsidRDefault="009C6A14" w:rsidP="002A4D26">
            <w:pPr>
              <w:spacing w:before="60" w:after="6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en-GB"/>
              </w:rPr>
              <w:t>Agricultural Technology Centre, Aizu Research Centre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9C6A14" w:rsidRPr="006E1803" w:rsidRDefault="009C6A14" w:rsidP="002A4D26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:rsidR="009C6A14" w:rsidRPr="006E1803" w:rsidRDefault="009C6A14" w:rsidP="002A4D26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NaI</w:t>
            </w:r>
            <w:proofErr w:type="spellEnd"/>
          </w:p>
        </w:tc>
      </w:tr>
      <w:tr w:rsidR="006E1803" w:rsidRPr="006E1803" w:rsidTr="002A4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dxa"/>
            <w:tcBorders>
              <w:top w:val="nil"/>
              <w:bottom w:val="nil"/>
            </w:tcBorders>
            <w:noWrap/>
            <w:hideMark/>
          </w:tcPr>
          <w:p w:rsidR="009C6A14" w:rsidRPr="006E1803" w:rsidRDefault="009C6A14" w:rsidP="002A4D26">
            <w:pPr>
              <w:spacing w:before="60" w:after="6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en-GB"/>
              </w:rPr>
              <w:t>Agricultural Technology Centre, Fruit Tree Research Centre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9C6A14" w:rsidRPr="006E1803" w:rsidRDefault="009C6A14" w:rsidP="002A4D26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:rsidR="009C6A14" w:rsidRPr="006E1803" w:rsidRDefault="009C6A14" w:rsidP="002A4D26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NaI</w:t>
            </w:r>
            <w:proofErr w:type="spellEnd"/>
          </w:p>
        </w:tc>
      </w:tr>
      <w:tr w:rsidR="006E1803" w:rsidRPr="006E1803" w:rsidTr="002A4D2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dxa"/>
            <w:tcBorders>
              <w:top w:val="nil"/>
              <w:bottom w:val="nil"/>
            </w:tcBorders>
            <w:noWrap/>
            <w:hideMark/>
          </w:tcPr>
          <w:p w:rsidR="009C6A14" w:rsidRPr="006E1803" w:rsidRDefault="009C6A14" w:rsidP="002A4D26">
            <w:pPr>
              <w:spacing w:before="60" w:after="6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en-GB"/>
              </w:rPr>
              <w:t>Forestry Research Centre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hideMark/>
          </w:tcPr>
          <w:p w:rsidR="009C6A14" w:rsidRPr="006E1803" w:rsidRDefault="009C6A14" w:rsidP="002A4D26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:rsidR="009C6A14" w:rsidRPr="006E1803" w:rsidRDefault="009C6A14" w:rsidP="002A4D26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NaI</w:t>
            </w:r>
            <w:proofErr w:type="spellEnd"/>
          </w:p>
        </w:tc>
      </w:tr>
      <w:tr w:rsidR="006E1803" w:rsidRPr="006E1803" w:rsidTr="002A4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dxa"/>
            <w:tcBorders>
              <w:top w:val="nil"/>
            </w:tcBorders>
            <w:noWrap/>
            <w:hideMark/>
          </w:tcPr>
          <w:p w:rsidR="009C6A14" w:rsidRPr="006E1803" w:rsidRDefault="009C6A14" w:rsidP="002A4D26">
            <w:pPr>
              <w:spacing w:before="60" w:after="6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693" w:type="dxa"/>
            <w:tcBorders>
              <w:top w:val="nil"/>
            </w:tcBorders>
            <w:noWrap/>
            <w:hideMark/>
          </w:tcPr>
          <w:p w:rsidR="009C6A14" w:rsidRPr="006E1803" w:rsidRDefault="009C6A14" w:rsidP="002A4D26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</w:t>
            </w:r>
            <w:r w:rsidR="00D37547" w:rsidRPr="006E1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127" w:type="dxa"/>
            <w:tcBorders>
              <w:top w:val="nil"/>
            </w:tcBorders>
            <w:noWrap/>
            <w:hideMark/>
          </w:tcPr>
          <w:p w:rsidR="009C6A14" w:rsidRPr="006E1803" w:rsidRDefault="009C6A14" w:rsidP="002A4D26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</w:tbl>
    <w:p w:rsidR="009C6A14" w:rsidRPr="006E1803" w:rsidRDefault="009C6A1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E1803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2A4D26" w:rsidRPr="006E1803" w:rsidRDefault="002A4D26" w:rsidP="002A4D26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6E18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lastRenderedPageBreak/>
        <w:t xml:space="preserve">Table 6. Implementation system for </w:t>
      </w:r>
      <w:r w:rsidR="000F77B4" w:rsidRPr="006E18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the </w:t>
      </w:r>
      <w:r w:rsidRPr="006E18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monitoring network</w:t>
      </w:r>
      <w:r w:rsidR="009477E0" w:rsidRPr="006E18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Pr="006E18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(Fukushima prefecture)</w:t>
      </w:r>
    </w:p>
    <w:p w:rsidR="00021E3D" w:rsidRPr="006E1803" w:rsidRDefault="00021E3D" w:rsidP="002A4D26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6E1803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en-GB"/>
        </w:rPr>
        <w:drawing>
          <wp:inline distT="0" distB="0" distL="0" distR="0" wp14:anchorId="024C67C9" wp14:editId="00AF8BE1">
            <wp:extent cx="5208363" cy="8414158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7164" cy="842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D26" w:rsidRPr="006E1803" w:rsidRDefault="002A4D26" w:rsidP="002A4D26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6E18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lastRenderedPageBreak/>
        <w:t xml:space="preserve">* Which is </w:t>
      </w:r>
      <w:r w:rsidR="000F77B4" w:rsidRPr="006E18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called</w:t>
      </w:r>
      <w:r w:rsidRPr="006E18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as "Fukushima no </w:t>
      </w:r>
      <w:proofErr w:type="spellStart"/>
      <w:r w:rsidRPr="006E18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megumi</w:t>
      </w:r>
      <w:proofErr w:type="spellEnd"/>
      <w:r w:rsidRPr="006E18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" and consist</w:t>
      </w:r>
      <w:r w:rsidR="000F77B4" w:rsidRPr="006E18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s</w:t>
      </w:r>
      <w:r w:rsidRPr="006E18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of 37 local associations in Fukushima prefecture except for </w:t>
      </w:r>
      <w:proofErr w:type="spellStart"/>
      <w:r w:rsidRPr="006E18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Hinoemata</w:t>
      </w:r>
      <w:proofErr w:type="spellEnd"/>
      <w:r w:rsidRPr="006E18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village. </w:t>
      </w:r>
      <w:bookmarkEnd w:id="0"/>
      <w:bookmarkEnd w:id="1"/>
      <w:bookmarkEnd w:id="2"/>
    </w:p>
    <w:sectPr w:rsidR="002A4D26" w:rsidRPr="006E1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01"/>
    <w:rsid w:val="000161AB"/>
    <w:rsid w:val="00021E3D"/>
    <w:rsid w:val="000B11F6"/>
    <w:rsid w:val="000F77B4"/>
    <w:rsid w:val="001D4903"/>
    <w:rsid w:val="0020535B"/>
    <w:rsid w:val="0027364A"/>
    <w:rsid w:val="002739B5"/>
    <w:rsid w:val="002A4D26"/>
    <w:rsid w:val="00491EFE"/>
    <w:rsid w:val="004A1D30"/>
    <w:rsid w:val="005F1101"/>
    <w:rsid w:val="006075E7"/>
    <w:rsid w:val="006E1803"/>
    <w:rsid w:val="00727BC4"/>
    <w:rsid w:val="00780821"/>
    <w:rsid w:val="008C0D8A"/>
    <w:rsid w:val="008D2904"/>
    <w:rsid w:val="008D6644"/>
    <w:rsid w:val="008E6C47"/>
    <w:rsid w:val="009477E0"/>
    <w:rsid w:val="009C6A14"/>
    <w:rsid w:val="009D49DB"/>
    <w:rsid w:val="00CE2CCE"/>
    <w:rsid w:val="00D37547"/>
    <w:rsid w:val="00DF5768"/>
    <w:rsid w:val="00E2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38DF46-16E5-4DC1-94D7-2EE8FBEE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autoRedefine/>
    <w:uiPriority w:val="1"/>
    <w:qFormat/>
    <w:rsid w:val="001D4903"/>
    <w:pPr>
      <w:keepNext/>
      <w:keepLines/>
      <w:pageBreakBefore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before="360" w:after="240" w:line="240" w:lineRule="auto"/>
      <w:jc w:val="center"/>
      <w:outlineLvl w:val="0"/>
    </w:pPr>
    <w:rPr>
      <w:rFonts w:ascii="Times New Roman" w:eastAsia="Times New Roman" w:hAnsi="Times New Roman"/>
      <w:b/>
      <w:bCs/>
      <w:caps/>
      <w:sz w:val="2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1"/>
    <w:rsid w:val="001D4903"/>
    <w:rPr>
      <w:rFonts w:ascii="Times New Roman" w:eastAsia="Times New Roman" w:hAnsi="Times New Roman"/>
      <w:b/>
      <w:bCs/>
      <w:caps/>
      <w:sz w:val="24"/>
      <w:szCs w:val="32"/>
    </w:rPr>
  </w:style>
  <w:style w:type="paragraph" w:styleId="a0">
    <w:name w:val="Body Text"/>
    <w:basedOn w:val="a"/>
    <w:link w:val="a4"/>
    <w:uiPriority w:val="99"/>
    <w:semiHidden/>
    <w:unhideWhenUsed/>
    <w:rsid w:val="001D4903"/>
    <w:pPr>
      <w:spacing w:after="120"/>
    </w:pPr>
  </w:style>
  <w:style w:type="character" w:customStyle="1" w:styleId="a4">
    <w:name w:val="本文 (文字)"/>
    <w:basedOn w:val="a1"/>
    <w:link w:val="a0"/>
    <w:uiPriority w:val="99"/>
    <w:semiHidden/>
    <w:rsid w:val="001D4903"/>
  </w:style>
  <w:style w:type="table" w:styleId="2">
    <w:name w:val="Plain Table 2"/>
    <w:basedOn w:val="a2"/>
    <w:uiPriority w:val="42"/>
    <w:rsid w:val="002A4D2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2A4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2A4D26"/>
    <w:rPr>
      <w:rFonts w:ascii="Segoe UI" w:hAnsi="Segoe UI" w:cs="Segoe UI"/>
      <w:sz w:val="18"/>
      <w:szCs w:val="18"/>
    </w:rPr>
  </w:style>
  <w:style w:type="table" w:styleId="a7">
    <w:name w:val="Table Grid"/>
    <w:basedOn w:val="a2"/>
    <w:uiPriority w:val="39"/>
    <w:rsid w:val="002A4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0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665</Words>
  <Characters>3793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FESENKO, Sergey</dc:creator>
  <cp:keywords/>
  <dc:description/>
  <cp:lastModifiedBy>信濃卓郎</cp:lastModifiedBy>
  <cp:revision>2</cp:revision>
  <dcterms:created xsi:type="dcterms:W3CDTF">2020-02-21T02:40:00Z</dcterms:created>
  <dcterms:modified xsi:type="dcterms:W3CDTF">2020-02-21T02:40:00Z</dcterms:modified>
</cp:coreProperties>
</file>