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FD15" w14:textId="54588A97" w:rsidR="0088146F" w:rsidRDefault="0088146F">
      <w:r w:rsidRPr="00570762">
        <w:rPr>
          <w:rFonts w:ascii="Palatino Linotype" w:hAnsi="Palatino Linotype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9B352" wp14:editId="4BF143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25110" cy="55245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11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52792" w14:textId="0960AB78" w:rsidR="0088146F" w:rsidRPr="00833F36" w:rsidRDefault="0088146F" w:rsidP="0088146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Supplementary </w:t>
                            </w:r>
                            <w:r w:rsidRPr="00833F36">
                              <w:rPr>
                                <w:rFonts w:ascii="Palatino Linotype" w:hAnsi="Palatino Linotype"/>
                              </w:rPr>
                              <w:t xml:space="preserve">Table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1</w:t>
                            </w:r>
                            <w:r w:rsidRPr="00833F3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325FD8">
                              <w:rPr>
                                <w:rFonts w:ascii="Palatino Linotype" w:hAnsi="Palatino Linotype"/>
                              </w:rPr>
                              <w:t>Number of psychiatric medications and list of drugs taken by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patients with</w:t>
                            </w:r>
                            <w:r w:rsidRPr="00325FD8">
                              <w:rPr>
                                <w:rFonts w:ascii="Palatino Linotype" w:hAnsi="Palatino Linotype"/>
                              </w:rPr>
                              <w:t xml:space="preserve"> schizophrenia, bipolar disorder</w:t>
                            </w:r>
                            <w:r w:rsidR="00681331">
                              <w:rPr>
                                <w:rFonts w:ascii="Palatino Linotype" w:hAnsi="Palatino Linotype"/>
                              </w:rPr>
                              <w:t>,</w:t>
                            </w:r>
                            <w:r w:rsidR="00F95A02">
                              <w:rPr>
                                <w:rFonts w:ascii="Palatino Linotype" w:hAnsi="Palatino Linotype"/>
                              </w:rPr>
                              <w:t xml:space="preserve"> or</w:t>
                            </w:r>
                            <w:r w:rsidRPr="00325FD8">
                              <w:rPr>
                                <w:rFonts w:ascii="Palatino Linotype" w:hAnsi="Palatino Linotype"/>
                              </w:rPr>
                              <w:t xml:space="preserve"> depression.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9B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05pt;width:419.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" fillcolor="white [3201]" stroked="f" strokeweight=".5pt">
                <v:textbox>
                  <w:txbxContent>
                    <w:p w14:paraId="09952792" w14:textId="0960AB78" w:rsidR="0088146F" w:rsidRPr="00833F36" w:rsidRDefault="0088146F" w:rsidP="0088146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Supplementary </w:t>
                      </w:r>
                      <w:r w:rsidRPr="00833F36">
                        <w:rPr>
                          <w:rFonts w:ascii="Palatino Linotype" w:hAnsi="Palatino Linotype"/>
                        </w:rPr>
                        <w:t xml:space="preserve">Table </w:t>
                      </w:r>
                      <w:r>
                        <w:rPr>
                          <w:rFonts w:ascii="Palatino Linotype" w:hAnsi="Palatino Linotype"/>
                        </w:rPr>
                        <w:t>1</w:t>
                      </w:r>
                      <w:r w:rsidRPr="00833F36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325FD8">
                        <w:rPr>
                          <w:rFonts w:ascii="Palatino Linotype" w:hAnsi="Palatino Linotype"/>
                        </w:rPr>
                        <w:t>Number of psychiatric medications and list of drugs taken by</w:t>
                      </w:r>
                      <w:r>
                        <w:rPr>
                          <w:rFonts w:ascii="Palatino Linotype" w:hAnsi="Palatino Linotype"/>
                        </w:rPr>
                        <w:t xml:space="preserve"> patients with</w:t>
                      </w:r>
                      <w:r w:rsidRPr="00325FD8">
                        <w:rPr>
                          <w:rFonts w:ascii="Palatino Linotype" w:hAnsi="Palatino Linotype"/>
                        </w:rPr>
                        <w:t xml:space="preserve"> schizophrenia, bipolar disorder</w:t>
                      </w:r>
                      <w:r w:rsidR="00681331">
                        <w:rPr>
                          <w:rFonts w:ascii="Palatino Linotype" w:hAnsi="Palatino Linotype"/>
                        </w:rPr>
                        <w:t>,</w:t>
                      </w:r>
                      <w:r w:rsidR="00F95A02">
                        <w:rPr>
                          <w:rFonts w:ascii="Palatino Linotype" w:hAnsi="Palatino Linotype"/>
                        </w:rPr>
                        <w:t xml:space="preserve"> or</w:t>
                      </w:r>
                      <w:r w:rsidRPr="00325FD8">
                        <w:rPr>
                          <w:rFonts w:ascii="Palatino Linotype" w:hAnsi="Palatino Linotype"/>
                        </w:rPr>
                        <w:t xml:space="preserve"> depression.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8C034" w14:textId="4302578B" w:rsidR="0088146F" w:rsidRPr="00570762" w:rsidRDefault="0088146F" w:rsidP="00570762"/>
    <w:p w14:paraId="4BE5425E" w14:textId="77777777" w:rsidR="0088146F" w:rsidRPr="00570762" w:rsidRDefault="0088146F" w:rsidP="00570762"/>
    <w:tbl>
      <w:tblPr>
        <w:tblW w:w="8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843"/>
      </w:tblGrid>
      <w:tr w:rsidR="0088146F" w:rsidRPr="000E012F" w14:paraId="6371FEE5" w14:textId="77777777" w:rsidTr="00437907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A3C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C60A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Schizophrenia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286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Bipolar disorder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D36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Depression</w:t>
            </w:r>
          </w:p>
        </w:tc>
      </w:tr>
      <w:tr w:rsidR="00437907" w:rsidRPr="000E012F" w14:paraId="0E9D67B3" w14:textId="77777777" w:rsidTr="00437907">
        <w:trPr>
          <w:trHeight w:val="342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6352D" w14:textId="77777777" w:rsidR="00437907" w:rsidRPr="003A7E06" w:rsidRDefault="00437907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2D299" w14:textId="77777777" w:rsidR="00437907" w:rsidRPr="003A7E06" w:rsidRDefault="00437907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5E37E" w14:textId="77777777" w:rsidR="00437907" w:rsidRPr="003A7E06" w:rsidRDefault="00437907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51D2F" w14:textId="77777777" w:rsidR="00437907" w:rsidRPr="003A7E06" w:rsidRDefault="00437907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</w:tr>
      <w:tr w:rsidR="0088146F" w:rsidRPr="000E012F" w14:paraId="6F0EDC2B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286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Number of medications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F7C5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1948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BB65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4AFC9E4B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4C9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No medication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172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BB9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43F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58529D28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803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0E012F">
              <w:rPr>
                <w:rFonts w:ascii="Palatino Linotype" w:hAnsi="Palatino Linotype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413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608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058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  <w:tr w:rsidR="0088146F" w:rsidRPr="000E012F" w14:paraId="16F56E47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E47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0E012F">
              <w:rPr>
                <w:rFonts w:ascii="Palatino Linotype" w:hAnsi="Palatino Linotype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A5E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990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92A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</w:tr>
      <w:tr w:rsidR="0088146F" w:rsidRPr="000E012F" w14:paraId="374C348E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655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0E012F">
              <w:rPr>
                <w:rFonts w:ascii="Palatino Linotype" w:hAnsi="Palatino Linotype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D83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EFF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370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</w:tr>
      <w:tr w:rsidR="0088146F" w:rsidRPr="000E012F" w14:paraId="47DC5AF7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EB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0E012F">
              <w:rPr>
                <w:rFonts w:ascii="Palatino Linotype" w:hAnsi="Palatino Linotype" w:cs="ＭＳ Ｐゴシック"/>
                <w:color w:val="000000"/>
                <w:kern w:val="0"/>
                <w:szCs w:val="21"/>
              </w:rPr>
              <w:t>≥4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FF7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F39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9CD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18</w:t>
            </w:r>
          </w:p>
        </w:tc>
      </w:tr>
      <w:tr w:rsidR="0088146F" w:rsidRPr="000E012F" w14:paraId="750246A2" w14:textId="77777777" w:rsidTr="00437907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896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F051" w14:textId="77777777" w:rsidR="0088146F" w:rsidRPr="003A7E06" w:rsidRDefault="0088146F" w:rsidP="0078492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257A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68D3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4A7A0A05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A8D6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Antipsychotics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20D7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9EC2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3B1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44E61C24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512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Aripiprazole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89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226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901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7</w:t>
            </w:r>
          </w:p>
        </w:tc>
      </w:tr>
      <w:tr w:rsidR="0088146F" w:rsidRPr="000E012F" w14:paraId="0ADEA031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78D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Blonanserin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32F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EE0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2FE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4F63A1D9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212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Chlorpromazine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05E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1B6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409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6C2DCA29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E15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Clocapramine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9D5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729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B55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27690C3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802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Clozapine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47E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5C6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180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2FBA872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C39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Fluphenazine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412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A7E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B1D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1B3DB43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1C5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Haloperidol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DCA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97D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C9E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125C5360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107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Levomepromazine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D24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116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42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61B64757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49A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Olanzapine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E22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00C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DF6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3FA5D197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C04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Paliperidone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3E4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205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441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2116B1AF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6BE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Perospirone</w:t>
            </w:r>
            <w:proofErr w:type="spellEnd"/>
            <w:r w:rsidRPr="003A7E06">
              <w:rPr>
                <w:rFonts w:ascii="Palatino Linotype" w:hAnsi="Palatino Linotype"/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E21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8B8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DD6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4B31CB1A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4F8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Propericiazine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D14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70C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4FE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1DFA4E64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916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Quetiapine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73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135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9EB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</w:tr>
      <w:tr w:rsidR="0088146F" w:rsidRPr="000E012F" w14:paraId="21D0038D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1FB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Risperidone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14C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4FC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AEC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52C6AE1F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0A6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Spiperone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8EA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5A9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213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16AF058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C57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Sulpiride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1BE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1C7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615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515ED7D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6F6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Tiapride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4D3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F02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F87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65FBF867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8C2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Zotepine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671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D78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93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4820E2AF" w14:textId="77777777" w:rsidTr="00437907">
        <w:trPr>
          <w:trHeight w:val="7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6BD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406A" w14:textId="77777777" w:rsidR="0088146F" w:rsidRPr="003A7E06" w:rsidRDefault="0088146F" w:rsidP="0078492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F646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DE7A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48F9E3D7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30C9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Antidepressant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675C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142E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07CB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6C6D62D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9AE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Duloxetine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5E8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02A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28F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</w:tr>
      <w:tr w:rsidR="0088146F" w:rsidRPr="000E012F" w14:paraId="604D3558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2E9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Escitalopram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2D1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F48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57E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28E25DF2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4C4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Fluvoxamine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364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623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ADC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47077D6A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DEA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Imipramine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D9C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8B3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AF7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70D52CF0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17D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Mirtazapine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304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06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19D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</w:tr>
      <w:tr w:rsidR="0088146F" w:rsidRPr="000E012F" w14:paraId="6C5443F6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D93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lastRenderedPageBreak/>
              <w:t xml:space="preserve">Paroxetine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E24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DE4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999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</w:tr>
      <w:tr w:rsidR="0088146F" w:rsidRPr="000E012F" w14:paraId="78105046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30F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 xml:space="preserve">Sertraline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9CF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A2B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27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</w:tr>
      <w:tr w:rsidR="0088146F" w:rsidRPr="000E012F" w14:paraId="2230AB9C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743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Trazodone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DD5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222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5B2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</w:tr>
      <w:tr w:rsidR="0088146F" w:rsidRPr="000E012F" w14:paraId="415F67EC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467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 xml:space="preserve">Venlafaxine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A91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7B8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BFA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2E9FF0E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A50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Amitriptyline (TCA)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8EC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5FB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972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08755A2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0B0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Amoxapine (TCA)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1DB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2AE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AA3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347B7BEB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FFB5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Clomipramine (TCA)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9C71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6B32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5146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0231AF9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C66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Mianserin</w:t>
            </w:r>
            <w:proofErr w:type="spellEnd"/>
            <w:r w:rsidRPr="003A7E06">
              <w:rPr>
                <w:rFonts w:ascii="Palatino Linotype" w:hAnsi="Palatino Linotype"/>
                <w:color w:val="000000"/>
                <w:kern w:val="0"/>
              </w:rPr>
              <w:t xml:space="preserve"> (</w:t>
            </w: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TeCA</w:t>
            </w:r>
            <w:proofErr w:type="spellEnd"/>
            <w:r w:rsidRPr="003A7E06">
              <w:rPr>
                <w:rFonts w:ascii="Palatino Linotype" w:hAnsi="Palatino Linotype"/>
                <w:color w:val="000000"/>
                <w:kern w:val="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3E8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AA3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BE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1D4BA4AB" w14:textId="77777777" w:rsidTr="00437907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AB3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214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4A4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5DF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</w:tr>
      <w:tr w:rsidR="0088146F" w:rsidRPr="000E012F" w14:paraId="10383818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DD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Dopamine agonist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63D8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329C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35AF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228D2881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A91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Pramipexole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BB6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4506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DDC1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7EFD1BFD" w14:textId="77777777" w:rsidTr="00437907">
        <w:trPr>
          <w:trHeight w:val="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AC3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7B2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FB8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90B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</w:tr>
      <w:tr w:rsidR="0088146F" w:rsidRPr="000E012F" w14:paraId="788E3869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B2B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Mood stabilizer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0A5A" w14:textId="77777777" w:rsidR="0088146F" w:rsidRPr="003A7E06" w:rsidRDefault="0088146F" w:rsidP="0078492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E4AD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B3B7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78E99F85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188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(</w:t>
            </w:r>
            <w:r w:rsidRPr="000E012F">
              <w:rPr>
                <w:rFonts w:ascii="Palatino Linotype" w:hAnsi="Palatino Linotype" w:cs="ＭＳ Ｐゴシック"/>
                <w:b/>
                <w:bCs/>
                <w:color w:val="000000"/>
                <w:kern w:val="0"/>
                <w:szCs w:val="21"/>
              </w:rPr>
              <w:t>including</w:t>
            </w: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 xml:space="preserve"> anticonvulsant)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64D7" w14:textId="77777777" w:rsidR="0088146F" w:rsidRPr="003A7E06" w:rsidRDefault="0088146F" w:rsidP="0078492F">
            <w:pPr>
              <w:widowControl/>
              <w:jc w:val="left"/>
              <w:rPr>
                <w:rFonts w:ascii="Palatino Linotype" w:hAnsi="Palatino Linotype"/>
                <w:b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4580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597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68F7CC60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9DF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Carbamazepine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CEE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E995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AA10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653D6B1F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7CC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Gabapentin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30E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718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015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  <w:tr w:rsidR="0088146F" w:rsidRPr="000E012F" w14:paraId="67B32B1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774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Lithium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B1A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9C8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B4A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  <w:tr w:rsidR="0088146F" w:rsidRPr="000E012F" w14:paraId="178D34C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66A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Valproate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B39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688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ACE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  <w:tr w:rsidR="0088146F" w:rsidRPr="000E012F" w14:paraId="786CE716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14C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Lamotrigine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CEE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98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EE8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</w:tr>
      <w:tr w:rsidR="0088146F" w:rsidRPr="000E012F" w14:paraId="52F8AD34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2C7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Topiramate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546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FEF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F8E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53E439D6" w14:textId="77777777" w:rsidTr="00437907">
        <w:trPr>
          <w:trHeight w:val="14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45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353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BA1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5A1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</w:tr>
      <w:tr w:rsidR="0088146F" w:rsidRPr="000E012F" w14:paraId="7A5574B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AEE4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>Benzodiazepine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4D1A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A40E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7D1D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10711191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64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Brotizolam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FBD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5B98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8175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  <w:tr w:rsidR="0088146F" w:rsidRPr="000E012F" w14:paraId="5A7689A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93A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Bromazepam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85C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CC6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671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0EE95F2E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197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cs="Meiryo UI"/>
                <w:color w:val="000000"/>
                <w:kern w:val="0"/>
                <w:szCs w:val="21"/>
                <w:cs/>
              </w:rPr>
              <w:t>‎</w:t>
            </w:r>
            <w:r w:rsidRPr="003A7E06">
              <w:rPr>
                <w:rFonts w:ascii="Palatino Linotype" w:hAnsi="Palatino Linotype"/>
                <w:color w:val="000000"/>
                <w:kern w:val="0"/>
              </w:rPr>
              <w:t>Clonazepam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CF9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44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7C2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9</w:t>
            </w:r>
          </w:p>
        </w:tc>
      </w:tr>
      <w:tr w:rsidR="0088146F" w:rsidRPr="000E012F" w14:paraId="10F5809D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2E3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Clotiazepam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F14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65C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D70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0615FBDF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C2A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Diazepam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572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CAD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E4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44353E76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511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Estazolam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7FE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87C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70C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  <w:tr w:rsidR="0088146F" w:rsidRPr="000E012F" w14:paraId="7557B987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093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 xml:space="preserve">Ethyl </w:t>
            </w: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loflazepate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0D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87F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0E5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5F08FC8D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6A6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Etizolam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BCB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CDB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9EE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</w:tr>
      <w:tr w:rsidR="0088146F" w:rsidRPr="000E012F" w14:paraId="13752428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7F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Flunitrazepam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E54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E3B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2CB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7</w:t>
            </w:r>
          </w:p>
        </w:tc>
      </w:tr>
      <w:tr w:rsidR="0088146F" w:rsidRPr="000E012F" w14:paraId="0A654AEF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CFA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Lorazepam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DBB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DA5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3C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140D10C4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73C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Lormetazepam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D25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CC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875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</w:tr>
      <w:tr w:rsidR="0088146F" w:rsidRPr="000E012F" w14:paraId="76E01FB1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E1D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cs="Meiryo UI"/>
                <w:color w:val="000000"/>
                <w:kern w:val="0"/>
                <w:szCs w:val="21"/>
                <w:cs/>
              </w:rPr>
              <w:t>‎</w:t>
            </w:r>
            <w:r w:rsidRPr="003A7E06">
              <w:rPr>
                <w:rFonts w:ascii="Palatino Linotype" w:hAnsi="Palatino Linotype"/>
                <w:color w:val="000000"/>
                <w:kern w:val="0"/>
              </w:rPr>
              <w:t>Nitrazepam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604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70B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26C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</w:tr>
      <w:tr w:rsidR="0088146F" w:rsidRPr="000E012F" w14:paraId="1320DA9D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B81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Ramelteon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499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E96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ADF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</w:tr>
      <w:tr w:rsidR="0088146F" w:rsidRPr="000E012F" w14:paraId="26A4BBF3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728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proofErr w:type="spellStart"/>
            <w:r w:rsidRPr="003A7E06">
              <w:rPr>
                <w:rFonts w:ascii="Palatino Linotype" w:hAnsi="Palatino Linotype"/>
                <w:color w:val="000000"/>
                <w:kern w:val="0"/>
              </w:rPr>
              <w:t>Tandospirone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A4E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8E2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822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</w:tr>
      <w:tr w:rsidR="0088146F" w:rsidRPr="000E012F" w14:paraId="44A4588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273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Triazolam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CC2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10D1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DAF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4</w:t>
            </w:r>
          </w:p>
        </w:tc>
      </w:tr>
      <w:tr w:rsidR="0088146F" w:rsidRPr="000E012F" w14:paraId="3D82EE84" w14:textId="77777777" w:rsidTr="00437907">
        <w:trPr>
          <w:trHeight w:val="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C1A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0D9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3A3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402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</w:p>
        </w:tc>
      </w:tr>
      <w:tr w:rsidR="0088146F" w:rsidRPr="000E012F" w14:paraId="4DEB3B90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1492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0E012F">
              <w:rPr>
                <w:rFonts w:ascii="Palatino Linotype" w:hAnsi="Palatino Linotype" w:cs="ＭＳ Ｐゴシック"/>
                <w:b/>
                <w:bCs/>
                <w:color w:val="000000"/>
                <w:kern w:val="0"/>
                <w:szCs w:val="21"/>
              </w:rPr>
              <w:lastRenderedPageBreak/>
              <w:t>Nonbenzodiazepine</w:t>
            </w:r>
            <w:r w:rsidRPr="003A7E06">
              <w:rPr>
                <w:rFonts w:ascii="Palatino Linotype" w:hAnsi="Palatino Linotype"/>
                <w:b/>
                <w:color w:val="000000"/>
                <w:kern w:val="0"/>
              </w:rPr>
              <w:t xml:space="preserve"> hypnotics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FDFA" w14:textId="77777777" w:rsidR="0088146F" w:rsidRPr="003A7E06" w:rsidRDefault="0088146F" w:rsidP="0078492F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50F7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D1D8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88146F" w:rsidRPr="000E012F" w14:paraId="18CC023A" w14:textId="77777777" w:rsidTr="00437907">
        <w:trPr>
          <w:trHeight w:val="3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D2F6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Eszopiclone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046D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b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A5D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69DC" w14:textId="77777777" w:rsidR="0088146F" w:rsidRPr="003A7E06" w:rsidRDefault="0088146F" w:rsidP="0078492F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1C0E9838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34B9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Suvorexant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8C40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546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F05A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5</w:t>
            </w:r>
          </w:p>
        </w:tc>
      </w:tr>
      <w:tr w:rsidR="0088146F" w:rsidRPr="000E012F" w14:paraId="684535A5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68EB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Zopiclone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F1A3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D435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E7F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1</w:t>
            </w:r>
          </w:p>
        </w:tc>
      </w:tr>
      <w:tr w:rsidR="0088146F" w:rsidRPr="000E012F" w14:paraId="670A3E79" w14:textId="77777777" w:rsidTr="00437907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F048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Zolpidem Tartrate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9BEDE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13C7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F9DEC" w14:textId="77777777" w:rsidR="0088146F" w:rsidRPr="003A7E06" w:rsidRDefault="0088146F" w:rsidP="0078492F">
            <w:pPr>
              <w:widowControl/>
              <w:jc w:val="center"/>
              <w:rPr>
                <w:rFonts w:ascii="Palatino Linotype" w:hAnsi="Palatino Linotype"/>
                <w:color w:val="000000"/>
                <w:kern w:val="0"/>
              </w:rPr>
            </w:pPr>
            <w:r w:rsidRPr="003A7E06">
              <w:rPr>
                <w:rFonts w:ascii="Palatino Linotype" w:hAnsi="Palatino Linotype"/>
                <w:color w:val="000000"/>
                <w:kern w:val="0"/>
              </w:rPr>
              <w:t>3</w:t>
            </w:r>
          </w:p>
        </w:tc>
      </w:tr>
    </w:tbl>
    <w:p w14:paraId="7A5438B9" w14:textId="193B069D" w:rsidR="006D5359" w:rsidRDefault="006D5359" w:rsidP="00570762">
      <w:pPr>
        <w:rPr>
          <w:rFonts w:ascii="Palatino Linotype" w:hAnsi="Palatino Linotype"/>
          <w:color w:val="000000" w:themeColor="text1"/>
          <w:szCs w:val="21"/>
        </w:rPr>
      </w:pPr>
    </w:p>
    <w:p w14:paraId="08796D03" w14:textId="3557B381" w:rsidR="006D5359" w:rsidRDefault="006D5359" w:rsidP="006D5359">
      <w:pPr>
        <w:rPr>
          <w:rFonts w:ascii="Palatino Linotype" w:hAnsi="Palatino Linotype"/>
          <w:color w:val="000000" w:themeColor="text1"/>
          <w:szCs w:val="21"/>
        </w:rPr>
      </w:pPr>
    </w:p>
    <w:p w14:paraId="008E242C" w14:textId="479FE66A" w:rsidR="006D5359" w:rsidRDefault="006D5359" w:rsidP="006D5359">
      <w:pPr>
        <w:rPr>
          <w:rFonts w:ascii="Palatino Linotype" w:hAnsi="Palatino Linotype"/>
          <w:color w:val="000000" w:themeColor="text1"/>
          <w:szCs w:val="21"/>
        </w:rPr>
      </w:pPr>
      <w:r>
        <w:rPr>
          <w:rFonts w:ascii="Palatino Linotype" w:hAnsi="Palatino Linotype" w:hint="eastAsia"/>
          <w:color w:val="000000" w:themeColor="text1"/>
          <w:szCs w:val="21"/>
        </w:rPr>
        <w:t>S</w:t>
      </w:r>
      <w:r>
        <w:rPr>
          <w:rFonts w:ascii="Palatino Linotype" w:hAnsi="Palatino Linotype"/>
          <w:color w:val="000000" w:themeColor="text1"/>
          <w:szCs w:val="21"/>
        </w:rPr>
        <w:t xml:space="preserve">upplementary </w:t>
      </w:r>
      <w:r w:rsidR="005620D2">
        <w:rPr>
          <w:rFonts w:ascii="Palatino Linotype" w:hAnsi="Palatino Linotype"/>
          <w:color w:val="000000" w:themeColor="text1"/>
          <w:szCs w:val="21"/>
        </w:rPr>
        <w:t>Figure Legends</w:t>
      </w:r>
      <w:r>
        <w:rPr>
          <w:rFonts w:ascii="Palatino Linotype" w:hAnsi="Palatino Linotype"/>
          <w:color w:val="000000" w:themeColor="text1"/>
          <w:szCs w:val="21"/>
        </w:rPr>
        <w:t>:</w:t>
      </w:r>
    </w:p>
    <w:p w14:paraId="68A71238" w14:textId="77777777" w:rsidR="005307F8" w:rsidRDefault="006D5359" w:rsidP="00570762">
      <w:pPr>
        <w:rPr>
          <w:rFonts w:ascii="Palatino Linotype" w:hAnsi="Palatino Linotype"/>
          <w:color w:val="000000" w:themeColor="text1"/>
          <w:szCs w:val="21"/>
        </w:rPr>
      </w:pPr>
      <w:r>
        <w:rPr>
          <w:rFonts w:ascii="Palatino Linotype" w:hAnsi="Palatino Linotype"/>
          <w:color w:val="000000" w:themeColor="text1"/>
          <w:szCs w:val="21"/>
        </w:rPr>
        <w:t>Supplementary F</w:t>
      </w:r>
      <w:r w:rsidRPr="00A05B86">
        <w:rPr>
          <w:rFonts w:ascii="Palatino Linotype" w:hAnsi="Palatino Linotype"/>
          <w:color w:val="000000" w:themeColor="text1"/>
          <w:szCs w:val="21"/>
        </w:rPr>
        <w:t>ig. 1. Sex differences in plasma fatty-acid binding protein 7 (FABP7).</w:t>
      </w:r>
    </w:p>
    <w:p w14:paraId="2BD6877B" w14:textId="7643DECC" w:rsidR="006D5359" w:rsidRPr="00A05B86" w:rsidRDefault="006D5359" w:rsidP="00B81D24">
      <w:pPr>
        <w:ind w:firstLine="840"/>
        <w:rPr>
          <w:rFonts w:ascii="Palatino Linotype" w:hAnsi="Palatino Linotype"/>
          <w:color w:val="000000" w:themeColor="text1"/>
          <w:szCs w:val="21"/>
        </w:rPr>
      </w:pPr>
      <w:r w:rsidRPr="00A05B86">
        <w:rPr>
          <w:rFonts w:ascii="Palatino Linotype" w:hAnsi="Palatino Linotype"/>
          <w:color w:val="000000" w:themeColor="text1"/>
          <w:szCs w:val="21"/>
        </w:rPr>
        <w:t>Unpaired t-test revealed no significant difference in plasma FABP7 (A</w:t>
      </w:r>
      <w:r w:rsidR="0048026C">
        <w:rPr>
          <w:rFonts w:ascii="Palatino Linotype" w:hAnsi="Palatino Linotype"/>
          <w:color w:val="000000" w:themeColor="text1"/>
          <w:szCs w:val="21"/>
        </w:rPr>
        <w:t>–</w:t>
      </w:r>
      <w:r w:rsidRPr="00A05B86">
        <w:rPr>
          <w:rFonts w:ascii="Palatino Linotype" w:hAnsi="Palatino Linotype"/>
          <w:color w:val="000000" w:themeColor="text1"/>
          <w:szCs w:val="21"/>
        </w:rPr>
        <w:t>C) between males and females in the schizophrenia, bipolar, and depression groups.</w:t>
      </w:r>
    </w:p>
    <w:p w14:paraId="60184715" w14:textId="77777777" w:rsidR="006D5359" w:rsidRDefault="006D5359" w:rsidP="00570762">
      <w:pPr>
        <w:rPr>
          <w:rFonts w:ascii="Palatino Linotype" w:hAnsi="Palatino Linotype"/>
          <w:color w:val="000000" w:themeColor="text1"/>
          <w:szCs w:val="21"/>
        </w:rPr>
      </w:pPr>
    </w:p>
    <w:p w14:paraId="6BD086AE" w14:textId="147D26BB" w:rsidR="00E33FC6" w:rsidRDefault="006D5359" w:rsidP="00570762">
      <w:pPr>
        <w:rPr>
          <w:rFonts w:ascii="Palatino Linotype" w:hAnsi="Palatino Linotype"/>
          <w:color w:val="000000" w:themeColor="text1"/>
          <w:szCs w:val="21"/>
        </w:rPr>
      </w:pPr>
      <w:r>
        <w:rPr>
          <w:rFonts w:ascii="Palatino Linotype" w:hAnsi="Palatino Linotype"/>
          <w:color w:val="000000" w:themeColor="text1"/>
          <w:szCs w:val="21"/>
        </w:rPr>
        <w:t xml:space="preserve">Supplementary </w:t>
      </w:r>
      <w:r w:rsidRPr="00A05B86">
        <w:rPr>
          <w:rFonts w:ascii="Palatino Linotype" w:hAnsi="Palatino Linotype"/>
          <w:color w:val="000000" w:themeColor="text1"/>
          <w:szCs w:val="21"/>
        </w:rPr>
        <w:t xml:space="preserve">Fig. 2. </w:t>
      </w:r>
      <w:r w:rsidR="00E33FC6">
        <w:rPr>
          <w:rFonts w:ascii="Palatino Linotype" w:hAnsi="Palatino Linotype"/>
          <w:color w:val="000000" w:themeColor="text1"/>
          <w:szCs w:val="21"/>
        </w:rPr>
        <w:t>Correlation between</w:t>
      </w:r>
      <w:r w:rsidRPr="00A05B86">
        <w:rPr>
          <w:rFonts w:ascii="Palatino Linotype" w:hAnsi="Palatino Linotype"/>
          <w:color w:val="000000" w:themeColor="text1"/>
          <w:szCs w:val="21"/>
        </w:rPr>
        <w:t xml:space="preserve"> disease period </w:t>
      </w:r>
      <w:r w:rsidR="00E33FC6">
        <w:rPr>
          <w:rFonts w:ascii="Palatino Linotype" w:hAnsi="Palatino Linotype"/>
          <w:color w:val="000000" w:themeColor="text1"/>
          <w:szCs w:val="21"/>
        </w:rPr>
        <w:t>and</w:t>
      </w:r>
      <w:r w:rsidR="00E33FC6" w:rsidRPr="00A05B86">
        <w:rPr>
          <w:rFonts w:ascii="Palatino Linotype" w:hAnsi="Palatino Linotype"/>
          <w:color w:val="000000" w:themeColor="text1"/>
          <w:szCs w:val="21"/>
        </w:rPr>
        <w:t xml:space="preserve"> </w:t>
      </w:r>
      <w:r w:rsidRPr="00A05B86">
        <w:rPr>
          <w:rFonts w:ascii="Palatino Linotype" w:hAnsi="Palatino Linotype"/>
          <w:color w:val="000000" w:themeColor="text1"/>
          <w:szCs w:val="21"/>
        </w:rPr>
        <w:t xml:space="preserve">plasma fatty-acid binding protein 7 (FABP7) concentration. </w:t>
      </w:r>
    </w:p>
    <w:p w14:paraId="1E6BE2D2" w14:textId="21F4CA77" w:rsidR="006D5359" w:rsidRPr="00A05B86" w:rsidRDefault="006D5359" w:rsidP="00E33FC6">
      <w:pPr>
        <w:ind w:firstLine="840"/>
        <w:rPr>
          <w:rFonts w:ascii="Palatino Linotype" w:hAnsi="Palatino Linotype"/>
          <w:color w:val="000000" w:themeColor="text1"/>
          <w:szCs w:val="21"/>
        </w:rPr>
      </w:pPr>
      <w:r w:rsidRPr="00A05B86">
        <w:rPr>
          <w:rFonts w:ascii="Palatino Linotype" w:hAnsi="Palatino Linotype"/>
          <w:color w:val="000000" w:themeColor="text1"/>
          <w:szCs w:val="21"/>
        </w:rPr>
        <w:t>Plasma FABP7 concentrations by disease duration are shown in the schizophrenia (</w:t>
      </w:r>
      <w:r w:rsidR="00E33FC6">
        <w:rPr>
          <w:rFonts w:ascii="Palatino Linotype" w:hAnsi="Palatino Linotype"/>
          <w:color w:val="000000" w:themeColor="text1"/>
          <w:szCs w:val="21"/>
        </w:rPr>
        <w:t>A</w:t>
      </w:r>
      <w:r w:rsidRPr="00A05B86">
        <w:rPr>
          <w:rFonts w:ascii="Palatino Linotype" w:hAnsi="Palatino Linotype"/>
          <w:color w:val="000000" w:themeColor="text1"/>
          <w:szCs w:val="21"/>
        </w:rPr>
        <w:t>), bipolar disorder (</w:t>
      </w:r>
      <w:r w:rsidR="00E33FC6">
        <w:rPr>
          <w:rFonts w:ascii="Palatino Linotype" w:hAnsi="Palatino Linotype"/>
          <w:color w:val="000000" w:themeColor="text1"/>
          <w:szCs w:val="21"/>
        </w:rPr>
        <w:t>B</w:t>
      </w:r>
      <w:r w:rsidRPr="00A05B86">
        <w:rPr>
          <w:rFonts w:ascii="Palatino Linotype" w:hAnsi="Palatino Linotype"/>
          <w:color w:val="000000" w:themeColor="text1"/>
          <w:szCs w:val="21"/>
        </w:rPr>
        <w:t>), and depression (</w:t>
      </w:r>
      <w:r w:rsidR="00E33FC6">
        <w:rPr>
          <w:rFonts w:ascii="Palatino Linotype" w:hAnsi="Palatino Linotype"/>
          <w:color w:val="000000" w:themeColor="text1"/>
          <w:szCs w:val="21"/>
        </w:rPr>
        <w:t>C</w:t>
      </w:r>
      <w:r w:rsidRPr="00A05B86">
        <w:rPr>
          <w:rFonts w:ascii="Palatino Linotype" w:hAnsi="Palatino Linotype"/>
          <w:color w:val="000000" w:themeColor="text1"/>
          <w:szCs w:val="21"/>
        </w:rPr>
        <w:t>) groups. Linear regression analysis showed no correlation between disease duration and plasma concentrations of FABP7 in the three disorder groups.</w:t>
      </w:r>
    </w:p>
    <w:p w14:paraId="071D450D" w14:textId="77777777" w:rsidR="008931FC" w:rsidRPr="00570762" w:rsidRDefault="008931FC"/>
    <w:sectPr w:rsidR="008931FC" w:rsidRPr="00570762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BE3" w14:textId="77777777" w:rsidR="006413F0" w:rsidRDefault="006413F0" w:rsidP="0088146F">
      <w:r>
        <w:separator/>
      </w:r>
    </w:p>
  </w:endnote>
  <w:endnote w:type="continuationSeparator" w:id="0">
    <w:p w14:paraId="20B2BC49" w14:textId="77777777" w:rsidR="006413F0" w:rsidRDefault="006413F0" w:rsidP="0088146F">
      <w:r>
        <w:continuationSeparator/>
      </w:r>
    </w:p>
  </w:endnote>
  <w:endnote w:type="continuationNotice" w:id="1">
    <w:p w14:paraId="5F38C077" w14:textId="77777777" w:rsidR="006413F0" w:rsidRDefault="00641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C130" w14:textId="77777777" w:rsidR="00F3313D" w:rsidRDefault="00F331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9721" w14:textId="77777777" w:rsidR="006413F0" w:rsidRDefault="006413F0" w:rsidP="0088146F">
      <w:r>
        <w:separator/>
      </w:r>
    </w:p>
  </w:footnote>
  <w:footnote w:type="continuationSeparator" w:id="0">
    <w:p w14:paraId="70231C7F" w14:textId="77777777" w:rsidR="006413F0" w:rsidRDefault="006413F0" w:rsidP="0088146F">
      <w:r>
        <w:continuationSeparator/>
      </w:r>
    </w:p>
  </w:footnote>
  <w:footnote w:type="continuationNotice" w:id="1">
    <w:p w14:paraId="11C24403" w14:textId="77777777" w:rsidR="006413F0" w:rsidRDefault="006413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7905" w14:textId="77777777" w:rsidR="00F3313D" w:rsidRDefault="00F331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4601"/>
    <w:multiLevelType w:val="multilevel"/>
    <w:tmpl w:val="87B4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2NDEzMDIzsjAyMzZS0lEKTi0uzszPAykwqgUAVpXPVSwAAAA="/>
  </w:docVars>
  <w:rsids>
    <w:rsidRoot w:val="007E57D7"/>
    <w:rsid w:val="00004CD7"/>
    <w:rsid w:val="0000544E"/>
    <w:rsid w:val="000142A5"/>
    <w:rsid w:val="00014F35"/>
    <w:rsid w:val="00017CDB"/>
    <w:rsid w:val="00020E6B"/>
    <w:rsid w:val="000277E6"/>
    <w:rsid w:val="0003394B"/>
    <w:rsid w:val="00040E99"/>
    <w:rsid w:val="000532B5"/>
    <w:rsid w:val="00056E2F"/>
    <w:rsid w:val="000630C5"/>
    <w:rsid w:val="000703AF"/>
    <w:rsid w:val="00077B0B"/>
    <w:rsid w:val="00082FAF"/>
    <w:rsid w:val="00087951"/>
    <w:rsid w:val="00087BF2"/>
    <w:rsid w:val="0009211C"/>
    <w:rsid w:val="00093D7B"/>
    <w:rsid w:val="000949D3"/>
    <w:rsid w:val="000A2DB3"/>
    <w:rsid w:val="000A7768"/>
    <w:rsid w:val="000B0D65"/>
    <w:rsid w:val="000B46F6"/>
    <w:rsid w:val="000C438C"/>
    <w:rsid w:val="000D122C"/>
    <w:rsid w:val="000D1856"/>
    <w:rsid w:val="000D2E87"/>
    <w:rsid w:val="000E012F"/>
    <w:rsid w:val="000E3493"/>
    <w:rsid w:val="000E47CA"/>
    <w:rsid w:val="00105C0F"/>
    <w:rsid w:val="001079BD"/>
    <w:rsid w:val="00110A78"/>
    <w:rsid w:val="0011131D"/>
    <w:rsid w:val="00112A18"/>
    <w:rsid w:val="00113A68"/>
    <w:rsid w:val="00115124"/>
    <w:rsid w:val="00115BAF"/>
    <w:rsid w:val="00123CFB"/>
    <w:rsid w:val="001268D3"/>
    <w:rsid w:val="00126903"/>
    <w:rsid w:val="001315C3"/>
    <w:rsid w:val="0013442B"/>
    <w:rsid w:val="001436CB"/>
    <w:rsid w:val="00146A9D"/>
    <w:rsid w:val="001522D9"/>
    <w:rsid w:val="0015252F"/>
    <w:rsid w:val="00152F07"/>
    <w:rsid w:val="001566EB"/>
    <w:rsid w:val="00161CAF"/>
    <w:rsid w:val="00166101"/>
    <w:rsid w:val="00167601"/>
    <w:rsid w:val="00184CA0"/>
    <w:rsid w:val="0018508B"/>
    <w:rsid w:val="00187C07"/>
    <w:rsid w:val="001949D8"/>
    <w:rsid w:val="00197CBE"/>
    <w:rsid w:val="001A1D0B"/>
    <w:rsid w:val="001A5006"/>
    <w:rsid w:val="001A71FC"/>
    <w:rsid w:val="001B0368"/>
    <w:rsid w:val="001B0A17"/>
    <w:rsid w:val="001B5BCD"/>
    <w:rsid w:val="001B67E9"/>
    <w:rsid w:val="001C0D00"/>
    <w:rsid w:val="001C4563"/>
    <w:rsid w:val="001D073D"/>
    <w:rsid w:val="001D2696"/>
    <w:rsid w:val="001D4053"/>
    <w:rsid w:val="001D4919"/>
    <w:rsid w:val="001D71F1"/>
    <w:rsid w:val="001F0FA3"/>
    <w:rsid w:val="001F2C1C"/>
    <w:rsid w:val="001F6097"/>
    <w:rsid w:val="001F796E"/>
    <w:rsid w:val="00207E30"/>
    <w:rsid w:val="00210216"/>
    <w:rsid w:val="00212EB6"/>
    <w:rsid w:val="0022609A"/>
    <w:rsid w:val="0022711B"/>
    <w:rsid w:val="002273E9"/>
    <w:rsid w:val="0024081F"/>
    <w:rsid w:val="0024097D"/>
    <w:rsid w:val="002429E4"/>
    <w:rsid w:val="002448BA"/>
    <w:rsid w:val="00252118"/>
    <w:rsid w:val="00253982"/>
    <w:rsid w:val="00257B3D"/>
    <w:rsid w:val="0026446B"/>
    <w:rsid w:val="002763EA"/>
    <w:rsid w:val="0027797E"/>
    <w:rsid w:val="002812E0"/>
    <w:rsid w:val="00281674"/>
    <w:rsid w:val="00285D65"/>
    <w:rsid w:val="0029285E"/>
    <w:rsid w:val="0029336D"/>
    <w:rsid w:val="0029736C"/>
    <w:rsid w:val="002A01F4"/>
    <w:rsid w:val="002B26F4"/>
    <w:rsid w:val="002B63E0"/>
    <w:rsid w:val="002D4E66"/>
    <w:rsid w:val="002E01B1"/>
    <w:rsid w:val="002E5C81"/>
    <w:rsid w:val="002E75CF"/>
    <w:rsid w:val="002F31FE"/>
    <w:rsid w:val="00301502"/>
    <w:rsid w:val="0030602A"/>
    <w:rsid w:val="0031071A"/>
    <w:rsid w:val="00310F22"/>
    <w:rsid w:val="00313841"/>
    <w:rsid w:val="00323E07"/>
    <w:rsid w:val="00324C44"/>
    <w:rsid w:val="00325FD8"/>
    <w:rsid w:val="00325FED"/>
    <w:rsid w:val="00330F4F"/>
    <w:rsid w:val="0033291C"/>
    <w:rsid w:val="003526EB"/>
    <w:rsid w:val="0035395F"/>
    <w:rsid w:val="00354E42"/>
    <w:rsid w:val="00363129"/>
    <w:rsid w:val="00363445"/>
    <w:rsid w:val="00365F7B"/>
    <w:rsid w:val="003668F6"/>
    <w:rsid w:val="003670EC"/>
    <w:rsid w:val="003755D1"/>
    <w:rsid w:val="003838C5"/>
    <w:rsid w:val="0038429A"/>
    <w:rsid w:val="00385C7C"/>
    <w:rsid w:val="00386975"/>
    <w:rsid w:val="0039141C"/>
    <w:rsid w:val="0039169D"/>
    <w:rsid w:val="0039394E"/>
    <w:rsid w:val="003A52E0"/>
    <w:rsid w:val="003A7E06"/>
    <w:rsid w:val="003C735F"/>
    <w:rsid w:val="003D29A7"/>
    <w:rsid w:val="003E3F73"/>
    <w:rsid w:val="003E58C0"/>
    <w:rsid w:val="003E69A6"/>
    <w:rsid w:val="003E7063"/>
    <w:rsid w:val="003F7AEC"/>
    <w:rsid w:val="0040136E"/>
    <w:rsid w:val="00405055"/>
    <w:rsid w:val="0040699C"/>
    <w:rsid w:val="00411951"/>
    <w:rsid w:val="0043091F"/>
    <w:rsid w:val="00431AD5"/>
    <w:rsid w:val="0043678B"/>
    <w:rsid w:val="00437907"/>
    <w:rsid w:val="00440C21"/>
    <w:rsid w:val="0044586C"/>
    <w:rsid w:val="0045508A"/>
    <w:rsid w:val="00474208"/>
    <w:rsid w:val="0048026C"/>
    <w:rsid w:val="004960C7"/>
    <w:rsid w:val="004A55D7"/>
    <w:rsid w:val="004A6742"/>
    <w:rsid w:val="004B417C"/>
    <w:rsid w:val="004C155A"/>
    <w:rsid w:val="004D1A72"/>
    <w:rsid w:val="004E1E02"/>
    <w:rsid w:val="004E3E52"/>
    <w:rsid w:val="004E4824"/>
    <w:rsid w:val="004E5836"/>
    <w:rsid w:val="004E5ED6"/>
    <w:rsid w:val="004E614D"/>
    <w:rsid w:val="004E6A46"/>
    <w:rsid w:val="004F109F"/>
    <w:rsid w:val="004F216A"/>
    <w:rsid w:val="004F21E1"/>
    <w:rsid w:val="004F4F12"/>
    <w:rsid w:val="00501466"/>
    <w:rsid w:val="005069BA"/>
    <w:rsid w:val="00511EC2"/>
    <w:rsid w:val="00514FBC"/>
    <w:rsid w:val="00515A05"/>
    <w:rsid w:val="005278CE"/>
    <w:rsid w:val="005307F8"/>
    <w:rsid w:val="00533478"/>
    <w:rsid w:val="005355A0"/>
    <w:rsid w:val="00536D66"/>
    <w:rsid w:val="00542371"/>
    <w:rsid w:val="005443F5"/>
    <w:rsid w:val="00547BEC"/>
    <w:rsid w:val="00550B14"/>
    <w:rsid w:val="00550EC8"/>
    <w:rsid w:val="00560BBB"/>
    <w:rsid w:val="005620D2"/>
    <w:rsid w:val="005679C9"/>
    <w:rsid w:val="00570762"/>
    <w:rsid w:val="00575D72"/>
    <w:rsid w:val="005946B5"/>
    <w:rsid w:val="00594C3C"/>
    <w:rsid w:val="005A1E33"/>
    <w:rsid w:val="005A538C"/>
    <w:rsid w:val="005A577A"/>
    <w:rsid w:val="005B02AA"/>
    <w:rsid w:val="005B50F1"/>
    <w:rsid w:val="005C5894"/>
    <w:rsid w:val="005C7B12"/>
    <w:rsid w:val="005D068F"/>
    <w:rsid w:val="005D222A"/>
    <w:rsid w:val="005D2CED"/>
    <w:rsid w:val="005D3E54"/>
    <w:rsid w:val="005D51BC"/>
    <w:rsid w:val="005F0284"/>
    <w:rsid w:val="005F5985"/>
    <w:rsid w:val="00601AD0"/>
    <w:rsid w:val="0061049C"/>
    <w:rsid w:val="0061583F"/>
    <w:rsid w:val="006214EF"/>
    <w:rsid w:val="0062320B"/>
    <w:rsid w:val="00627A94"/>
    <w:rsid w:val="00631146"/>
    <w:rsid w:val="006320A6"/>
    <w:rsid w:val="006413F0"/>
    <w:rsid w:val="00643918"/>
    <w:rsid w:val="00644F2B"/>
    <w:rsid w:val="00663EBC"/>
    <w:rsid w:val="00680AC7"/>
    <w:rsid w:val="00681331"/>
    <w:rsid w:val="00690C36"/>
    <w:rsid w:val="006927AD"/>
    <w:rsid w:val="00695306"/>
    <w:rsid w:val="006A2988"/>
    <w:rsid w:val="006A4E43"/>
    <w:rsid w:val="006B43A5"/>
    <w:rsid w:val="006B5A3D"/>
    <w:rsid w:val="006B7179"/>
    <w:rsid w:val="006B7DDE"/>
    <w:rsid w:val="006C1A98"/>
    <w:rsid w:val="006D4ED9"/>
    <w:rsid w:val="006D5359"/>
    <w:rsid w:val="006D5B72"/>
    <w:rsid w:val="006D7C19"/>
    <w:rsid w:val="006D7F79"/>
    <w:rsid w:val="006E3D87"/>
    <w:rsid w:val="006E54CF"/>
    <w:rsid w:val="006E5B26"/>
    <w:rsid w:val="006E6A6D"/>
    <w:rsid w:val="006F6EB5"/>
    <w:rsid w:val="006F7CDF"/>
    <w:rsid w:val="00710FA5"/>
    <w:rsid w:val="007110D9"/>
    <w:rsid w:val="0071737C"/>
    <w:rsid w:val="00723A3C"/>
    <w:rsid w:val="00723FA1"/>
    <w:rsid w:val="00733366"/>
    <w:rsid w:val="00737FDA"/>
    <w:rsid w:val="007421DF"/>
    <w:rsid w:val="007442A1"/>
    <w:rsid w:val="00744515"/>
    <w:rsid w:val="00746217"/>
    <w:rsid w:val="00756161"/>
    <w:rsid w:val="007620C7"/>
    <w:rsid w:val="00763D00"/>
    <w:rsid w:val="00766DB6"/>
    <w:rsid w:val="007866FC"/>
    <w:rsid w:val="00791396"/>
    <w:rsid w:val="00793AB1"/>
    <w:rsid w:val="00795D4A"/>
    <w:rsid w:val="00795EA9"/>
    <w:rsid w:val="007A1E3B"/>
    <w:rsid w:val="007B30BB"/>
    <w:rsid w:val="007B64EE"/>
    <w:rsid w:val="007C17ED"/>
    <w:rsid w:val="007D6901"/>
    <w:rsid w:val="007E52A5"/>
    <w:rsid w:val="007E57D7"/>
    <w:rsid w:val="007E6F1B"/>
    <w:rsid w:val="007F2213"/>
    <w:rsid w:val="008042CA"/>
    <w:rsid w:val="008070DB"/>
    <w:rsid w:val="00813924"/>
    <w:rsid w:val="00831DC0"/>
    <w:rsid w:val="00833F36"/>
    <w:rsid w:val="008428C1"/>
    <w:rsid w:val="00842E7E"/>
    <w:rsid w:val="00846325"/>
    <w:rsid w:val="00853A47"/>
    <w:rsid w:val="00856851"/>
    <w:rsid w:val="0086464A"/>
    <w:rsid w:val="00864D3D"/>
    <w:rsid w:val="00870C8F"/>
    <w:rsid w:val="008766C9"/>
    <w:rsid w:val="0088146F"/>
    <w:rsid w:val="008919F4"/>
    <w:rsid w:val="008931FC"/>
    <w:rsid w:val="008A1DE3"/>
    <w:rsid w:val="008A6715"/>
    <w:rsid w:val="008B6C4A"/>
    <w:rsid w:val="008C57A4"/>
    <w:rsid w:val="008C6FE5"/>
    <w:rsid w:val="008C7DA7"/>
    <w:rsid w:val="008D2752"/>
    <w:rsid w:val="008F4266"/>
    <w:rsid w:val="008F7695"/>
    <w:rsid w:val="00902867"/>
    <w:rsid w:val="009037E9"/>
    <w:rsid w:val="00906C86"/>
    <w:rsid w:val="0091174F"/>
    <w:rsid w:val="00912E2C"/>
    <w:rsid w:val="00914D53"/>
    <w:rsid w:val="00916B3B"/>
    <w:rsid w:val="009174FE"/>
    <w:rsid w:val="0091790F"/>
    <w:rsid w:val="0092386F"/>
    <w:rsid w:val="0092391F"/>
    <w:rsid w:val="00925833"/>
    <w:rsid w:val="00933130"/>
    <w:rsid w:val="009349F1"/>
    <w:rsid w:val="00937833"/>
    <w:rsid w:val="00950F0D"/>
    <w:rsid w:val="0095314D"/>
    <w:rsid w:val="00957A7F"/>
    <w:rsid w:val="009722B1"/>
    <w:rsid w:val="00984527"/>
    <w:rsid w:val="009933C2"/>
    <w:rsid w:val="00995C8A"/>
    <w:rsid w:val="00996B49"/>
    <w:rsid w:val="00997ADE"/>
    <w:rsid w:val="009C2CCA"/>
    <w:rsid w:val="009F0BCB"/>
    <w:rsid w:val="009F1567"/>
    <w:rsid w:val="009F199B"/>
    <w:rsid w:val="009F57E2"/>
    <w:rsid w:val="009F7DEA"/>
    <w:rsid w:val="00A01E5E"/>
    <w:rsid w:val="00A02141"/>
    <w:rsid w:val="00A053C6"/>
    <w:rsid w:val="00A05B86"/>
    <w:rsid w:val="00A07C24"/>
    <w:rsid w:val="00A318C1"/>
    <w:rsid w:val="00A3278A"/>
    <w:rsid w:val="00A34F0B"/>
    <w:rsid w:val="00A47BE1"/>
    <w:rsid w:val="00A66012"/>
    <w:rsid w:val="00A7058F"/>
    <w:rsid w:val="00A715D2"/>
    <w:rsid w:val="00A72F5B"/>
    <w:rsid w:val="00A7611D"/>
    <w:rsid w:val="00A82A94"/>
    <w:rsid w:val="00A86A72"/>
    <w:rsid w:val="00A91E2D"/>
    <w:rsid w:val="00A947CC"/>
    <w:rsid w:val="00AA46C3"/>
    <w:rsid w:val="00AA547F"/>
    <w:rsid w:val="00AA59D4"/>
    <w:rsid w:val="00AB55B4"/>
    <w:rsid w:val="00AC33D0"/>
    <w:rsid w:val="00AC51D8"/>
    <w:rsid w:val="00AC75FA"/>
    <w:rsid w:val="00AD210D"/>
    <w:rsid w:val="00AD24E0"/>
    <w:rsid w:val="00AD336D"/>
    <w:rsid w:val="00AD3530"/>
    <w:rsid w:val="00AD3CF2"/>
    <w:rsid w:val="00AE2ABB"/>
    <w:rsid w:val="00AE6C42"/>
    <w:rsid w:val="00AE6ECA"/>
    <w:rsid w:val="00AE7445"/>
    <w:rsid w:val="00AF7A6C"/>
    <w:rsid w:val="00B034AA"/>
    <w:rsid w:val="00B0543D"/>
    <w:rsid w:val="00B05A8D"/>
    <w:rsid w:val="00B05D25"/>
    <w:rsid w:val="00B067AE"/>
    <w:rsid w:val="00B1089B"/>
    <w:rsid w:val="00B11582"/>
    <w:rsid w:val="00B1538F"/>
    <w:rsid w:val="00B16FBE"/>
    <w:rsid w:val="00B26318"/>
    <w:rsid w:val="00B442D6"/>
    <w:rsid w:val="00B52095"/>
    <w:rsid w:val="00B52781"/>
    <w:rsid w:val="00B53741"/>
    <w:rsid w:val="00B731D6"/>
    <w:rsid w:val="00B75137"/>
    <w:rsid w:val="00B81D24"/>
    <w:rsid w:val="00B8326F"/>
    <w:rsid w:val="00B87CCB"/>
    <w:rsid w:val="00B90542"/>
    <w:rsid w:val="00B96B9F"/>
    <w:rsid w:val="00BA2481"/>
    <w:rsid w:val="00BA3A4B"/>
    <w:rsid w:val="00BA5199"/>
    <w:rsid w:val="00BB1B8E"/>
    <w:rsid w:val="00BB214E"/>
    <w:rsid w:val="00BB53F2"/>
    <w:rsid w:val="00BB67CF"/>
    <w:rsid w:val="00BC27A1"/>
    <w:rsid w:val="00BC76DB"/>
    <w:rsid w:val="00BD03AD"/>
    <w:rsid w:val="00BD32A4"/>
    <w:rsid w:val="00BE3A74"/>
    <w:rsid w:val="00BE4C07"/>
    <w:rsid w:val="00BE5C49"/>
    <w:rsid w:val="00BF5D72"/>
    <w:rsid w:val="00C03C9F"/>
    <w:rsid w:val="00C04D83"/>
    <w:rsid w:val="00C16194"/>
    <w:rsid w:val="00C27793"/>
    <w:rsid w:val="00C3222E"/>
    <w:rsid w:val="00C454F5"/>
    <w:rsid w:val="00C47A8A"/>
    <w:rsid w:val="00C51E15"/>
    <w:rsid w:val="00C577CF"/>
    <w:rsid w:val="00C603BE"/>
    <w:rsid w:val="00C61795"/>
    <w:rsid w:val="00C61C3C"/>
    <w:rsid w:val="00C65F25"/>
    <w:rsid w:val="00C73C49"/>
    <w:rsid w:val="00C757DA"/>
    <w:rsid w:val="00C80902"/>
    <w:rsid w:val="00C82504"/>
    <w:rsid w:val="00C87A51"/>
    <w:rsid w:val="00C9088A"/>
    <w:rsid w:val="00CA761E"/>
    <w:rsid w:val="00CB1A81"/>
    <w:rsid w:val="00CB719F"/>
    <w:rsid w:val="00CC41EB"/>
    <w:rsid w:val="00CD5763"/>
    <w:rsid w:val="00CE04A0"/>
    <w:rsid w:val="00CE5958"/>
    <w:rsid w:val="00CE707A"/>
    <w:rsid w:val="00CF0C01"/>
    <w:rsid w:val="00CF4CE2"/>
    <w:rsid w:val="00D04B96"/>
    <w:rsid w:val="00D17593"/>
    <w:rsid w:val="00D2151D"/>
    <w:rsid w:val="00D22BA3"/>
    <w:rsid w:val="00D34999"/>
    <w:rsid w:val="00D51C39"/>
    <w:rsid w:val="00D54412"/>
    <w:rsid w:val="00D60B76"/>
    <w:rsid w:val="00D61C55"/>
    <w:rsid w:val="00D674DA"/>
    <w:rsid w:val="00D7079B"/>
    <w:rsid w:val="00D71099"/>
    <w:rsid w:val="00D72D50"/>
    <w:rsid w:val="00D81C39"/>
    <w:rsid w:val="00D83E41"/>
    <w:rsid w:val="00D873BB"/>
    <w:rsid w:val="00D931FA"/>
    <w:rsid w:val="00DA6175"/>
    <w:rsid w:val="00DB1E48"/>
    <w:rsid w:val="00DB7E07"/>
    <w:rsid w:val="00DC43DC"/>
    <w:rsid w:val="00DC4E1B"/>
    <w:rsid w:val="00DC7DA8"/>
    <w:rsid w:val="00DD0F4F"/>
    <w:rsid w:val="00DE5436"/>
    <w:rsid w:val="00DE6300"/>
    <w:rsid w:val="00DE7240"/>
    <w:rsid w:val="00DE7FCD"/>
    <w:rsid w:val="00E075D9"/>
    <w:rsid w:val="00E174CD"/>
    <w:rsid w:val="00E238A8"/>
    <w:rsid w:val="00E2492A"/>
    <w:rsid w:val="00E24F9D"/>
    <w:rsid w:val="00E30DAA"/>
    <w:rsid w:val="00E33FC6"/>
    <w:rsid w:val="00E33FE1"/>
    <w:rsid w:val="00E409D5"/>
    <w:rsid w:val="00E42DD6"/>
    <w:rsid w:val="00E46C2C"/>
    <w:rsid w:val="00E4723B"/>
    <w:rsid w:val="00E570FD"/>
    <w:rsid w:val="00E62ADD"/>
    <w:rsid w:val="00E715F9"/>
    <w:rsid w:val="00E74AD3"/>
    <w:rsid w:val="00E958C3"/>
    <w:rsid w:val="00EA42EB"/>
    <w:rsid w:val="00EB6ECD"/>
    <w:rsid w:val="00ED0FA4"/>
    <w:rsid w:val="00ED137E"/>
    <w:rsid w:val="00ED638B"/>
    <w:rsid w:val="00EE50E5"/>
    <w:rsid w:val="00EE6A4A"/>
    <w:rsid w:val="00EE6B8A"/>
    <w:rsid w:val="00EF57F8"/>
    <w:rsid w:val="00F01713"/>
    <w:rsid w:val="00F03984"/>
    <w:rsid w:val="00F06075"/>
    <w:rsid w:val="00F07E0C"/>
    <w:rsid w:val="00F10BFB"/>
    <w:rsid w:val="00F2004B"/>
    <w:rsid w:val="00F3082A"/>
    <w:rsid w:val="00F3313D"/>
    <w:rsid w:val="00F62404"/>
    <w:rsid w:val="00F64BB9"/>
    <w:rsid w:val="00F65ABE"/>
    <w:rsid w:val="00F70192"/>
    <w:rsid w:val="00F73326"/>
    <w:rsid w:val="00F73877"/>
    <w:rsid w:val="00F7572F"/>
    <w:rsid w:val="00F82F5E"/>
    <w:rsid w:val="00F83374"/>
    <w:rsid w:val="00F867A3"/>
    <w:rsid w:val="00F86C0F"/>
    <w:rsid w:val="00F91EB8"/>
    <w:rsid w:val="00F9262B"/>
    <w:rsid w:val="00F945E0"/>
    <w:rsid w:val="00F94F44"/>
    <w:rsid w:val="00F95A02"/>
    <w:rsid w:val="00FA1632"/>
    <w:rsid w:val="00FB347E"/>
    <w:rsid w:val="00FB4DD1"/>
    <w:rsid w:val="00FC28CA"/>
    <w:rsid w:val="00FD173E"/>
    <w:rsid w:val="00FE2F60"/>
    <w:rsid w:val="00FE6C31"/>
    <w:rsid w:val="00FF1BC7"/>
    <w:rsid w:val="00FF6262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4A8675"/>
  <w15:docId w15:val="{EC37C2B6-D58C-446B-B82A-89E6A446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46F"/>
    <w:pPr>
      <w:widowControl w:val="0"/>
      <w:jc w:val="both"/>
    </w:pPr>
    <w:rPr>
      <w:rFonts w:ascii="Meiryo UI" w:eastAsia="Meiryo UI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4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88146F"/>
  </w:style>
  <w:style w:type="paragraph" w:styleId="a5">
    <w:name w:val="footer"/>
    <w:basedOn w:val="a"/>
    <w:link w:val="a6"/>
    <w:uiPriority w:val="99"/>
    <w:unhideWhenUsed/>
    <w:rsid w:val="000054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88146F"/>
  </w:style>
  <w:style w:type="paragraph" w:customStyle="1" w:styleId="a7">
    <w:name w:val="本文用"/>
    <w:basedOn w:val="a"/>
    <w:link w:val="a8"/>
    <w:qFormat/>
    <w:rsid w:val="0000544E"/>
    <w:pPr>
      <w:ind w:firstLineChars="100" w:firstLine="200"/>
    </w:pPr>
    <w:rPr>
      <w:rFonts w:ascii="Century" w:eastAsia="ＭＳ Ｐ明朝" w:hAnsi="Century" w:cs="メイリオ"/>
      <w:sz w:val="20"/>
      <w:szCs w:val="21"/>
    </w:rPr>
  </w:style>
  <w:style w:type="character" w:customStyle="1" w:styleId="a8">
    <w:name w:val="本文用 (文字)"/>
    <w:basedOn w:val="a0"/>
    <w:link w:val="a7"/>
    <w:rsid w:val="0000544E"/>
    <w:rPr>
      <w:rFonts w:ascii="Century" w:eastAsia="ＭＳ Ｐ明朝" w:hAnsi="Century" w:cs="メイリオ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0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jlqj4b">
    <w:name w:val="jlqj4b"/>
    <w:basedOn w:val="a0"/>
    <w:rsid w:val="0000544E"/>
  </w:style>
  <w:style w:type="character" w:customStyle="1" w:styleId="viiyi">
    <w:name w:val="viiyi"/>
    <w:basedOn w:val="a0"/>
    <w:rsid w:val="0000544E"/>
  </w:style>
  <w:style w:type="character" w:styleId="ab">
    <w:name w:val="annotation reference"/>
    <w:basedOn w:val="a0"/>
    <w:uiPriority w:val="99"/>
    <w:semiHidden/>
    <w:unhideWhenUsed/>
    <w:rsid w:val="0000544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0544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0544E"/>
    <w:rPr>
      <w:rFonts w:ascii="Meiryo UI" w:eastAsia="Meiryo UI" w:hAnsi="Meiryo U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44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544E"/>
    <w:rPr>
      <w:rFonts w:ascii="Meiryo UI" w:eastAsia="Meiryo UI" w:hAnsi="Meiryo UI"/>
      <w:b/>
      <w:bCs/>
    </w:rPr>
  </w:style>
  <w:style w:type="table" w:styleId="af0">
    <w:name w:val="Table Grid"/>
    <w:basedOn w:val="a1"/>
    <w:uiPriority w:val="39"/>
    <w:rsid w:val="0000544E"/>
    <w:rPr>
      <w:rFonts w:ascii="Meiryo UI" w:eastAsia="Meiryo UI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054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544E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00544E"/>
    <w:pPr>
      <w:ind w:leftChars="400" w:left="840"/>
    </w:pPr>
  </w:style>
  <w:style w:type="paragraph" w:customStyle="1" w:styleId="EndNoteBibliographyTitle">
    <w:name w:val="EndNote Bibliography Title"/>
    <w:basedOn w:val="a"/>
    <w:link w:val="EndNoteBibliographyTitle0"/>
    <w:rsid w:val="0000544E"/>
    <w:pPr>
      <w:jc w:val="center"/>
    </w:pPr>
    <w:rPr>
      <w:rFonts w:cs="メイリオ"/>
      <w:noProof/>
      <w:sz w:val="20"/>
      <w:szCs w:val="21"/>
    </w:rPr>
  </w:style>
  <w:style w:type="character" w:customStyle="1" w:styleId="EndNoteBibliographyTitle0">
    <w:name w:val="EndNote Bibliography Title (文字)"/>
    <w:basedOn w:val="a8"/>
    <w:link w:val="EndNoteBibliographyTitle"/>
    <w:rsid w:val="0000544E"/>
    <w:rPr>
      <w:rFonts w:ascii="Meiryo UI" w:eastAsia="Meiryo UI" w:hAnsi="Meiryo UI" w:cs="メイリオ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00544E"/>
    <w:rPr>
      <w:rFonts w:cs="メイリオ"/>
      <w:noProof/>
      <w:sz w:val="20"/>
      <w:szCs w:val="21"/>
    </w:rPr>
  </w:style>
  <w:style w:type="character" w:customStyle="1" w:styleId="EndNoteBibliography0">
    <w:name w:val="EndNote Bibliography (文字)"/>
    <w:basedOn w:val="a8"/>
    <w:link w:val="EndNoteBibliography"/>
    <w:rsid w:val="0000544E"/>
    <w:rPr>
      <w:rFonts w:ascii="Meiryo UI" w:eastAsia="Meiryo UI" w:hAnsi="Meiryo UI" w:cs="メイリオ"/>
      <w:noProof/>
      <w:sz w:val="20"/>
      <w:szCs w:val="21"/>
    </w:rPr>
  </w:style>
  <w:style w:type="paragraph" w:styleId="af3">
    <w:name w:val="Revision"/>
    <w:hidden/>
    <w:uiPriority w:val="99"/>
    <w:semiHidden/>
    <w:rsid w:val="0000544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5D05-F0BE-49A8-A35E-B3E47DFF6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58915B-D3A7-4F82-93AB-27F937AC7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CCDC4D-07EF-40C2-857C-89017E11AC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9F793-610E-47F7-8A1E-8D19159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 Minori</dc:creator>
  <cp:lastModifiedBy>Koga Minori</cp:lastModifiedBy>
  <cp:revision>3</cp:revision>
  <dcterms:created xsi:type="dcterms:W3CDTF">2021-09-13T23:19:00Z</dcterms:created>
  <dcterms:modified xsi:type="dcterms:W3CDTF">2021-09-14T14:12:00Z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3PmGddIPfxP1</vt:lpwstr>
  </property>
  <property fmtid="{D5CDD505-2E9C-101B-9397-08002B2CF9AE}" pid="3" name="TRFLID">
    <vt:lpwstr>jw1jtNxELp6LwaGCLHncMg==</vt:lpwstr>
  </property>
</Properties>
</file>