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19"/>
        <w:gridCol w:w="425"/>
        <w:gridCol w:w="992"/>
        <w:gridCol w:w="709"/>
        <w:gridCol w:w="1418"/>
        <w:gridCol w:w="1275"/>
        <w:gridCol w:w="100"/>
        <w:gridCol w:w="1136"/>
        <w:gridCol w:w="324"/>
        <w:gridCol w:w="567"/>
      </w:tblGrid>
      <w:tr w:rsidR="00EF1E8A" w:rsidRPr="00EF1E8A" w14:paraId="2BA9CB8B" w14:textId="77777777" w:rsidTr="00587882">
        <w:trPr>
          <w:trHeight w:val="400"/>
        </w:trPr>
        <w:tc>
          <w:tcPr>
            <w:tcW w:w="100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44AE2" w14:textId="1E2EDE4E" w:rsidR="00A86A31" w:rsidRPr="00EF1E8A" w:rsidRDefault="004E5AFA" w:rsidP="0085370A">
            <w:pPr>
              <w:spacing w:line="480" w:lineRule="auto"/>
              <w:ind w:rightChars="155" w:right="325" w:firstLineChars="0" w:firstLine="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EF1E8A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Supplementary Table S</w:t>
            </w:r>
            <w:r w:rsidR="00600179" w:rsidRPr="00EF1E8A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4</w:t>
            </w:r>
            <w:r w:rsidR="008D2593" w:rsidRPr="00EF1E8A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. </w:t>
            </w:r>
            <w:r w:rsidR="00CA1A81" w:rsidRPr="00EF1E8A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Clinical factors of higher and inappropriately lower measured HbA1c compared with target HbA1c by multivariate logistic regression analysis in patients with </w:t>
            </w:r>
            <w:r w:rsidR="00D9079C" w:rsidRPr="00EF1E8A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drugs potentially associated with severe hypoglycemia</w:t>
            </w:r>
            <w:r w:rsidR="00CA1A81" w:rsidRPr="00EF1E8A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 classified as Categories I and II</w:t>
            </w:r>
          </w:p>
        </w:tc>
      </w:tr>
      <w:tr w:rsidR="00EF1E8A" w:rsidRPr="00EF1E8A" w14:paraId="684C508C" w14:textId="77777777" w:rsidTr="00587882">
        <w:trPr>
          <w:trHeight w:val="4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26EAF" w14:textId="77777777" w:rsidR="00A86A31" w:rsidRPr="00EF1E8A" w:rsidRDefault="00A86A31" w:rsidP="0085370A">
            <w:pPr>
              <w:spacing w:line="480" w:lineRule="auto"/>
              <w:ind w:rightChars="-87" w:right="-183" w:firstLineChars="0" w:firstLine="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D0B97" w14:textId="77777777" w:rsidR="00A86A31" w:rsidRPr="00EF1E8A" w:rsidRDefault="00A86A31" w:rsidP="0085370A">
            <w:pPr>
              <w:spacing w:line="480" w:lineRule="auto"/>
              <w:ind w:rightChars="-87" w:right="-183" w:firstLineChars="0" w:firstLine="0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2556E" w14:textId="77777777" w:rsidR="00A86A31" w:rsidRPr="00EF1E8A" w:rsidRDefault="00A86A31" w:rsidP="0085370A">
            <w:pPr>
              <w:spacing w:line="480" w:lineRule="auto"/>
              <w:ind w:rightChars="-87" w:right="-183" w:firstLineChars="0" w:firstLine="0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431ED" w14:textId="77777777" w:rsidR="00A86A31" w:rsidRPr="00EF1E8A" w:rsidRDefault="00A86A31" w:rsidP="0085370A">
            <w:pPr>
              <w:spacing w:line="480" w:lineRule="auto"/>
              <w:ind w:rightChars="-87" w:right="-183" w:firstLineChars="0" w:firstLine="0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EF1E8A" w:rsidRPr="00EF1E8A" w14:paraId="447C9026" w14:textId="77777777" w:rsidTr="00587882">
        <w:trPr>
          <w:gridAfter w:val="2"/>
          <w:wAfter w:w="891" w:type="dxa"/>
          <w:trHeight w:val="400"/>
        </w:trPr>
        <w:tc>
          <w:tcPr>
            <w:tcW w:w="91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141F7" w14:textId="59D79942" w:rsidR="00CC2579" w:rsidRPr="00EF1E8A" w:rsidRDefault="00CC2579" w:rsidP="0085370A">
            <w:pPr>
              <w:spacing w:line="480" w:lineRule="auto"/>
              <w:ind w:rightChars="-87" w:right="-183" w:firstLineChars="0" w:firstLine="0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EF1E8A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Clinical factors of higher measured HbA1c than target HbA1c</w:t>
            </w:r>
          </w:p>
        </w:tc>
      </w:tr>
      <w:tr w:rsidR="00EF1E8A" w:rsidRPr="00EF1E8A" w14:paraId="66119686" w14:textId="77777777" w:rsidTr="00587882">
        <w:trPr>
          <w:gridAfter w:val="1"/>
          <w:wAfter w:w="567" w:type="dxa"/>
          <w:trHeight w:val="400"/>
        </w:trPr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B2DF89" w14:textId="77777777" w:rsidR="00A86A31" w:rsidRPr="00EF1E8A" w:rsidRDefault="00A86A31" w:rsidP="0085370A">
            <w:pPr>
              <w:spacing w:line="480" w:lineRule="auto"/>
              <w:ind w:rightChars="-87" w:right="-183" w:firstLineChars="0" w:firstLine="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EF1E8A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3693E3" w14:textId="77777777" w:rsidR="00A86A31" w:rsidRPr="00EF1E8A" w:rsidRDefault="00A86A31" w:rsidP="0085370A">
            <w:pPr>
              <w:spacing w:line="480" w:lineRule="auto"/>
              <w:ind w:rightChars="-87" w:right="-183" w:firstLineChars="0" w:firstLine="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EF1E8A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Odds ratio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D454E3" w14:textId="77777777" w:rsidR="00A86A31" w:rsidRPr="00EF1E8A" w:rsidRDefault="00A86A31" w:rsidP="0085370A">
            <w:pPr>
              <w:spacing w:line="480" w:lineRule="auto"/>
              <w:ind w:rightChars="-87" w:right="-183" w:firstLineChars="0" w:firstLine="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EF1E8A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95% CI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C9781B" w14:textId="77777777" w:rsidR="00A86A31" w:rsidRPr="00EF1E8A" w:rsidRDefault="00A86A31" w:rsidP="0085370A">
            <w:pPr>
              <w:spacing w:line="480" w:lineRule="auto"/>
              <w:ind w:rightChars="-87" w:right="-183" w:firstLineChars="0" w:firstLine="0"/>
              <w:rPr>
                <w:rFonts w:ascii="Times New Roman" w:eastAsia="Yu Gothic" w:hAnsi="Times New Roman" w:cs="Times New Roman"/>
                <w:i/>
                <w:iCs/>
                <w:color w:val="000000" w:themeColor="text1"/>
                <w:kern w:val="0"/>
                <w:sz w:val="20"/>
                <w:szCs w:val="20"/>
              </w:rPr>
            </w:pPr>
            <w:r w:rsidRPr="00EF1E8A">
              <w:rPr>
                <w:rFonts w:ascii="Times New Roman" w:eastAsia="Yu Gothic" w:hAnsi="Times New Roman" w:cs="Times New Roman"/>
                <w:i/>
                <w:iCs/>
                <w:color w:val="000000" w:themeColor="text1"/>
                <w:kern w:val="0"/>
                <w:sz w:val="20"/>
                <w:szCs w:val="20"/>
              </w:rPr>
              <w:t>P</w:t>
            </w:r>
            <w:r w:rsidRPr="00EF1E8A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 value</w:t>
            </w:r>
          </w:p>
        </w:tc>
      </w:tr>
      <w:tr w:rsidR="00EF1E8A" w:rsidRPr="00EF1E8A" w14:paraId="2545F4A0" w14:textId="77777777" w:rsidTr="00587882">
        <w:trPr>
          <w:gridAfter w:val="1"/>
          <w:wAfter w:w="567" w:type="dxa"/>
          <w:trHeight w:val="400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8700A" w14:textId="77777777" w:rsidR="00A86A31" w:rsidRPr="00EF1E8A" w:rsidRDefault="00A86A31" w:rsidP="0085370A">
            <w:pPr>
              <w:spacing w:line="480" w:lineRule="auto"/>
              <w:ind w:rightChars="-87" w:right="-183" w:firstLineChars="0" w:firstLine="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EF1E8A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Category II / Category I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F15E8" w14:textId="07B4FAE9" w:rsidR="00A86A31" w:rsidRPr="00EF1E8A" w:rsidRDefault="00A86A31" w:rsidP="0085370A">
            <w:pPr>
              <w:spacing w:line="480" w:lineRule="auto"/>
              <w:ind w:rightChars="-87" w:right="-183" w:firstLineChars="0" w:firstLine="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EF1E8A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1.0617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78632A" w14:textId="390DBAFC" w:rsidR="00A86A31" w:rsidRPr="00EF1E8A" w:rsidRDefault="00A86A31" w:rsidP="0085370A">
            <w:pPr>
              <w:spacing w:line="480" w:lineRule="auto"/>
              <w:ind w:rightChars="-87" w:right="-183" w:firstLineChars="0" w:firstLine="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EF1E8A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0.4953 to 2.2643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0FBBB" w14:textId="77777777" w:rsidR="00A86A31" w:rsidRPr="00EF1E8A" w:rsidRDefault="00A86A31" w:rsidP="0085370A">
            <w:pPr>
              <w:spacing w:line="480" w:lineRule="auto"/>
              <w:ind w:rightChars="-87" w:right="-183" w:firstLineChars="0" w:firstLine="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EF1E8A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0.8767</w:t>
            </w:r>
          </w:p>
        </w:tc>
      </w:tr>
      <w:tr w:rsidR="00EF1E8A" w:rsidRPr="00EF1E8A" w14:paraId="6F3BD3F5" w14:textId="77777777" w:rsidTr="00587882">
        <w:trPr>
          <w:gridAfter w:val="1"/>
          <w:wAfter w:w="567" w:type="dxa"/>
          <w:trHeight w:val="400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660BD" w14:textId="77777777" w:rsidR="00A86A31" w:rsidRPr="00EF1E8A" w:rsidRDefault="00A86A31" w:rsidP="0085370A">
            <w:pPr>
              <w:spacing w:line="480" w:lineRule="auto"/>
              <w:ind w:rightChars="-87" w:right="-183" w:firstLineChars="0" w:firstLine="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EF1E8A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BMI (kg/m</w:t>
            </w:r>
            <w:r w:rsidRPr="00EF1E8A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  <w:vertAlign w:val="superscript"/>
              </w:rPr>
              <w:t>2</w:t>
            </w:r>
            <w:r w:rsidRPr="00EF1E8A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9F87E" w14:textId="45A46D21" w:rsidR="00A86A31" w:rsidRPr="00EF1E8A" w:rsidRDefault="00A86A31" w:rsidP="0085370A">
            <w:pPr>
              <w:spacing w:line="480" w:lineRule="auto"/>
              <w:ind w:rightChars="-87" w:right="-183" w:firstLineChars="0" w:firstLine="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EF1E8A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1.102</w:t>
            </w:r>
            <w:r w:rsidR="00644DD3" w:rsidRPr="00EF1E8A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3EDEB4" w14:textId="14C958C7" w:rsidR="00A86A31" w:rsidRPr="00EF1E8A" w:rsidRDefault="00A86A31" w:rsidP="0085370A">
            <w:pPr>
              <w:spacing w:line="480" w:lineRule="auto"/>
              <w:ind w:rightChars="-87" w:right="-183" w:firstLineChars="0" w:firstLine="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EF1E8A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1.0128 to 1.206</w:t>
            </w:r>
            <w:r w:rsidR="000A0627" w:rsidRPr="00EF1E8A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26C92" w14:textId="77777777" w:rsidR="00A86A31" w:rsidRPr="00EF1E8A" w:rsidRDefault="00A86A31" w:rsidP="0085370A">
            <w:pPr>
              <w:spacing w:line="480" w:lineRule="auto"/>
              <w:ind w:rightChars="-87" w:right="-183" w:firstLineChars="0" w:firstLine="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EF1E8A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0.0282*</w:t>
            </w:r>
          </w:p>
        </w:tc>
      </w:tr>
      <w:tr w:rsidR="00EF1E8A" w:rsidRPr="00EF1E8A" w14:paraId="00DD3422" w14:textId="77777777" w:rsidTr="00587882">
        <w:trPr>
          <w:gridAfter w:val="1"/>
          <w:wAfter w:w="567" w:type="dxa"/>
          <w:trHeight w:val="400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F63AD" w14:textId="77777777" w:rsidR="00A86A31" w:rsidRPr="00EF1E8A" w:rsidRDefault="00A86A31" w:rsidP="0085370A">
            <w:pPr>
              <w:spacing w:line="480" w:lineRule="auto"/>
              <w:ind w:rightChars="-87" w:right="-183" w:firstLineChars="0" w:firstLine="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EF1E8A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FPG (mg/dL)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FCB06" w14:textId="78020596" w:rsidR="00A86A31" w:rsidRPr="00EF1E8A" w:rsidRDefault="00A86A31" w:rsidP="0085370A">
            <w:pPr>
              <w:spacing w:line="480" w:lineRule="auto"/>
              <w:ind w:rightChars="-87" w:right="-183" w:firstLineChars="0" w:firstLine="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EF1E8A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1.0118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7C8396" w14:textId="3EE3DBAD" w:rsidR="00A86A31" w:rsidRPr="00EF1E8A" w:rsidRDefault="00A86A31" w:rsidP="0085370A">
            <w:pPr>
              <w:spacing w:line="480" w:lineRule="auto"/>
              <w:ind w:rightChars="-87" w:right="-183" w:firstLineChars="0" w:firstLine="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EF1E8A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1.0042 to 1.020</w:t>
            </w:r>
            <w:r w:rsidR="000A0627" w:rsidRPr="00EF1E8A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10C9A" w14:textId="77777777" w:rsidR="00A86A31" w:rsidRPr="00EF1E8A" w:rsidRDefault="00A86A31" w:rsidP="0085370A">
            <w:pPr>
              <w:spacing w:line="480" w:lineRule="auto"/>
              <w:ind w:rightChars="-87" w:right="-183" w:firstLineChars="0" w:firstLine="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EF1E8A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0.0041*</w:t>
            </w:r>
          </w:p>
        </w:tc>
      </w:tr>
      <w:tr w:rsidR="00EF1E8A" w:rsidRPr="00EF1E8A" w14:paraId="08AAA167" w14:textId="77777777" w:rsidTr="00587882">
        <w:trPr>
          <w:gridAfter w:val="1"/>
          <w:wAfter w:w="567" w:type="dxa"/>
          <w:trHeight w:val="400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5BB11" w14:textId="77777777" w:rsidR="00A86A31" w:rsidRPr="00EF1E8A" w:rsidRDefault="00A86A31" w:rsidP="0085370A">
            <w:pPr>
              <w:spacing w:line="480" w:lineRule="auto"/>
              <w:ind w:rightChars="-87" w:right="-183" w:firstLineChars="0" w:firstLine="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EF1E8A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Use of GLP‐1 receptor agonist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6564A" w14:textId="13F6CEE6" w:rsidR="00A86A31" w:rsidRPr="00EF1E8A" w:rsidRDefault="00A86A31" w:rsidP="0085370A">
            <w:pPr>
              <w:spacing w:line="480" w:lineRule="auto"/>
              <w:ind w:rightChars="-87" w:right="-183" w:firstLineChars="0" w:firstLine="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EF1E8A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2.2401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A93564" w14:textId="3CD7880E" w:rsidR="00A86A31" w:rsidRPr="00EF1E8A" w:rsidRDefault="00A86A31" w:rsidP="0085370A">
            <w:pPr>
              <w:spacing w:line="480" w:lineRule="auto"/>
              <w:ind w:rightChars="-87" w:right="-183" w:firstLineChars="0" w:firstLine="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EF1E8A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0.7745 to 6.726</w:t>
            </w:r>
            <w:r w:rsidR="000A0627" w:rsidRPr="00EF1E8A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2155E" w14:textId="77777777" w:rsidR="00A86A31" w:rsidRPr="00EF1E8A" w:rsidRDefault="00A86A31" w:rsidP="0085370A">
            <w:pPr>
              <w:spacing w:line="480" w:lineRule="auto"/>
              <w:ind w:rightChars="-87" w:right="-183" w:firstLineChars="0" w:firstLine="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EF1E8A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0.1374</w:t>
            </w:r>
          </w:p>
        </w:tc>
      </w:tr>
      <w:tr w:rsidR="00EF1E8A" w:rsidRPr="00EF1E8A" w14:paraId="5E2F37E3" w14:textId="77777777" w:rsidTr="00587882">
        <w:trPr>
          <w:gridAfter w:val="1"/>
          <w:wAfter w:w="567" w:type="dxa"/>
          <w:trHeight w:val="400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E8F43" w14:textId="77777777" w:rsidR="00A86A31" w:rsidRPr="00EF1E8A" w:rsidRDefault="00A86A31" w:rsidP="0085370A">
            <w:pPr>
              <w:spacing w:line="480" w:lineRule="auto"/>
              <w:ind w:rightChars="-87" w:right="-183" w:firstLineChars="0" w:firstLine="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EF1E8A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Use of DPP-4 inhibitor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AC294" w14:textId="13998D2D" w:rsidR="00A86A31" w:rsidRPr="00EF1E8A" w:rsidRDefault="00A86A31" w:rsidP="0085370A">
            <w:pPr>
              <w:spacing w:line="480" w:lineRule="auto"/>
              <w:ind w:rightChars="-87" w:right="-183" w:firstLineChars="0" w:firstLine="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EF1E8A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1.1137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9754F2" w14:textId="0584F841" w:rsidR="00A86A31" w:rsidRPr="00EF1E8A" w:rsidRDefault="00A86A31" w:rsidP="0085370A">
            <w:pPr>
              <w:spacing w:line="480" w:lineRule="auto"/>
              <w:ind w:rightChars="-87" w:right="-183" w:firstLineChars="0" w:firstLine="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EF1E8A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0.4544 to 2.7833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2B60F" w14:textId="77777777" w:rsidR="00A86A31" w:rsidRPr="00EF1E8A" w:rsidRDefault="00A86A31" w:rsidP="0085370A">
            <w:pPr>
              <w:spacing w:line="480" w:lineRule="auto"/>
              <w:ind w:rightChars="-87" w:right="-183" w:firstLineChars="0" w:firstLine="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EF1E8A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0.8143</w:t>
            </w:r>
          </w:p>
        </w:tc>
      </w:tr>
      <w:tr w:rsidR="00EF1E8A" w:rsidRPr="00EF1E8A" w14:paraId="5D2A93C3" w14:textId="77777777" w:rsidTr="00587882">
        <w:trPr>
          <w:gridAfter w:val="1"/>
          <w:wAfter w:w="567" w:type="dxa"/>
          <w:trHeight w:val="400"/>
        </w:trPr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7FE285" w14:textId="77777777" w:rsidR="00A86A31" w:rsidRPr="00EF1E8A" w:rsidRDefault="00A86A31" w:rsidP="0085370A">
            <w:pPr>
              <w:spacing w:line="480" w:lineRule="auto"/>
              <w:ind w:rightChars="-87" w:right="-183" w:firstLineChars="0" w:firstLine="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EF1E8A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Use of SGLT2 inhibitor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21E71A" w14:textId="08FF5932" w:rsidR="00A86A31" w:rsidRPr="00EF1E8A" w:rsidRDefault="00A86A31" w:rsidP="0085370A">
            <w:pPr>
              <w:spacing w:line="480" w:lineRule="auto"/>
              <w:ind w:rightChars="-87" w:right="-183" w:firstLineChars="0" w:firstLine="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EF1E8A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1.326</w:t>
            </w:r>
            <w:r w:rsidR="00644DD3" w:rsidRPr="00EF1E8A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ABA1AB" w14:textId="500BC28F" w:rsidR="00A86A31" w:rsidRPr="00EF1E8A" w:rsidRDefault="00A86A31" w:rsidP="0085370A">
            <w:pPr>
              <w:spacing w:line="480" w:lineRule="auto"/>
              <w:ind w:rightChars="-87" w:right="-183" w:firstLineChars="0" w:firstLine="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EF1E8A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0.626</w:t>
            </w:r>
            <w:r w:rsidR="000A0627" w:rsidRPr="00EF1E8A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8</w:t>
            </w:r>
            <w:r w:rsidRPr="00EF1E8A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 to 2.8362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65F311" w14:textId="77777777" w:rsidR="00A86A31" w:rsidRPr="00EF1E8A" w:rsidRDefault="00A86A31" w:rsidP="0085370A">
            <w:pPr>
              <w:spacing w:line="480" w:lineRule="auto"/>
              <w:ind w:rightChars="-87" w:right="-183" w:firstLineChars="0" w:firstLine="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EF1E8A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0.4603</w:t>
            </w:r>
          </w:p>
        </w:tc>
      </w:tr>
      <w:tr w:rsidR="00EF1E8A" w:rsidRPr="00EF1E8A" w14:paraId="4309DE2F" w14:textId="77777777" w:rsidTr="00587882">
        <w:trPr>
          <w:gridAfter w:val="1"/>
          <w:wAfter w:w="567" w:type="dxa"/>
          <w:trHeight w:val="400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38FB5" w14:textId="77777777" w:rsidR="00A86A31" w:rsidRPr="00EF1E8A" w:rsidRDefault="00A86A31" w:rsidP="0085370A">
            <w:pPr>
              <w:spacing w:line="480" w:lineRule="auto"/>
              <w:ind w:rightChars="-87" w:right="-183" w:firstLineChars="0" w:firstLine="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CF3DC" w14:textId="77777777" w:rsidR="00A86A31" w:rsidRPr="00EF1E8A" w:rsidRDefault="00A86A31" w:rsidP="0085370A">
            <w:pPr>
              <w:spacing w:line="480" w:lineRule="auto"/>
              <w:ind w:rightChars="-87" w:right="-183" w:firstLineChars="0" w:firstLine="0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42858" w14:textId="77777777" w:rsidR="00A86A31" w:rsidRPr="00EF1E8A" w:rsidRDefault="00A86A31" w:rsidP="0085370A">
            <w:pPr>
              <w:spacing w:line="480" w:lineRule="auto"/>
              <w:ind w:rightChars="-87" w:right="-183" w:firstLineChars="0" w:firstLine="0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CA7B0" w14:textId="77777777" w:rsidR="00A86A31" w:rsidRPr="00EF1E8A" w:rsidRDefault="00A86A31" w:rsidP="0085370A">
            <w:pPr>
              <w:spacing w:line="480" w:lineRule="auto"/>
              <w:ind w:rightChars="-87" w:right="-183" w:firstLineChars="0" w:firstLine="0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EF1E8A" w:rsidRPr="00EF1E8A" w14:paraId="21E399B8" w14:textId="77777777" w:rsidTr="00587882">
        <w:trPr>
          <w:gridAfter w:val="2"/>
          <w:wAfter w:w="891" w:type="dxa"/>
          <w:trHeight w:val="400"/>
        </w:trPr>
        <w:tc>
          <w:tcPr>
            <w:tcW w:w="80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D8358" w14:textId="77777777" w:rsidR="00A86A31" w:rsidRPr="00EF1E8A" w:rsidRDefault="00A86A31" w:rsidP="0085370A">
            <w:pPr>
              <w:spacing w:line="480" w:lineRule="auto"/>
              <w:ind w:rightChars="-87" w:right="-183" w:firstLineChars="0" w:firstLine="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EF1E8A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Clinical factors of inappropriately lower measured HbA1c than target HbA1c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4B1BD" w14:textId="77777777" w:rsidR="00A86A31" w:rsidRPr="00EF1E8A" w:rsidRDefault="00A86A31" w:rsidP="0085370A">
            <w:pPr>
              <w:spacing w:line="480" w:lineRule="auto"/>
              <w:ind w:rightChars="-87" w:right="-183" w:firstLineChars="0" w:firstLine="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EF1E8A" w:rsidRPr="00EF1E8A" w14:paraId="0192A9A6" w14:textId="77777777" w:rsidTr="00587882">
        <w:trPr>
          <w:gridAfter w:val="1"/>
          <w:wAfter w:w="567" w:type="dxa"/>
          <w:trHeight w:val="400"/>
        </w:trPr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8CFDA3" w14:textId="77777777" w:rsidR="00A86A31" w:rsidRPr="00EF1E8A" w:rsidRDefault="00A86A31" w:rsidP="0085370A">
            <w:pPr>
              <w:spacing w:line="480" w:lineRule="auto"/>
              <w:ind w:rightChars="-87" w:right="-183" w:firstLineChars="0" w:firstLine="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EF1E8A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EB2F3B" w14:textId="77777777" w:rsidR="00A86A31" w:rsidRPr="00EF1E8A" w:rsidRDefault="00A86A31" w:rsidP="0085370A">
            <w:pPr>
              <w:spacing w:line="480" w:lineRule="auto"/>
              <w:ind w:rightChars="-87" w:right="-183" w:firstLineChars="0" w:firstLine="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EF1E8A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Odds ratio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7FBC2E" w14:textId="77777777" w:rsidR="00A86A31" w:rsidRPr="00EF1E8A" w:rsidRDefault="00A86A31" w:rsidP="0085370A">
            <w:pPr>
              <w:spacing w:line="480" w:lineRule="auto"/>
              <w:ind w:rightChars="-87" w:right="-183" w:firstLineChars="0" w:firstLine="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EF1E8A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95% CI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631111" w14:textId="77777777" w:rsidR="00A86A31" w:rsidRPr="00EF1E8A" w:rsidRDefault="00A86A31" w:rsidP="0085370A">
            <w:pPr>
              <w:spacing w:line="480" w:lineRule="auto"/>
              <w:ind w:rightChars="-87" w:right="-183" w:firstLineChars="0" w:firstLine="0"/>
              <w:rPr>
                <w:rFonts w:ascii="Times New Roman" w:eastAsia="Yu Gothic" w:hAnsi="Times New Roman" w:cs="Times New Roman"/>
                <w:i/>
                <w:iCs/>
                <w:color w:val="000000" w:themeColor="text1"/>
                <w:kern w:val="0"/>
                <w:sz w:val="20"/>
                <w:szCs w:val="20"/>
              </w:rPr>
            </w:pPr>
            <w:r w:rsidRPr="00EF1E8A">
              <w:rPr>
                <w:rFonts w:ascii="Times New Roman" w:eastAsia="Yu Gothic" w:hAnsi="Times New Roman" w:cs="Times New Roman"/>
                <w:i/>
                <w:iCs/>
                <w:color w:val="000000" w:themeColor="text1"/>
                <w:kern w:val="0"/>
                <w:sz w:val="20"/>
                <w:szCs w:val="20"/>
              </w:rPr>
              <w:t>P</w:t>
            </w:r>
            <w:r w:rsidRPr="00EF1E8A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 value</w:t>
            </w:r>
          </w:p>
        </w:tc>
      </w:tr>
      <w:tr w:rsidR="00EF1E8A" w:rsidRPr="00EF1E8A" w14:paraId="14020A82" w14:textId="77777777" w:rsidTr="00587882">
        <w:trPr>
          <w:gridAfter w:val="1"/>
          <w:wAfter w:w="567" w:type="dxa"/>
          <w:trHeight w:val="400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2EB11" w14:textId="77777777" w:rsidR="00A86A31" w:rsidRPr="00EF1E8A" w:rsidRDefault="00A86A31" w:rsidP="0085370A">
            <w:pPr>
              <w:spacing w:line="480" w:lineRule="auto"/>
              <w:ind w:rightChars="-87" w:right="-183" w:firstLineChars="0" w:firstLine="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EF1E8A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Category II / Category I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0D9FF" w14:textId="203B428F" w:rsidR="00A86A31" w:rsidRPr="00EF1E8A" w:rsidRDefault="00A86A31" w:rsidP="0085370A">
            <w:pPr>
              <w:spacing w:line="480" w:lineRule="auto"/>
              <w:ind w:rightChars="-87" w:right="-183" w:firstLineChars="0" w:firstLine="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EF1E8A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1.899</w:t>
            </w:r>
            <w:r w:rsidR="00644DD3" w:rsidRPr="00EF1E8A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7E388" w14:textId="4B556F52" w:rsidR="00A86A31" w:rsidRPr="00EF1E8A" w:rsidRDefault="00A86A31" w:rsidP="0085370A">
            <w:pPr>
              <w:spacing w:line="480" w:lineRule="auto"/>
              <w:ind w:rightChars="-87" w:right="-183" w:firstLineChars="0" w:firstLine="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EF1E8A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0.7757 to 4.709</w:t>
            </w:r>
            <w:r w:rsidR="000A0627" w:rsidRPr="00EF1E8A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08E5A" w14:textId="77777777" w:rsidR="00A86A31" w:rsidRPr="00EF1E8A" w:rsidRDefault="00A86A31" w:rsidP="0085370A">
            <w:pPr>
              <w:spacing w:line="480" w:lineRule="auto"/>
              <w:ind w:rightChars="-87" w:right="-183" w:firstLineChars="0" w:firstLine="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EF1E8A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0.1597</w:t>
            </w:r>
          </w:p>
        </w:tc>
      </w:tr>
      <w:tr w:rsidR="00EF1E8A" w:rsidRPr="00EF1E8A" w14:paraId="0162CDA8" w14:textId="77777777" w:rsidTr="00587882">
        <w:trPr>
          <w:gridAfter w:val="1"/>
          <w:wAfter w:w="567" w:type="dxa"/>
          <w:trHeight w:val="400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9E1CA" w14:textId="77777777" w:rsidR="00A86A31" w:rsidRPr="00EF1E8A" w:rsidRDefault="00A86A31" w:rsidP="0085370A">
            <w:pPr>
              <w:spacing w:line="480" w:lineRule="auto"/>
              <w:ind w:rightChars="-87" w:right="-183" w:firstLineChars="0" w:firstLine="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EF1E8A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BMI (kg/m</w:t>
            </w:r>
            <w:r w:rsidRPr="00EF1E8A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  <w:vertAlign w:val="superscript"/>
              </w:rPr>
              <w:t>2</w:t>
            </w:r>
            <w:r w:rsidRPr="00EF1E8A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7BD93" w14:textId="551FA575" w:rsidR="00A86A31" w:rsidRPr="00EF1E8A" w:rsidRDefault="00A86A31" w:rsidP="0085370A">
            <w:pPr>
              <w:spacing w:line="480" w:lineRule="auto"/>
              <w:ind w:rightChars="-87" w:right="-183" w:firstLineChars="0" w:firstLine="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EF1E8A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1.0921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09D46" w14:textId="3A293D05" w:rsidR="00A86A31" w:rsidRPr="00EF1E8A" w:rsidRDefault="00A86A31" w:rsidP="0085370A">
            <w:pPr>
              <w:spacing w:line="480" w:lineRule="auto"/>
              <w:ind w:rightChars="-87" w:right="-183" w:firstLineChars="0" w:firstLine="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EF1E8A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0.9805 to 1.2236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E5D6C" w14:textId="77777777" w:rsidR="00A86A31" w:rsidRPr="00EF1E8A" w:rsidRDefault="00A86A31" w:rsidP="0085370A">
            <w:pPr>
              <w:spacing w:line="480" w:lineRule="auto"/>
              <w:ind w:rightChars="-87" w:right="-183" w:firstLineChars="0" w:firstLine="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EF1E8A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0.1141</w:t>
            </w:r>
          </w:p>
        </w:tc>
      </w:tr>
      <w:tr w:rsidR="00EF1E8A" w:rsidRPr="00EF1E8A" w14:paraId="0C8C4264" w14:textId="77777777" w:rsidTr="00587882">
        <w:trPr>
          <w:gridAfter w:val="1"/>
          <w:wAfter w:w="567" w:type="dxa"/>
          <w:trHeight w:val="400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85C34" w14:textId="77777777" w:rsidR="00A86A31" w:rsidRPr="00EF1E8A" w:rsidRDefault="00A86A31" w:rsidP="0085370A">
            <w:pPr>
              <w:spacing w:line="480" w:lineRule="auto"/>
              <w:ind w:rightChars="-87" w:right="-183" w:firstLineChars="0" w:firstLine="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EF1E8A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FPG (mg/dL)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61D3F" w14:textId="457BA717" w:rsidR="00A86A31" w:rsidRPr="00EF1E8A" w:rsidRDefault="00A86A31" w:rsidP="0085370A">
            <w:pPr>
              <w:spacing w:line="480" w:lineRule="auto"/>
              <w:ind w:rightChars="-87" w:right="-183" w:firstLineChars="0" w:firstLine="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EF1E8A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0.9954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CBD79" w14:textId="4DE0B235" w:rsidR="00A86A31" w:rsidRPr="00EF1E8A" w:rsidRDefault="00A86A31" w:rsidP="0085370A">
            <w:pPr>
              <w:spacing w:line="480" w:lineRule="auto"/>
              <w:ind w:rightChars="-87" w:right="-183" w:firstLineChars="0" w:firstLine="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EF1E8A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0.9833 to 1.006</w:t>
            </w:r>
            <w:r w:rsidR="000A0627" w:rsidRPr="00EF1E8A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D9EA8" w14:textId="77777777" w:rsidR="00A86A31" w:rsidRPr="00EF1E8A" w:rsidRDefault="00A86A31" w:rsidP="0085370A">
            <w:pPr>
              <w:spacing w:line="480" w:lineRule="auto"/>
              <w:ind w:rightChars="-87" w:right="-183" w:firstLineChars="0" w:firstLine="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EF1E8A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0.4416</w:t>
            </w:r>
          </w:p>
        </w:tc>
      </w:tr>
      <w:tr w:rsidR="00EF1E8A" w:rsidRPr="00EF1E8A" w14:paraId="3BF12749" w14:textId="77777777" w:rsidTr="00587882">
        <w:trPr>
          <w:gridAfter w:val="1"/>
          <w:wAfter w:w="567" w:type="dxa"/>
          <w:trHeight w:val="400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BA202" w14:textId="77777777" w:rsidR="00A86A31" w:rsidRPr="00EF1E8A" w:rsidRDefault="00A86A31" w:rsidP="0085370A">
            <w:pPr>
              <w:spacing w:line="480" w:lineRule="auto"/>
              <w:ind w:rightChars="-87" w:right="-183" w:firstLineChars="0" w:firstLine="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EF1E8A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Use of GLP‐1 receptor agonist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322F5" w14:textId="35B5D9F8" w:rsidR="00A86A31" w:rsidRPr="00EF1E8A" w:rsidRDefault="00A86A31" w:rsidP="0085370A">
            <w:pPr>
              <w:spacing w:line="480" w:lineRule="auto"/>
              <w:ind w:rightChars="-87" w:right="-183" w:firstLineChars="0" w:firstLine="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EF1E8A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0.4829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0F123" w14:textId="60F74FF9" w:rsidR="00A86A31" w:rsidRPr="00EF1E8A" w:rsidRDefault="00A86A31" w:rsidP="0085370A">
            <w:pPr>
              <w:spacing w:line="480" w:lineRule="auto"/>
              <w:ind w:rightChars="-87" w:right="-183" w:firstLineChars="0" w:firstLine="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EF1E8A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0.092</w:t>
            </w:r>
            <w:r w:rsidR="000A0627" w:rsidRPr="00EF1E8A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  <w:r w:rsidRPr="00EF1E8A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 to 2.2449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FA747" w14:textId="77777777" w:rsidR="00A86A31" w:rsidRPr="00EF1E8A" w:rsidRDefault="00A86A31" w:rsidP="0085370A">
            <w:pPr>
              <w:spacing w:line="480" w:lineRule="auto"/>
              <w:ind w:rightChars="-87" w:right="-183" w:firstLineChars="0" w:firstLine="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EF1E8A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0.3573</w:t>
            </w:r>
          </w:p>
        </w:tc>
      </w:tr>
      <w:tr w:rsidR="00EF1E8A" w:rsidRPr="00EF1E8A" w14:paraId="1E60D6AB" w14:textId="77777777" w:rsidTr="00587882">
        <w:trPr>
          <w:gridAfter w:val="1"/>
          <w:wAfter w:w="567" w:type="dxa"/>
          <w:trHeight w:val="400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CE2DA" w14:textId="77777777" w:rsidR="00A86A31" w:rsidRPr="00EF1E8A" w:rsidRDefault="00A86A31" w:rsidP="0085370A">
            <w:pPr>
              <w:spacing w:line="480" w:lineRule="auto"/>
              <w:ind w:rightChars="-87" w:right="-183" w:firstLineChars="0" w:firstLine="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EF1E8A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lastRenderedPageBreak/>
              <w:t>Use of DPP-4 inhibitor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79C0A" w14:textId="2407DC5A" w:rsidR="00A86A31" w:rsidRPr="00EF1E8A" w:rsidRDefault="00A86A31" w:rsidP="0085370A">
            <w:pPr>
              <w:spacing w:line="480" w:lineRule="auto"/>
              <w:ind w:rightChars="-87" w:right="-183" w:firstLineChars="0" w:firstLine="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EF1E8A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1.151</w:t>
            </w:r>
            <w:r w:rsidR="00644DD3" w:rsidRPr="00EF1E8A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9F31D" w14:textId="482AD588" w:rsidR="00A86A31" w:rsidRPr="00EF1E8A" w:rsidRDefault="00A86A31" w:rsidP="0085370A">
            <w:pPr>
              <w:spacing w:line="480" w:lineRule="auto"/>
              <w:ind w:rightChars="-87" w:right="-183" w:firstLineChars="0" w:firstLine="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EF1E8A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0.394</w:t>
            </w:r>
            <w:r w:rsidR="000A0627" w:rsidRPr="00EF1E8A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4</w:t>
            </w:r>
            <w:r w:rsidRPr="00EF1E8A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 to 3.55</w:t>
            </w:r>
            <w:r w:rsidR="000A0627" w:rsidRPr="00EF1E8A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50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08451" w14:textId="77777777" w:rsidR="00A86A31" w:rsidRPr="00EF1E8A" w:rsidRDefault="00A86A31" w:rsidP="0085370A">
            <w:pPr>
              <w:spacing w:line="480" w:lineRule="auto"/>
              <w:ind w:rightChars="-87" w:right="-183" w:firstLineChars="0" w:firstLine="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EF1E8A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0.7988</w:t>
            </w:r>
          </w:p>
        </w:tc>
      </w:tr>
      <w:tr w:rsidR="00EF1E8A" w:rsidRPr="00EF1E8A" w14:paraId="08B2792D" w14:textId="77777777" w:rsidTr="00587882">
        <w:trPr>
          <w:gridAfter w:val="1"/>
          <w:wAfter w:w="567" w:type="dxa"/>
          <w:trHeight w:val="400"/>
        </w:trPr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181D4A" w14:textId="77777777" w:rsidR="00A86A31" w:rsidRPr="00EF1E8A" w:rsidRDefault="00A86A31" w:rsidP="0085370A">
            <w:pPr>
              <w:spacing w:line="480" w:lineRule="auto"/>
              <w:ind w:rightChars="-87" w:right="-183" w:firstLineChars="0" w:firstLine="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EF1E8A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Use of SGLT2 inhibitor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285815" w14:textId="57F63C97" w:rsidR="00A86A31" w:rsidRPr="00EF1E8A" w:rsidRDefault="00A86A31" w:rsidP="0085370A">
            <w:pPr>
              <w:spacing w:line="480" w:lineRule="auto"/>
              <w:ind w:rightChars="-87" w:right="-183" w:firstLineChars="0" w:firstLine="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EF1E8A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0.205</w:t>
            </w:r>
            <w:r w:rsidR="00644DD3" w:rsidRPr="00EF1E8A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C7D9F3" w14:textId="6004DA19" w:rsidR="00A86A31" w:rsidRPr="00EF1E8A" w:rsidRDefault="00A86A31" w:rsidP="0085370A">
            <w:pPr>
              <w:spacing w:line="480" w:lineRule="auto"/>
              <w:ind w:rightChars="-87" w:right="-183" w:firstLineChars="0" w:firstLine="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EF1E8A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0.0492 to 0.66</w:t>
            </w:r>
            <w:r w:rsidR="000A0627" w:rsidRPr="00EF1E8A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40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00FB38" w14:textId="77777777" w:rsidR="00A86A31" w:rsidRPr="00EF1E8A" w:rsidRDefault="00A86A31" w:rsidP="0085370A">
            <w:pPr>
              <w:spacing w:line="480" w:lineRule="auto"/>
              <w:ind w:rightChars="-87" w:right="-183" w:firstLineChars="0" w:firstLine="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EF1E8A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0.0067*</w:t>
            </w:r>
          </w:p>
        </w:tc>
      </w:tr>
    </w:tbl>
    <w:p w14:paraId="2E19C662" w14:textId="3B05806A" w:rsidR="00525608" w:rsidRPr="00EF1E8A" w:rsidRDefault="00525608" w:rsidP="0085370A">
      <w:pPr>
        <w:spacing w:line="480" w:lineRule="auto"/>
        <w:ind w:rightChars="-87" w:right="-183" w:firstLine="20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0591F70" w14:textId="7B67A7A6" w:rsidR="008D2593" w:rsidRPr="00EF1E8A" w:rsidRDefault="008D2593" w:rsidP="0085370A">
      <w:pPr>
        <w:spacing w:line="480" w:lineRule="auto"/>
        <w:ind w:rightChars="-87" w:right="-183" w:firstLineChars="0"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F1E8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BMI: body mass index; FPG: fasting plasma </w:t>
      </w:r>
      <w:proofErr w:type="gramStart"/>
      <w:r w:rsidRPr="00EF1E8A">
        <w:rPr>
          <w:rFonts w:ascii="Times New Roman" w:hAnsi="Times New Roman" w:cs="Times New Roman"/>
          <w:color w:val="000000" w:themeColor="text1"/>
          <w:sz w:val="20"/>
          <w:szCs w:val="20"/>
        </w:rPr>
        <w:t>glucose;</w:t>
      </w:r>
      <w:proofErr w:type="gramEnd"/>
    </w:p>
    <w:p w14:paraId="5D1C23FE" w14:textId="2EA66961" w:rsidR="008D2593" w:rsidRPr="00EF1E8A" w:rsidRDefault="008D2593" w:rsidP="0085370A">
      <w:pPr>
        <w:spacing w:line="480" w:lineRule="auto"/>
        <w:ind w:rightChars="-87" w:right="-183" w:firstLineChars="0"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F1E8A">
        <w:rPr>
          <w:rFonts w:ascii="Times New Roman" w:hAnsi="Times New Roman" w:cs="Times New Roman"/>
          <w:color w:val="000000" w:themeColor="text1"/>
          <w:sz w:val="20"/>
          <w:szCs w:val="20"/>
        </w:rPr>
        <w:t>GLP‐1: glucagon‐like peptide‐1; DPP‐4: dipeptidyl peptidase‐4; SGLT2: sodium</w:t>
      </w:r>
      <w:r w:rsidR="00886579" w:rsidRPr="00EF1E8A">
        <w:rPr>
          <w:rFonts w:ascii="Times New Roman" w:hAnsi="Times New Roman" w:cs="Times New Roman"/>
          <w:color w:val="000000" w:themeColor="text1"/>
          <w:sz w:val="20"/>
          <w:szCs w:val="20"/>
        </w:rPr>
        <w:t>-</w:t>
      </w:r>
      <w:r w:rsidRPr="00EF1E8A">
        <w:rPr>
          <w:rFonts w:ascii="Times New Roman" w:hAnsi="Times New Roman" w:cs="Times New Roman"/>
          <w:color w:val="000000" w:themeColor="text1"/>
          <w:sz w:val="20"/>
          <w:szCs w:val="20"/>
        </w:rPr>
        <w:t>glucose cotransporter 2</w:t>
      </w:r>
    </w:p>
    <w:sectPr w:rsidR="008D2593" w:rsidRPr="00EF1E8A" w:rsidSect="00587882">
      <w:type w:val="continuous"/>
      <w:pgSz w:w="11900" w:h="16840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A31"/>
    <w:rsid w:val="000008CE"/>
    <w:rsid w:val="000043F5"/>
    <w:rsid w:val="00005365"/>
    <w:rsid w:val="00022349"/>
    <w:rsid w:val="00031C0F"/>
    <w:rsid w:val="0003282F"/>
    <w:rsid w:val="000462DC"/>
    <w:rsid w:val="00063C80"/>
    <w:rsid w:val="0007138D"/>
    <w:rsid w:val="00076306"/>
    <w:rsid w:val="00081598"/>
    <w:rsid w:val="0008639E"/>
    <w:rsid w:val="000903B1"/>
    <w:rsid w:val="00096A51"/>
    <w:rsid w:val="0009721F"/>
    <w:rsid w:val="000A0627"/>
    <w:rsid w:val="000A2F41"/>
    <w:rsid w:val="000A6B45"/>
    <w:rsid w:val="000A7B97"/>
    <w:rsid w:val="000B1D38"/>
    <w:rsid w:val="000C3862"/>
    <w:rsid w:val="000C6519"/>
    <w:rsid w:val="000E062F"/>
    <w:rsid w:val="00104523"/>
    <w:rsid w:val="00116E89"/>
    <w:rsid w:val="00120415"/>
    <w:rsid w:val="00121C5C"/>
    <w:rsid w:val="00121F35"/>
    <w:rsid w:val="00136357"/>
    <w:rsid w:val="00153277"/>
    <w:rsid w:val="00163F48"/>
    <w:rsid w:val="00171465"/>
    <w:rsid w:val="001803C2"/>
    <w:rsid w:val="00181334"/>
    <w:rsid w:val="001840D7"/>
    <w:rsid w:val="001A1C54"/>
    <w:rsid w:val="001C551D"/>
    <w:rsid w:val="001D3C7F"/>
    <w:rsid w:val="001E7054"/>
    <w:rsid w:val="001F6063"/>
    <w:rsid w:val="00211889"/>
    <w:rsid w:val="00216F0A"/>
    <w:rsid w:val="0022184B"/>
    <w:rsid w:val="00221923"/>
    <w:rsid w:val="00224A7E"/>
    <w:rsid w:val="00230127"/>
    <w:rsid w:val="00231207"/>
    <w:rsid w:val="00244144"/>
    <w:rsid w:val="00251A06"/>
    <w:rsid w:val="00263153"/>
    <w:rsid w:val="00263EAC"/>
    <w:rsid w:val="00267711"/>
    <w:rsid w:val="00267F83"/>
    <w:rsid w:val="00280ED5"/>
    <w:rsid w:val="002856BE"/>
    <w:rsid w:val="002861E8"/>
    <w:rsid w:val="00294763"/>
    <w:rsid w:val="00295639"/>
    <w:rsid w:val="002A6C32"/>
    <w:rsid w:val="002B08BB"/>
    <w:rsid w:val="002B6FED"/>
    <w:rsid w:val="002C4258"/>
    <w:rsid w:val="002C51AB"/>
    <w:rsid w:val="002D3F82"/>
    <w:rsid w:val="002E0280"/>
    <w:rsid w:val="002E63D1"/>
    <w:rsid w:val="002E6E79"/>
    <w:rsid w:val="002F1E46"/>
    <w:rsid w:val="0030198A"/>
    <w:rsid w:val="0031325F"/>
    <w:rsid w:val="00324BA9"/>
    <w:rsid w:val="0035769D"/>
    <w:rsid w:val="00382BB8"/>
    <w:rsid w:val="003A3464"/>
    <w:rsid w:val="003B543A"/>
    <w:rsid w:val="003C0C70"/>
    <w:rsid w:val="003C18D6"/>
    <w:rsid w:val="003C21D3"/>
    <w:rsid w:val="003E0824"/>
    <w:rsid w:val="003E4DF4"/>
    <w:rsid w:val="003F0B79"/>
    <w:rsid w:val="00427149"/>
    <w:rsid w:val="0043002B"/>
    <w:rsid w:val="004302E6"/>
    <w:rsid w:val="00444108"/>
    <w:rsid w:val="00446737"/>
    <w:rsid w:val="00450FE6"/>
    <w:rsid w:val="00463E1D"/>
    <w:rsid w:val="0047152E"/>
    <w:rsid w:val="00481594"/>
    <w:rsid w:val="004855E5"/>
    <w:rsid w:val="004B1FF3"/>
    <w:rsid w:val="004B2065"/>
    <w:rsid w:val="004B43AE"/>
    <w:rsid w:val="004B7013"/>
    <w:rsid w:val="004B703A"/>
    <w:rsid w:val="004C3EBC"/>
    <w:rsid w:val="004D0A9B"/>
    <w:rsid w:val="004D1815"/>
    <w:rsid w:val="004D22BA"/>
    <w:rsid w:val="004E0FF8"/>
    <w:rsid w:val="004E5483"/>
    <w:rsid w:val="004E5AFA"/>
    <w:rsid w:val="004E76DA"/>
    <w:rsid w:val="004E7B89"/>
    <w:rsid w:val="0050324C"/>
    <w:rsid w:val="0051712C"/>
    <w:rsid w:val="00525608"/>
    <w:rsid w:val="00525625"/>
    <w:rsid w:val="00525C3E"/>
    <w:rsid w:val="00526E6E"/>
    <w:rsid w:val="0054723B"/>
    <w:rsid w:val="00554687"/>
    <w:rsid w:val="00554AA7"/>
    <w:rsid w:val="005614D1"/>
    <w:rsid w:val="005645A1"/>
    <w:rsid w:val="00572069"/>
    <w:rsid w:val="00573F56"/>
    <w:rsid w:val="005761C0"/>
    <w:rsid w:val="00576304"/>
    <w:rsid w:val="00582481"/>
    <w:rsid w:val="00587882"/>
    <w:rsid w:val="00590CB0"/>
    <w:rsid w:val="00597FE1"/>
    <w:rsid w:val="005A2D35"/>
    <w:rsid w:val="005A4391"/>
    <w:rsid w:val="005B25C2"/>
    <w:rsid w:val="005B44DB"/>
    <w:rsid w:val="005C7C92"/>
    <w:rsid w:val="005E44B7"/>
    <w:rsid w:val="005F2107"/>
    <w:rsid w:val="005F2B95"/>
    <w:rsid w:val="00600179"/>
    <w:rsid w:val="0060401B"/>
    <w:rsid w:val="00605216"/>
    <w:rsid w:val="00606702"/>
    <w:rsid w:val="0061053E"/>
    <w:rsid w:val="00611906"/>
    <w:rsid w:val="006305BE"/>
    <w:rsid w:val="006409CF"/>
    <w:rsid w:val="00642860"/>
    <w:rsid w:val="00644DD3"/>
    <w:rsid w:val="00665095"/>
    <w:rsid w:val="00671551"/>
    <w:rsid w:val="00680261"/>
    <w:rsid w:val="00684C6F"/>
    <w:rsid w:val="006A6A46"/>
    <w:rsid w:val="006B5BB5"/>
    <w:rsid w:val="006C187F"/>
    <w:rsid w:val="006D6294"/>
    <w:rsid w:val="006D66C7"/>
    <w:rsid w:val="006E5253"/>
    <w:rsid w:val="00700631"/>
    <w:rsid w:val="00722A4E"/>
    <w:rsid w:val="007351D7"/>
    <w:rsid w:val="0073548A"/>
    <w:rsid w:val="00736C9F"/>
    <w:rsid w:val="00741495"/>
    <w:rsid w:val="007458EC"/>
    <w:rsid w:val="00754376"/>
    <w:rsid w:val="007561C9"/>
    <w:rsid w:val="00760656"/>
    <w:rsid w:val="007975C9"/>
    <w:rsid w:val="007A1960"/>
    <w:rsid w:val="007A5FBC"/>
    <w:rsid w:val="007B5FFF"/>
    <w:rsid w:val="00816A47"/>
    <w:rsid w:val="00826B26"/>
    <w:rsid w:val="00832B9A"/>
    <w:rsid w:val="00843930"/>
    <w:rsid w:val="00843A8F"/>
    <w:rsid w:val="0085370A"/>
    <w:rsid w:val="008573A8"/>
    <w:rsid w:val="008609DD"/>
    <w:rsid w:val="00871869"/>
    <w:rsid w:val="008735AE"/>
    <w:rsid w:val="00881E40"/>
    <w:rsid w:val="00886096"/>
    <w:rsid w:val="00886579"/>
    <w:rsid w:val="00886D8A"/>
    <w:rsid w:val="00893DCE"/>
    <w:rsid w:val="008A4D8F"/>
    <w:rsid w:val="008C2782"/>
    <w:rsid w:val="008C34CD"/>
    <w:rsid w:val="008C4A9B"/>
    <w:rsid w:val="008C7BC7"/>
    <w:rsid w:val="008D0025"/>
    <w:rsid w:val="008D2593"/>
    <w:rsid w:val="009005D2"/>
    <w:rsid w:val="0091073A"/>
    <w:rsid w:val="0091382A"/>
    <w:rsid w:val="00916FFD"/>
    <w:rsid w:val="00932725"/>
    <w:rsid w:val="00936FF4"/>
    <w:rsid w:val="00952844"/>
    <w:rsid w:val="00956436"/>
    <w:rsid w:val="0096650A"/>
    <w:rsid w:val="00967C2D"/>
    <w:rsid w:val="009C0B5F"/>
    <w:rsid w:val="009D30F3"/>
    <w:rsid w:val="009D6A2C"/>
    <w:rsid w:val="009E1BEC"/>
    <w:rsid w:val="009E6F44"/>
    <w:rsid w:val="00A1647B"/>
    <w:rsid w:val="00A23F59"/>
    <w:rsid w:val="00A31202"/>
    <w:rsid w:val="00A35C1E"/>
    <w:rsid w:val="00A44294"/>
    <w:rsid w:val="00A552F1"/>
    <w:rsid w:val="00A67B81"/>
    <w:rsid w:val="00A8085F"/>
    <w:rsid w:val="00A862CC"/>
    <w:rsid w:val="00A86A31"/>
    <w:rsid w:val="00A96975"/>
    <w:rsid w:val="00AA0829"/>
    <w:rsid w:val="00AB07E9"/>
    <w:rsid w:val="00AB7BF5"/>
    <w:rsid w:val="00AC2562"/>
    <w:rsid w:val="00AC5C2A"/>
    <w:rsid w:val="00AD23EF"/>
    <w:rsid w:val="00AD445F"/>
    <w:rsid w:val="00AD583D"/>
    <w:rsid w:val="00AE5F36"/>
    <w:rsid w:val="00AF1F17"/>
    <w:rsid w:val="00AF2668"/>
    <w:rsid w:val="00B22FDD"/>
    <w:rsid w:val="00B23858"/>
    <w:rsid w:val="00B33A9F"/>
    <w:rsid w:val="00B463F3"/>
    <w:rsid w:val="00B46895"/>
    <w:rsid w:val="00B47EEA"/>
    <w:rsid w:val="00B57BC9"/>
    <w:rsid w:val="00B6231E"/>
    <w:rsid w:val="00B65570"/>
    <w:rsid w:val="00B669A2"/>
    <w:rsid w:val="00B82BAC"/>
    <w:rsid w:val="00B85603"/>
    <w:rsid w:val="00BA392B"/>
    <w:rsid w:val="00BD2EAD"/>
    <w:rsid w:val="00BD4F06"/>
    <w:rsid w:val="00BE0618"/>
    <w:rsid w:val="00BE1DBA"/>
    <w:rsid w:val="00BE3D17"/>
    <w:rsid w:val="00C11B1B"/>
    <w:rsid w:val="00C21925"/>
    <w:rsid w:val="00C3085A"/>
    <w:rsid w:val="00C35C90"/>
    <w:rsid w:val="00C4421B"/>
    <w:rsid w:val="00C443A0"/>
    <w:rsid w:val="00C44672"/>
    <w:rsid w:val="00C47740"/>
    <w:rsid w:val="00C567C4"/>
    <w:rsid w:val="00C57D12"/>
    <w:rsid w:val="00C67235"/>
    <w:rsid w:val="00C7357F"/>
    <w:rsid w:val="00C80F59"/>
    <w:rsid w:val="00C918E3"/>
    <w:rsid w:val="00CA1A81"/>
    <w:rsid w:val="00CA1D68"/>
    <w:rsid w:val="00CA2E22"/>
    <w:rsid w:val="00CB793E"/>
    <w:rsid w:val="00CC132E"/>
    <w:rsid w:val="00CC2579"/>
    <w:rsid w:val="00CE29D9"/>
    <w:rsid w:val="00CF2F58"/>
    <w:rsid w:val="00D123FE"/>
    <w:rsid w:val="00D35222"/>
    <w:rsid w:val="00D86EFF"/>
    <w:rsid w:val="00D9079C"/>
    <w:rsid w:val="00D958E6"/>
    <w:rsid w:val="00DA5010"/>
    <w:rsid w:val="00DC0F6A"/>
    <w:rsid w:val="00DC291B"/>
    <w:rsid w:val="00DC47C1"/>
    <w:rsid w:val="00DD62F1"/>
    <w:rsid w:val="00DE038A"/>
    <w:rsid w:val="00DE3450"/>
    <w:rsid w:val="00DE3695"/>
    <w:rsid w:val="00DE3E8E"/>
    <w:rsid w:val="00DF0956"/>
    <w:rsid w:val="00DF23B0"/>
    <w:rsid w:val="00E1724F"/>
    <w:rsid w:val="00E2037D"/>
    <w:rsid w:val="00E20791"/>
    <w:rsid w:val="00E217E2"/>
    <w:rsid w:val="00E224E1"/>
    <w:rsid w:val="00E23393"/>
    <w:rsid w:val="00E30681"/>
    <w:rsid w:val="00E47BE2"/>
    <w:rsid w:val="00E557B5"/>
    <w:rsid w:val="00E57E9A"/>
    <w:rsid w:val="00E60455"/>
    <w:rsid w:val="00E62E4C"/>
    <w:rsid w:val="00E66237"/>
    <w:rsid w:val="00E70760"/>
    <w:rsid w:val="00E82D3A"/>
    <w:rsid w:val="00E84B69"/>
    <w:rsid w:val="00E91209"/>
    <w:rsid w:val="00E96FB5"/>
    <w:rsid w:val="00EA3AA1"/>
    <w:rsid w:val="00EC5E0D"/>
    <w:rsid w:val="00ED3267"/>
    <w:rsid w:val="00EE5ADA"/>
    <w:rsid w:val="00EE716D"/>
    <w:rsid w:val="00EF1E8A"/>
    <w:rsid w:val="00EF4391"/>
    <w:rsid w:val="00F05CE0"/>
    <w:rsid w:val="00F06854"/>
    <w:rsid w:val="00F07540"/>
    <w:rsid w:val="00F15A71"/>
    <w:rsid w:val="00F2058B"/>
    <w:rsid w:val="00F27CC6"/>
    <w:rsid w:val="00F43BA6"/>
    <w:rsid w:val="00F443E4"/>
    <w:rsid w:val="00F4649C"/>
    <w:rsid w:val="00F522F3"/>
    <w:rsid w:val="00F541F4"/>
    <w:rsid w:val="00F6583B"/>
    <w:rsid w:val="00F65B4A"/>
    <w:rsid w:val="00F7187D"/>
    <w:rsid w:val="00F802E7"/>
    <w:rsid w:val="00F81380"/>
    <w:rsid w:val="00F9109E"/>
    <w:rsid w:val="00F973F8"/>
    <w:rsid w:val="00FA6809"/>
    <w:rsid w:val="00FA6AD7"/>
    <w:rsid w:val="00FB1564"/>
    <w:rsid w:val="00FB28A8"/>
    <w:rsid w:val="00FC1C86"/>
    <w:rsid w:val="00FF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D0C7E0"/>
  <w15:chartTrackingRefBased/>
  <w15:docId w15:val="{E8DFB0C3-1D5E-6744-9CA1-2FF720D09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>
      <w:pPr>
        <w:ind w:firstLineChars="100" w:firstLine="1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3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　愛香</dc:creator>
  <cp:keywords/>
  <dc:description/>
  <cp:lastModifiedBy>宮　愛香</cp:lastModifiedBy>
  <cp:revision>4</cp:revision>
  <dcterms:created xsi:type="dcterms:W3CDTF">2022-05-25T06:02:00Z</dcterms:created>
  <dcterms:modified xsi:type="dcterms:W3CDTF">2022-05-30T21:32:00Z</dcterms:modified>
</cp:coreProperties>
</file>