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C38780A" w14:textId="0A08C356" w:rsidR="00A24098" w:rsidRPr="00C778FE" w:rsidRDefault="00A24098" w:rsidP="00333D2F">
      <w:pPr>
        <w:pStyle w:val="BATitle"/>
        <w:rPr>
          <w:rFonts w:hint="eastAsia"/>
        </w:rPr>
      </w:pPr>
      <w:r w:rsidRPr="00C778FE">
        <w:t xml:space="preserve">Efficient hydrogen production by </w:t>
      </w:r>
      <w:r w:rsidR="0056517F" w:rsidRPr="00C778FE">
        <w:t xml:space="preserve">a </w:t>
      </w:r>
      <w:r w:rsidRPr="00C778FE">
        <w:t>photoredox</w:t>
      </w:r>
      <w:r w:rsidR="000A2C81" w:rsidRPr="00C778FE">
        <w:t xml:space="preserve"> </w:t>
      </w:r>
      <w:r w:rsidRPr="00C778FE">
        <w:t xml:space="preserve">cascade catalyst </w:t>
      </w:r>
      <w:r w:rsidR="00FD4742" w:rsidRPr="00C778FE">
        <w:t xml:space="preserve">comprising </w:t>
      </w:r>
      <w:r w:rsidRPr="00C778FE">
        <w:t xml:space="preserve">dual photosensitizers and </w:t>
      </w:r>
      <w:r w:rsidR="0056517F" w:rsidRPr="00C778FE">
        <w:t xml:space="preserve">a </w:t>
      </w:r>
      <w:r w:rsidRPr="00C778FE">
        <w:t>transparent electron mediator</w:t>
      </w:r>
    </w:p>
    <w:p w14:paraId="44D67482" w14:textId="77777777" w:rsidR="00A24098" w:rsidRPr="00C778FE" w:rsidRDefault="00A24098" w:rsidP="00820344">
      <w:pPr>
        <w:pStyle w:val="BBAuthorName"/>
      </w:pPr>
      <w:r w:rsidRPr="00C778FE">
        <w:t>Nobutaka Yoshimura,</w:t>
      </w:r>
      <w:r w:rsidRPr="00C778FE">
        <w:rPr>
          <w:vertAlign w:val="superscript"/>
        </w:rPr>
        <w:t>†</w:t>
      </w:r>
      <w:r w:rsidRPr="00C778FE">
        <w:t xml:space="preserve"> Masaki Yoshida,</w:t>
      </w:r>
      <w:r w:rsidRPr="00C778FE">
        <w:rPr>
          <w:vertAlign w:val="superscript"/>
        </w:rPr>
        <w:t>‡</w:t>
      </w:r>
      <w:r w:rsidRPr="00C778FE">
        <w:t xml:space="preserve"> Atsushi Kobayashi*</w:t>
      </w:r>
      <w:r w:rsidRPr="00C778FE">
        <w:rPr>
          <w:vertAlign w:val="superscript"/>
        </w:rPr>
        <w:t>†</w:t>
      </w:r>
    </w:p>
    <w:p w14:paraId="10097FA1" w14:textId="77777777" w:rsidR="00A24098" w:rsidRPr="00C778FE" w:rsidRDefault="00A24098" w:rsidP="00A24098">
      <w:pPr>
        <w:pStyle w:val="BCAuthorAddress"/>
      </w:pPr>
      <w:r w:rsidRPr="00C778FE">
        <w:rPr>
          <w:vertAlign w:val="superscript"/>
        </w:rPr>
        <w:t>†</w:t>
      </w:r>
      <w:r w:rsidRPr="00C778FE">
        <w:t>Department of Chemistry, Faculty of Science, Hokkaido University, North-10 West-8, Kita-ku, Sapporo 060-0810, Japan</w:t>
      </w:r>
    </w:p>
    <w:p w14:paraId="5DE7C2CC" w14:textId="34E2B835" w:rsidR="00A66EDD" w:rsidRPr="00C778FE" w:rsidRDefault="00A24098" w:rsidP="00A24098">
      <w:pPr>
        <w:pStyle w:val="BCAuthorAddress"/>
      </w:pPr>
      <w:r w:rsidRPr="00C778FE">
        <w:rPr>
          <w:vertAlign w:val="superscript"/>
        </w:rPr>
        <w:t>‡</w:t>
      </w:r>
      <w:r w:rsidRPr="00C778FE">
        <w:t>Department of Applied Chemistry for Environment, School of Biological and Environmental Sciences, Kwansei Gakuin University, 1 Gakuen</w:t>
      </w:r>
      <w:r w:rsidR="007175B1" w:rsidRPr="00C778FE">
        <w:t>-Uegahara</w:t>
      </w:r>
      <w:r w:rsidRPr="00C778FE">
        <w:t xml:space="preserve">, Sanda, Hyogo 669-1337, Japan </w:t>
      </w:r>
    </w:p>
    <w:p w14:paraId="1F28E85A" w14:textId="77777777" w:rsidR="00046572" w:rsidRPr="00C778FE" w:rsidRDefault="00046572" w:rsidP="00725A59">
      <w:pPr>
        <w:pStyle w:val="BGKeywords"/>
      </w:pPr>
    </w:p>
    <w:p w14:paraId="7F667FCF" w14:textId="77777777" w:rsidR="00A66EDD" w:rsidRPr="00C778FE" w:rsidRDefault="00725A59" w:rsidP="00725A59">
      <w:pPr>
        <w:pStyle w:val="BGKeywords"/>
        <w:sectPr w:rsidR="00A66EDD" w:rsidRPr="00C778FE" w:rsidSect="00513318">
          <w:footerReference w:type="even" r:id="rId7"/>
          <w:footerReference w:type="default" r:id="rId8"/>
          <w:type w:val="continuous"/>
          <w:pgSz w:w="12240" w:h="15840" w:code="1"/>
          <w:pgMar w:top="720" w:right="1094" w:bottom="950" w:left="1094" w:header="720" w:footer="720" w:gutter="0"/>
          <w:cols w:space="720"/>
          <w:titlePg/>
        </w:sectPr>
      </w:pPr>
      <w:r w:rsidRPr="00C778FE">
        <w:t>Supporting Information Placeholder</w:t>
      </w:r>
    </w:p>
    <w:p w14:paraId="45A45B5B" w14:textId="2CCE3DE7" w:rsidR="00A24098" w:rsidRPr="00C778FE" w:rsidRDefault="00552A07" w:rsidP="00F56D0B">
      <w:pPr>
        <w:pStyle w:val="BDAbstract"/>
      </w:pPr>
      <w:r w:rsidRPr="00C778FE">
        <w:rPr>
          <w:rStyle w:val="BDAbstractTitleChar"/>
        </w:rPr>
        <w:t>ABSTRACT</w:t>
      </w:r>
      <w:r w:rsidR="006532A9" w:rsidRPr="00C778FE">
        <w:rPr>
          <w:rStyle w:val="BDAbstractTitleChar"/>
        </w:rPr>
        <w:t>:</w:t>
      </w:r>
      <w:r w:rsidRPr="00C778FE">
        <w:t xml:space="preserve"> </w:t>
      </w:r>
      <w:r w:rsidR="00A24098" w:rsidRPr="00C778FE">
        <w:t xml:space="preserve">One-directional electron transport between a photocatalyst and redox mediator is crucial for achieving highly active Z-scheme </w:t>
      </w:r>
      <w:r w:rsidR="00226342" w:rsidRPr="00C778FE">
        <w:t>water-</w:t>
      </w:r>
      <w:r w:rsidR="00A24098" w:rsidRPr="00C778FE">
        <w:t xml:space="preserve">splitting photocatalysis. </w:t>
      </w:r>
      <w:r w:rsidR="0056517F" w:rsidRPr="00C778FE">
        <w:t>Herein, a</w:t>
      </w:r>
      <w:r w:rsidR="00A24098" w:rsidRPr="00C778FE">
        <w:t xml:space="preserve"> photoredox cascade catalyst</w:t>
      </w:r>
      <w:r w:rsidR="0056517F" w:rsidRPr="00C778FE">
        <w:t xml:space="preserve"> that </w:t>
      </w:r>
      <w:r w:rsidR="00A24098" w:rsidRPr="00C778FE">
        <w:t xml:space="preserve">artificially mimics the electron transport chain in natural photosynthesis </w:t>
      </w:r>
      <w:r w:rsidR="0056517F" w:rsidRPr="00C778FE">
        <w:t>was synthesized from</w:t>
      </w:r>
      <w:r w:rsidR="00617427" w:rsidRPr="00C778FE">
        <w:t xml:space="preserve"> a</w:t>
      </w:r>
      <w:r w:rsidR="00A24098" w:rsidRPr="00C778FE">
        <w:t xml:space="preserve"> Pt-TiO</w:t>
      </w:r>
      <w:r w:rsidR="00A24098" w:rsidRPr="00C778FE">
        <w:rPr>
          <w:vertAlign w:val="subscript"/>
        </w:rPr>
        <w:t>2</w:t>
      </w:r>
      <w:r w:rsidR="00A24098" w:rsidRPr="00C778FE">
        <w:t xml:space="preserve"> nanoparticle catalyst, two photosensitizers (</w:t>
      </w:r>
      <w:r w:rsidR="00A24098" w:rsidRPr="00C778FE">
        <w:rPr>
          <w:b/>
        </w:rPr>
        <w:t>RuCP</w:t>
      </w:r>
      <w:r w:rsidR="00A24098" w:rsidRPr="00C778FE">
        <w:rPr>
          <w:b/>
          <w:vertAlign w:val="superscript"/>
        </w:rPr>
        <w:t>6</w:t>
      </w:r>
      <w:r w:rsidR="00A24098" w:rsidRPr="00C778FE">
        <w:t xml:space="preserve"> and </w:t>
      </w:r>
      <w:r w:rsidR="00A24098" w:rsidRPr="00C778FE">
        <w:rPr>
          <w:b/>
        </w:rPr>
        <w:t>RuP</w:t>
      </w:r>
      <w:r w:rsidR="00A24098" w:rsidRPr="00C778FE">
        <w:rPr>
          <w:b/>
          <w:vertAlign w:val="superscript"/>
        </w:rPr>
        <w:t>6</w:t>
      </w:r>
      <w:r w:rsidR="00A24098" w:rsidRPr="00C778FE">
        <w:t>), and a visible-light-transparent electron mediator (</w:t>
      </w:r>
      <w:r w:rsidR="00A24098" w:rsidRPr="00C778FE">
        <w:rPr>
          <w:b/>
        </w:rPr>
        <w:t>HCRu</w:t>
      </w:r>
      <w:r w:rsidR="00A24098" w:rsidRPr="00C778FE">
        <w:t xml:space="preserve">). </w:t>
      </w:r>
      <w:r w:rsidR="004D3145" w:rsidRPr="00C778FE">
        <w:t xml:space="preserve">During </w:t>
      </w:r>
      <w:r w:rsidR="00A24098" w:rsidRPr="00C778FE">
        <w:t xml:space="preserve">photocatalytic hydrogen evolution in the presence of </w:t>
      </w:r>
      <w:r w:rsidR="004D3145" w:rsidRPr="00C778FE">
        <w:t>a</w:t>
      </w:r>
      <w:r w:rsidR="00A24098" w:rsidRPr="00C778FE">
        <w:t xml:space="preserve"> redox-reversible electron donor</w:t>
      </w:r>
      <w:r w:rsidR="004D3145" w:rsidRPr="00C778FE">
        <w:t>,</w:t>
      </w:r>
      <w:r w:rsidR="00A24098" w:rsidRPr="00C778FE">
        <w:t xml:space="preserve"> [Co(bpy)</w:t>
      </w:r>
      <w:r w:rsidR="00A24098" w:rsidRPr="00C778FE">
        <w:rPr>
          <w:vertAlign w:val="subscript"/>
        </w:rPr>
        <w:t>3</w:t>
      </w:r>
      <w:r w:rsidR="00A24098" w:rsidRPr="00C778FE">
        <w:t>]</w:t>
      </w:r>
      <w:r w:rsidR="00A24098" w:rsidRPr="00C778FE">
        <w:rPr>
          <w:vertAlign w:val="superscript"/>
        </w:rPr>
        <w:t>2+</w:t>
      </w:r>
      <w:r w:rsidR="00A24098" w:rsidRPr="00C778FE">
        <w:t xml:space="preserve"> (bpy = 2,2′-bipyridine)</w:t>
      </w:r>
      <w:r w:rsidR="004D3145" w:rsidRPr="00C778FE">
        <w:t>,</w:t>
      </w:r>
      <w:r w:rsidR="00A24098" w:rsidRPr="00C778FE">
        <w:t xml:space="preserve"> </w:t>
      </w:r>
      <w:r w:rsidR="004D3145" w:rsidRPr="00C778FE">
        <w:t xml:space="preserve">the </w:t>
      </w:r>
      <w:r w:rsidR="004D3145" w:rsidRPr="00C778FE">
        <w:rPr>
          <w:b/>
        </w:rPr>
        <w:t>HCRu</w:t>
      </w:r>
      <w:r w:rsidR="004D3145" w:rsidRPr="00C778FE">
        <w:t>-Zr-</w:t>
      </w:r>
      <w:r w:rsidR="004D3145" w:rsidRPr="00C778FE">
        <w:rPr>
          <w:b/>
        </w:rPr>
        <w:t>RuCP</w:t>
      </w:r>
      <w:r w:rsidR="004D3145" w:rsidRPr="00C778FE">
        <w:rPr>
          <w:b/>
          <w:vertAlign w:val="superscript"/>
        </w:rPr>
        <w:t>6</w:t>
      </w:r>
      <w:r w:rsidR="004D3145" w:rsidRPr="00C778FE">
        <w:t>-Zr-</w:t>
      </w:r>
      <w:r w:rsidR="004D3145" w:rsidRPr="00C778FE">
        <w:rPr>
          <w:b/>
        </w:rPr>
        <w:t>RuP</w:t>
      </w:r>
      <w:r w:rsidR="004D3145" w:rsidRPr="00C778FE">
        <w:rPr>
          <w:b/>
          <w:vertAlign w:val="superscript"/>
        </w:rPr>
        <w:t>6</w:t>
      </w:r>
      <w:r w:rsidR="004D3145" w:rsidRPr="00C778FE">
        <w:t>@Pt-TiO</w:t>
      </w:r>
      <w:r w:rsidR="004D3145" w:rsidRPr="00C778FE">
        <w:rPr>
          <w:vertAlign w:val="subscript"/>
        </w:rPr>
        <w:t>2</w:t>
      </w:r>
      <w:r w:rsidR="004D3145" w:rsidRPr="00C778FE">
        <w:t xml:space="preserve"> (</w:t>
      </w:r>
      <w:r w:rsidR="004D3145" w:rsidRPr="00C778FE">
        <w:rPr>
          <w:b/>
        </w:rPr>
        <w:t>PRCC-1</w:t>
      </w:r>
      <w:r w:rsidR="004D3145" w:rsidRPr="00C778FE">
        <w:t xml:space="preserve">) photocatalyst </w:t>
      </w:r>
      <w:r w:rsidR="004D3145" w:rsidRPr="00C778FE">
        <w:rPr>
          <w:bCs/>
        </w:rPr>
        <w:t>exhibited</w:t>
      </w:r>
      <w:r w:rsidR="004D3145" w:rsidRPr="00C778FE">
        <w:t xml:space="preserve"> </w:t>
      </w:r>
      <w:r w:rsidR="00A24098" w:rsidRPr="00C778FE">
        <w:t>the highest</w:t>
      </w:r>
      <w:r w:rsidR="004D3145" w:rsidRPr="00C778FE">
        <w:t xml:space="preserve"> reported</w:t>
      </w:r>
      <w:r w:rsidR="00A24098" w:rsidRPr="00C778FE">
        <w:t xml:space="preserve"> </w:t>
      </w:r>
      <w:r w:rsidR="004D3145" w:rsidRPr="00C778FE">
        <w:t>initial (1 h) apparent quantum yield (</w:t>
      </w:r>
      <w:r w:rsidR="004D3145" w:rsidRPr="00C778FE">
        <w:rPr>
          <w:i/>
        </w:rPr>
        <w:t>i</w:t>
      </w:r>
      <w:r w:rsidR="004D3145" w:rsidRPr="00C778FE">
        <w:t xml:space="preserve">AQY = </w:t>
      </w:r>
      <w:r w:rsidR="00A24098" w:rsidRPr="00C778FE">
        <w:t>2.23%</w:t>
      </w:r>
      <w:r w:rsidR="004D3145" w:rsidRPr="00C778FE">
        <w:t>)</w:t>
      </w:r>
      <w:r w:rsidR="00A24098" w:rsidRPr="00C778FE">
        <w:t xml:space="preserve"> </w:t>
      </w:r>
      <w:r w:rsidR="004D3145" w:rsidRPr="00C778FE">
        <w:t xml:space="preserve">of </w:t>
      </w:r>
      <w:r w:rsidR="00A24098" w:rsidRPr="00C778FE">
        <w:t>dye-sensitized TiO</w:t>
      </w:r>
      <w:r w:rsidR="00A24098" w:rsidRPr="00C778FE">
        <w:rPr>
          <w:vertAlign w:val="subscript"/>
        </w:rPr>
        <w:t>2</w:t>
      </w:r>
      <w:r w:rsidR="00A24098" w:rsidRPr="00C778FE">
        <w:t xml:space="preserve"> photocatalysts</w:t>
      </w:r>
      <w:r w:rsidR="004D3145" w:rsidRPr="00C778FE">
        <w:t xml:space="preserve"> to date</w:t>
      </w:r>
      <w:r w:rsidR="00A24098" w:rsidRPr="00C778FE">
        <w:t xml:space="preserve">. Furthermore, </w:t>
      </w:r>
      <w:r w:rsidR="00A24098" w:rsidRPr="00C778FE">
        <w:rPr>
          <w:b/>
        </w:rPr>
        <w:t xml:space="preserve">PRCC-1 </w:t>
      </w:r>
      <w:r w:rsidR="00A24098" w:rsidRPr="00C778FE">
        <w:t>successfully produced hydrogen</w:t>
      </w:r>
      <w:r w:rsidR="004D3145" w:rsidRPr="00C778FE">
        <w:t xml:space="preserve"> when</w:t>
      </w:r>
      <w:r w:rsidR="00A24098" w:rsidRPr="00C778FE">
        <w:t xml:space="preserve"> using hydroquinone monosulfonate (H</w:t>
      </w:r>
      <w:r w:rsidR="00A24098" w:rsidRPr="00C778FE">
        <w:rPr>
          <w:vertAlign w:val="subscript"/>
        </w:rPr>
        <w:t>2</w:t>
      </w:r>
      <w:r w:rsidR="00A24098" w:rsidRPr="00C778FE">
        <w:t>QS</w:t>
      </w:r>
      <w:r w:rsidR="00A24098" w:rsidRPr="00C778FE">
        <w:rPr>
          <w:vertAlign w:val="superscript"/>
        </w:rPr>
        <w:t>−</w:t>
      </w:r>
      <w:r w:rsidR="00A24098" w:rsidRPr="00C778FE">
        <w:t xml:space="preserve">) as the hydrogen source. </w:t>
      </w:r>
      <w:r w:rsidR="004564DD" w:rsidRPr="00C778FE">
        <w:t xml:space="preserve"> </w:t>
      </w:r>
    </w:p>
    <w:p w14:paraId="7E8D27E8" w14:textId="3324E854" w:rsidR="00A24098" w:rsidRPr="00C778FE" w:rsidRDefault="000C6AAE" w:rsidP="00FA7FC5">
      <w:pPr>
        <w:pStyle w:val="TAMainText"/>
      </w:pPr>
      <w:bookmarkStart w:id="0" w:name="_Hlk122688417"/>
      <w:r w:rsidRPr="00C778FE">
        <w:t>P</w:t>
      </w:r>
      <w:r w:rsidR="00A24098" w:rsidRPr="00C778FE">
        <w:t>hotocatalytic water splitting has attracted considerable attention</w:t>
      </w:r>
      <w:r w:rsidR="004D3145" w:rsidRPr="00C778FE">
        <w:t xml:space="preserve"> for its potential to</w:t>
      </w:r>
      <w:r w:rsidR="00A24098" w:rsidRPr="00C778FE">
        <w:t xml:space="preserve"> </w:t>
      </w:r>
      <w:r w:rsidR="00E86161" w:rsidRPr="00C778FE">
        <w:t>mitigat</w:t>
      </w:r>
      <w:r w:rsidR="004D3145" w:rsidRPr="00C778FE">
        <w:t xml:space="preserve">e </w:t>
      </w:r>
      <w:r w:rsidR="00A24098" w:rsidRPr="00C778FE">
        <w:t xml:space="preserve">global </w:t>
      </w:r>
      <w:r w:rsidR="00226342" w:rsidRPr="00C778FE">
        <w:t xml:space="preserve">environmental </w:t>
      </w:r>
      <w:r w:rsidR="00A24098" w:rsidRPr="00C778FE">
        <w:t>and energy crises.</w:t>
      </w:r>
      <w:bookmarkEnd w:id="0"/>
      <w:r w:rsidR="00A24098" w:rsidRPr="00C778FE">
        <w:rPr>
          <w:vertAlign w:val="superscript"/>
        </w:rPr>
        <w:t>1–6</w:t>
      </w:r>
      <w:r w:rsidR="00A24098" w:rsidRPr="00C778FE">
        <w:t xml:space="preserve"> Z-scheme water-splitting photocatalysis</w:t>
      </w:r>
      <w:r w:rsidR="00E86161" w:rsidRPr="00C778FE">
        <w:t>, which utilizes a two-step photoexcitation process</w:t>
      </w:r>
      <w:r w:rsidR="00A24098" w:rsidRPr="00C778FE">
        <w:t xml:space="preserve"> </w:t>
      </w:r>
      <w:r w:rsidR="00E86161" w:rsidRPr="00C778FE">
        <w:t xml:space="preserve">with a </w:t>
      </w:r>
      <w:r w:rsidR="00A24098" w:rsidRPr="00C778FE">
        <w:t xml:space="preserve">water oxidation </w:t>
      </w:r>
      <w:r w:rsidR="00E86161" w:rsidRPr="00C778FE">
        <w:t xml:space="preserve">catalyst (WOC), water </w:t>
      </w:r>
      <w:r w:rsidR="00A24098" w:rsidRPr="00C778FE">
        <w:t>reduction catalyst (WRC)</w:t>
      </w:r>
      <w:r w:rsidR="00E86161" w:rsidRPr="00C778FE">
        <w:t>,</w:t>
      </w:r>
      <w:r w:rsidR="00A24098" w:rsidRPr="00C778FE">
        <w:t xml:space="preserve"> </w:t>
      </w:r>
      <w:r w:rsidR="00E86161" w:rsidRPr="00C778FE">
        <w:t xml:space="preserve">and </w:t>
      </w:r>
      <w:r w:rsidR="00A24098" w:rsidRPr="00C778FE">
        <w:t>redox mediator (RM)</w:t>
      </w:r>
      <w:r w:rsidR="00E86161" w:rsidRPr="00C778FE">
        <w:t>,</w:t>
      </w:r>
      <w:r w:rsidR="00A24098" w:rsidRPr="00C778FE">
        <w:t xml:space="preserve"> is a powerful strategy </w:t>
      </w:r>
      <w:r w:rsidR="00E86161" w:rsidRPr="00C778FE">
        <w:t xml:space="preserve">for </w:t>
      </w:r>
      <w:r w:rsidR="00A24098" w:rsidRPr="00C778FE">
        <w:t>convert</w:t>
      </w:r>
      <w:r w:rsidR="00E86161" w:rsidRPr="00C778FE">
        <w:t>ing</w:t>
      </w:r>
      <w:r w:rsidR="00A24098" w:rsidRPr="00C778FE">
        <w:t xml:space="preserve"> </w:t>
      </w:r>
      <w:r w:rsidR="00E86161" w:rsidRPr="00C778FE">
        <w:t xml:space="preserve">a </w:t>
      </w:r>
      <w:r w:rsidR="00A24098" w:rsidRPr="00C778FE">
        <w:t xml:space="preserve">wide </w:t>
      </w:r>
      <w:r w:rsidR="000A2C81" w:rsidRPr="00C778FE">
        <w:t xml:space="preserve">spectrum </w:t>
      </w:r>
      <w:r w:rsidR="00A24098" w:rsidRPr="00C778FE">
        <w:t xml:space="preserve">of solar energy to chemical energy </w:t>
      </w:r>
      <w:r w:rsidR="00226342" w:rsidRPr="00C778FE">
        <w:t xml:space="preserve">and </w:t>
      </w:r>
      <w:r w:rsidR="00A24098" w:rsidRPr="00C778FE">
        <w:t>stor</w:t>
      </w:r>
      <w:r w:rsidR="00226342" w:rsidRPr="00C778FE">
        <w:t>ing it</w:t>
      </w:r>
      <w:r w:rsidR="00A24098" w:rsidRPr="00C778FE">
        <w:t xml:space="preserve"> </w:t>
      </w:r>
      <w:r w:rsidR="00A01470" w:rsidRPr="00C778FE">
        <w:t xml:space="preserve">as </w:t>
      </w:r>
      <w:r w:rsidR="00A24098" w:rsidRPr="00C778FE">
        <w:t>H</w:t>
      </w:r>
      <w:r w:rsidR="00A24098" w:rsidRPr="00C778FE">
        <w:rPr>
          <w:vertAlign w:val="subscript"/>
        </w:rPr>
        <w:t>2</w:t>
      </w:r>
      <w:r w:rsidR="00A24098" w:rsidRPr="00C778FE">
        <w:t xml:space="preserve"> and O</w:t>
      </w:r>
      <w:r w:rsidR="00A24098" w:rsidRPr="00C778FE">
        <w:rPr>
          <w:vertAlign w:val="subscript"/>
        </w:rPr>
        <w:t>2</w:t>
      </w:r>
      <w:r w:rsidR="00E86161" w:rsidRPr="00C778FE">
        <w:t xml:space="preserve">; it </w:t>
      </w:r>
      <w:r w:rsidR="00A24098" w:rsidRPr="00C778FE">
        <w:t>also ensure</w:t>
      </w:r>
      <w:r w:rsidR="00E86161" w:rsidRPr="00C778FE">
        <w:t>s</w:t>
      </w:r>
      <w:r w:rsidR="00A24098" w:rsidRPr="00C778FE">
        <w:t xml:space="preserve"> the water</w:t>
      </w:r>
      <w:r w:rsidR="000A2C81" w:rsidRPr="00C778FE">
        <w:t>-</w:t>
      </w:r>
      <w:r w:rsidR="00A24098" w:rsidRPr="00C778FE">
        <w:t>splitting and electron</w:t>
      </w:r>
      <w:r w:rsidR="000A2C81" w:rsidRPr="00C778FE">
        <w:t>-</w:t>
      </w:r>
      <w:r w:rsidR="00A24098" w:rsidRPr="00C778FE">
        <w:t>transfer</w:t>
      </w:r>
      <w:r w:rsidR="00E86161" w:rsidRPr="00C778FE">
        <w:t xml:space="preserve"> </w:t>
      </w:r>
      <w:r w:rsidR="000A2C81" w:rsidRPr="00C778FE">
        <w:t xml:space="preserve">potentials </w:t>
      </w:r>
      <w:r w:rsidR="00E86161" w:rsidRPr="00C778FE">
        <w:t>are sufficient</w:t>
      </w:r>
      <w:r w:rsidR="00A24098" w:rsidRPr="00C778FE">
        <w:t>.</w:t>
      </w:r>
      <w:r w:rsidR="00A24098" w:rsidRPr="00C778FE">
        <w:rPr>
          <w:vertAlign w:val="superscript"/>
        </w:rPr>
        <w:t>7–13</w:t>
      </w:r>
      <w:r w:rsidR="00A24098" w:rsidRPr="00C778FE">
        <w:t xml:space="preserve"> </w:t>
      </w:r>
      <w:bookmarkStart w:id="1" w:name="_Hlk127727759"/>
      <w:r w:rsidR="004805AA" w:rsidRPr="00C778FE">
        <w:rPr>
          <w:rFonts w:hint="eastAsia"/>
          <w:lang w:eastAsia="ja-JP"/>
        </w:rPr>
        <w:t>Domen and coworkers</w:t>
      </w:r>
      <w:r w:rsidR="001552FE" w:rsidRPr="00C778FE">
        <w:rPr>
          <w:lang w:eastAsia="ja-JP"/>
        </w:rPr>
        <w:t xml:space="preserve"> </w:t>
      </w:r>
      <w:r w:rsidR="00A24098" w:rsidRPr="00C778FE">
        <w:t xml:space="preserve">recently reported a visible-light-driven Z-scheme photocatalytic system consisting of </w:t>
      </w:r>
      <w:r w:rsidR="00565BC0" w:rsidRPr="00C778FE">
        <w:t>ZrO</w:t>
      </w:r>
      <w:r w:rsidR="00565BC0" w:rsidRPr="00C778FE">
        <w:rPr>
          <w:vertAlign w:val="subscript"/>
        </w:rPr>
        <w:t>2</w:t>
      </w:r>
      <w:r w:rsidR="00565BC0" w:rsidRPr="00C778FE">
        <w:t>/TaON</w:t>
      </w:r>
      <w:r w:rsidR="00A24098" w:rsidRPr="00C778FE">
        <w:t>, BiVO</w:t>
      </w:r>
      <w:r w:rsidR="00A24098" w:rsidRPr="00C778FE">
        <w:rPr>
          <w:vertAlign w:val="subscript"/>
        </w:rPr>
        <w:t>4</w:t>
      </w:r>
      <w:r w:rsidR="00A24098" w:rsidRPr="00C778FE">
        <w:t>, and [Fe(CN)</w:t>
      </w:r>
      <w:r w:rsidR="00A24098" w:rsidRPr="00C778FE">
        <w:rPr>
          <w:vertAlign w:val="subscript"/>
        </w:rPr>
        <w:t>6</w:t>
      </w:r>
      <w:r w:rsidR="00A24098" w:rsidRPr="00C778FE">
        <w:t>]</w:t>
      </w:r>
      <w:r w:rsidR="00A24098" w:rsidRPr="00C778FE">
        <w:rPr>
          <w:vertAlign w:val="superscript"/>
        </w:rPr>
        <w:t>3−/4−</w:t>
      </w:r>
      <w:r w:rsidR="00A24098" w:rsidRPr="00C778FE">
        <w:t xml:space="preserve"> as </w:t>
      </w:r>
      <w:r w:rsidR="004D3145" w:rsidRPr="00C778FE">
        <w:t xml:space="preserve">the </w:t>
      </w:r>
      <w:r w:rsidR="00A24098" w:rsidRPr="00C778FE">
        <w:t xml:space="preserve">WRC, WOC, and RM, respectively, </w:t>
      </w:r>
      <w:r w:rsidR="00226342" w:rsidRPr="00C778FE">
        <w:t xml:space="preserve">which </w:t>
      </w:r>
      <w:r w:rsidR="00A24098" w:rsidRPr="00C778FE">
        <w:t xml:space="preserve">exhibited </w:t>
      </w:r>
      <w:r w:rsidR="000A2C81" w:rsidRPr="00C778FE">
        <w:t xml:space="preserve">a </w:t>
      </w:r>
      <w:r w:rsidR="00A24098" w:rsidRPr="00C778FE">
        <w:t xml:space="preserve">remarkably high solar-to-hydrogen energy conversion efficiency (0.6%) and apparent quantum efficiency (AQY = 12.3%) </w:t>
      </w:r>
      <w:r w:rsidR="000A2C81" w:rsidRPr="00C778FE">
        <w:t xml:space="preserve">under light irradiation at </w:t>
      </w:r>
      <w:r w:rsidR="00A24098" w:rsidRPr="00C778FE">
        <w:t>420 nm.</w:t>
      </w:r>
      <w:r w:rsidR="00FA7FC5" w:rsidRPr="00C778FE">
        <w:rPr>
          <w:vertAlign w:val="superscript"/>
        </w:rPr>
        <w:t>14</w:t>
      </w:r>
      <w:bookmarkEnd w:id="1"/>
      <w:r w:rsidR="00FA7FC5" w:rsidRPr="00C778FE">
        <w:t xml:space="preserve"> </w:t>
      </w:r>
      <w:r w:rsidR="00A24098" w:rsidRPr="00C778FE">
        <w:t>However, thermodynamically favorable back reactions at the WOC</w:t>
      </w:r>
      <w:r w:rsidR="00226342" w:rsidRPr="00C778FE">
        <w:t>–</w:t>
      </w:r>
      <w:r w:rsidR="00A24098" w:rsidRPr="00C778FE">
        <w:t>RM</w:t>
      </w:r>
      <w:r w:rsidR="009B2F54" w:rsidRPr="00C778FE">
        <w:t xml:space="preserve"> and RM</w:t>
      </w:r>
      <w:r w:rsidR="00226342" w:rsidRPr="00C778FE">
        <w:t>–</w:t>
      </w:r>
      <w:r w:rsidR="00A24098" w:rsidRPr="00C778FE">
        <w:t xml:space="preserve">WRC interfaces remain a bottleneck issue. Thus, a new strategy </w:t>
      </w:r>
      <w:r w:rsidR="000A2C81" w:rsidRPr="00C778FE">
        <w:t xml:space="preserve">of </w:t>
      </w:r>
      <w:r w:rsidR="00A24098" w:rsidRPr="00C778FE">
        <w:t>regulat</w:t>
      </w:r>
      <w:r w:rsidR="000A2C81" w:rsidRPr="00C778FE">
        <w:t>ing</w:t>
      </w:r>
      <w:r w:rsidR="00A24098" w:rsidRPr="00C778FE">
        <w:t xml:space="preserve"> the electron transfer direction </w:t>
      </w:r>
      <w:r w:rsidR="000A2C81" w:rsidRPr="00C778FE">
        <w:t>(</w:t>
      </w:r>
      <w:r w:rsidR="00A24098" w:rsidRPr="00C778FE">
        <w:t>from WOC to WRC via RM</w:t>
      </w:r>
      <w:r w:rsidR="000A2C81" w:rsidRPr="00C778FE">
        <w:t>)</w:t>
      </w:r>
      <w:r w:rsidR="00A24098" w:rsidRPr="00C778FE">
        <w:t xml:space="preserve"> is strongly required.</w:t>
      </w:r>
      <w:r w:rsidR="00A24098" w:rsidRPr="00C778FE">
        <w:rPr>
          <w:vertAlign w:val="superscript"/>
        </w:rPr>
        <w:t>15–17</w:t>
      </w:r>
    </w:p>
    <w:p w14:paraId="57006F03" w14:textId="72C438ED" w:rsidR="00B7496D" w:rsidRPr="00C778FE" w:rsidRDefault="00A24098" w:rsidP="00FA7FC5">
      <w:pPr>
        <w:pStyle w:val="TAMainText"/>
      </w:pPr>
      <w:r w:rsidRPr="00C778FE">
        <w:t xml:space="preserve">In natural photosynthesis, such back reactions are efficiently suppressed by </w:t>
      </w:r>
      <w:r w:rsidR="000A2C81" w:rsidRPr="00C778FE">
        <w:t>the</w:t>
      </w:r>
      <w:r w:rsidR="00A44673" w:rsidRPr="00C778FE">
        <w:t xml:space="preserve"> </w:t>
      </w:r>
      <w:r w:rsidRPr="00C778FE">
        <w:t>multistep photoredox cascade structure</w:t>
      </w:r>
      <w:r w:rsidR="000A2C81" w:rsidRPr="00C778FE">
        <w:t xml:space="preserve"> of </w:t>
      </w:r>
      <w:r w:rsidRPr="00C778FE">
        <w:t>the electron transport chain</w:t>
      </w:r>
      <w:r w:rsidR="000A2C81" w:rsidRPr="00C778FE">
        <w:t>, in which</w:t>
      </w:r>
      <w:r w:rsidRPr="00C778FE">
        <w:t xml:space="preserve"> precise array</w:t>
      </w:r>
      <w:r w:rsidR="00A44673" w:rsidRPr="00C778FE">
        <w:t>s</w:t>
      </w:r>
      <w:r w:rsidRPr="00C778FE">
        <w:t xml:space="preserve"> of chlorophyl- and quinone-type RMs </w:t>
      </w:r>
      <w:r w:rsidR="000A2C81" w:rsidRPr="00C778FE">
        <w:t>surr</w:t>
      </w:r>
      <w:r w:rsidRPr="00C778FE">
        <w:t xml:space="preserve">ound the chlorophyl dimer </w:t>
      </w:r>
      <w:r w:rsidR="00A44673" w:rsidRPr="00C778FE">
        <w:t xml:space="preserve">reaction centers </w:t>
      </w:r>
      <w:r w:rsidRPr="00C778FE">
        <w:t>(P680 and P700).</w:t>
      </w:r>
      <w:r w:rsidRPr="00C778FE">
        <w:rPr>
          <w:vertAlign w:val="superscript"/>
        </w:rPr>
        <w:t>18</w:t>
      </w:r>
      <w:r w:rsidRPr="00C778FE">
        <w:t xml:space="preserve"> In contrast, multistep redox cascade structure</w:t>
      </w:r>
      <w:r w:rsidR="009B2F54" w:rsidRPr="00C778FE">
        <w:t>s</w:t>
      </w:r>
      <w:r w:rsidRPr="00C778FE">
        <w:t xml:space="preserve"> with </w:t>
      </w:r>
      <w:r w:rsidR="00482484" w:rsidRPr="00C778FE">
        <w:t xml:space="preserve">multiple </w:t>
      </w:r>
      <w:r w:rsidRPr="00C778FE">
        <w:t>RMs have hardly</w:t>
      </w:r>
      <w:r w:rsidR="003F6ADE" w:rsidRPr="00C778FE">
        <w:t xml:space="preserve"> been</w:t>
      </w:r>
    </w:p>
    <w:p w14:paraId="2C5F57A6" w14:textId="47CD3DC2" w:rsidR="00A24098" w:rsidRPr="00C778FE" w:rsidRDefault="00C456D0" w:rsidP="00A24098">
      <w:pPr>
        <w:pStyle w:val="VAFigureCaption"/>
      </w:pPr>
      <w:r w:rsidRPr="00C778FE">
        <w:rPr>
          <w:noProof/>
        </w:rPr>
        <w:drawing>
          <wp:inline distT="0" distB="0" distL="0" distR="0" wp14:anchorId="27C711A5" wp14:editId="61DF943F">
            <wp:extent cx="3023616" cy="2787396"/>
            <wp:effectExtent l="0" t="0" r="5715" b="0"/>
            <wp:docPr id="1"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ダイアグラム&#10;&#10;自動的に生成された説明"/>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23616" cy="2787396"/>
                    </a:xfrm>
                    <a:prstGeom prst="rect">
                      <a:avLst/>
                    </a:prstGeom>
                  </pic:spPr>
                </pic:pic>
              </a:graphicData>
            </a:graphic>
          </wp:inline>
        </w:drawing>
      </w:r>
    </w:p>
    <w:p w14:paraId="66F7B4BD" w14:textId="2D53461A" w:rsidR="00A24098" w:rsidRPr="00C778FE" w:rsidRDefault="00A24098" w:rsidP="00A24098">
      <w:pPr>
        <w:pStyle w:val="VAFigureCaption"/>
      </w:pPr>
      <w:r w:rsidRPr="00C778FE">
        <w:t xml:space="preserve">Figure 1. </w:t>
      </w:r>
      <w:r w:rsidR="005473C9" w:rsidRPr="00C778FE">
        <w:t>S</w:t>
      </w:r>
      <w:r w:rsidRPr="00C778FE">
        <w:t xml:space="preserve">urface structure and energy diagram of </w:t>
      </w:r>
      <w:r w:rsidRPr="00C778FE">
        <w:rPr>
          <w:b/>
        </w:rPr>
        <w:t>PRCC-</w:t>
      </w:r>
      <w:r w:rsidRPr="00C778FE">
        <w:rPr>
          <w:b/>
          <w:i/>
        </w:rPr>
        <w:t>n</w:t>
      </w:r>
      <w:r w:rsidRPr="00C778FE">
        <w:rPr>
          <w:b/>
        </w:rPr>
        <w:t xml:space="preserve"> </w:t>
      </w:r>
      <w:r w:rsidRPr="00C778FE">
        <w:t>(</w:t>
      </w:r>
      <w:r w:rsidRPr="00C778FE">
        <w:rPr>
          <w:b/>
          <w:i/>
        </w:rPr>
        <w:t>n</w:t>
      </w:r>
      <w:r w:rsidRPr="00C778FE">
        <w:t xml:space="preserve"> = 1, 2; </w:t>
      </w:r>
      <w:r w:rsidRPr="00C778FE">
        <w:rPr>
          <w:b/>
        </w:rPr>
        <w:t>HCM</w:t>
      </w:r>
      <w:r w:rsidRPr="00C778FE">
        <w:rPr>
          <w:bCs/>
        </w:rPr>
        <w:t xml:space="preserve"> </w:t>
      </w:r>
      <w:r w:rsidRPr="00C778FE">
        <w:t xml:space="preserve">= </w:t>
      </w:r>
      <w:r w:rsidRPr="00C778FE">
        <w:rPr>
          <w:b/>
          <w:bCs/>
        </w:rPr>
        <w:t>HCRu</w:t>
      </w:r>
      <w:r w:rsidRPr="00C778FE">
        <w:t xml:space="preserve">, </w:t>
      </w:r>
      <w:r w:rsidRPr="00C778FE">
        <w:rPr>
          <w:b/>
        </w:rPr>
        <w:t>HCFe</w:t>
      </w:r>
      <w:r w:rsidRPr="00C778FE">
        <w:t>) for photocatalytic H</w:t>
      </w:r>
      <w:r w:rsidRPr="00C778FE">
        <w:rPr>
          <w:vertAlign w:val="subscript"/>
        </w:rPr>
        <w:t>2</w:t>
      </w:r>
      <w:r w:rsidRPr="00C778FE">
        <w:t xml:space="preserve"> production. The BQSK/H</w:t>
      </w:r>
      <w:r w:rsidRPr="00C778FE">
        <w:rPr>
          <w:vertAlign w:val="subscript"/>
        </w:rPr>
        <w:t>2</w:t>
      </w:r>
      <w:r w:rsidRPr="00C778FE">
        <w:t xml:space="preserve">QSK </w:t>
      </w:r>
      <w:r w:rsidR="003B7CF0" w:rsidRPr="00C778FE">
        <w:t xml:space="preserve">redox potential </w:t>
      </w:r>
      <w:r w:rsidRPr="00C778FE">
        <w:t>was estimated by cyclic voltammetry (Figure S6) and the other redox potentials were infe</w:t>
      </w:r>
      <w:r w:rsidR="003B7CF0" w:rsidRPr="00C778FE">
        <w:t>r</w:t>
      </w:r>
      <w:r w:rsidRPr="00C778FE">
        <w:t>red from the literature.</w:t>
      </w:r>
      <w:r w:rsidR="0059555E" w:rsidRPr="00C778FE">
        <w:rPr>
          <w:vertAlign w:val="superscript"/>
        </w:rPr>
        <w:t>20, 21, 25</w:t>
      </w:r>
    </w:p>
    <w:p w14:paraId="6087A797" w14:textId="22B2E823" w:rsidR="00B7496D" w:rsidRPr="00C778FE" w:rsidRDefault="00B7496D" w:rsidP="00B7496D">
      <w:pPr>
        <w:pStyle w:val="TAMainText"/>
        <w:ind w:firstLine="0"/>
        <w:rPr>
          <w:b/>
        </w:rPr>
      </w:pPr>
      <w:r w:rsidRPr="00C778FE">
        <w:t xml:space="preserve">employed in water-splitting Z-scheme </w:t>
      </w:r>
      <w:r w:rsidR="00AC3521" w:rsidRPr="00C778FE">
        <w:t xml:space="preserve">particulate </w:t>
      </w:r>
      <w:r w:rsidRPr="00C778FE">
        <w:t>photocatalys</w:t>
      </w:r>
      <w:r w:rsidR="00AC3521" w:rsidRPr="00C778FE">
        <w:t>ts</w:t>
      </w:r>
      <w:r w:rsidRPr="00C778FE">
        <w:t>.</w:t>
      </w:r>
      <w:r w:rsidR="0059555E" w:rsidRPr="00C778FE">
        <w:rPr>
          <w:vertAlign w:val="superscript"/>
        </w:rPr>
        <w:t>19</w:t>
      </w:r>
      <w:r w:rsidRPr="00C778FE">
        <w:t xml:space="preserve"> Thus, in this work, with the aim of suppressing back reactions at the WRC–RM interface, we constructed a three-step photoredox cascade catalyst, </w:t>
      </w:r>
      <w:r w:rsidRPr="00C778FE">
        <w:rPr>
          <w:b/>
        </w:rPr>
        <w:t>HCRu</w:t>
      </w:r>
      <w:r w:rsidRPr="00C778FE">
        <w:t>-Zr-</w:t>
      </w:r>
      <w:r w:rsidRPr="00C778FE">
        <w:rPr>
          <w:b/>
        </w:rPr>
        <w:t>RuCP</w:t>
      </w:r>
      <w:r w:rsidRPr="00C778FE">
        <w:rPr>
          <w:b/>
          <w:vertAlign w:val="superscript"/>
        </w:rPr>
        <w:t>6</w:t>
      </w:r>
      <w:r w:rsidRPr="00C778FE">
        <w:t>-Zr-</w:t>
      </w:r>
      <w:r w:rsidRPr="00C778FE">
        <w:rPr>
          <w:b/>
        </w:rPr>
        <w:t>RuP</w:t>
      </w:r>
      <w:r w:rsidRPr="00C778FE">
        <w:rPr>
          <w:b/>
          <w:vertAlign w:val="superscript"/>
        </w:rPr>
        <w:t>6</w:t>
      </w:r>
      <w:r w:rsidRPr="00C778FE">
        <w:t>@Pt-TiO</w:t>
      </w:r>
      <w:r w:rsidRPr="00C778FE">
        <w:rPr>
          <w:vertAlign w:val="subscript"/>
        </w:rPr>
        <w:t>2</w:t>
      </w:r>
      <w:r w:rsidRPr="00C778FE">
        <w:t xml:space="preserve"> (</w:t>
      </w:r>
      <w:r w:rsidRPr="00C778FE">
        <w:rPr>
          <w:b/>
        </w:rPr>
        <w:t>PRCC-1</w:t>
      </w:r>
      <w:r w:rsidRPr="00C778FE">
        <w:rPr>
          <w:bCs/>
        </w:rPr>
        <w:t xml:space="preserve">; </w:t>
      </w:r>
      <w:r w:rsidRPr="00C778FE">
        <w:rPr>
          <w:b/>
          <w:bCs/>
        </w:rPr>
        <w:t>HCRu</w:t>
      </w:r>
      <w:r w:rsidRPr="00C778FE">
        <w:t xml:space="preserve"> = [Ru(CN)</w:t>
      </w:r>
      <w:r w:rsidRPr="00C778FE">
        <w:rPr>
          <w:vertAlign w:val="subscript"/>
        </w:rPr>
        <w:t>6</w:t>
      </w:r>
      <w:r w:rsidRPr="00C778FE">
        <w:t>]</w:t>
      </w:r>
      <w:r w:rsidRPr="00C778FE">
        <w:rPr>
          <w:vertAlign w:val="superscript"/>
        </w:rPr>
        <w:t>4−</w:t>
      </w:r>
      <w:r w:rsidRPr="00C778FE">
        <w:t>,</w:t>
      </w:r>
      <w:r w:rsidRPr="00C778FE">
        <w:rPr>
          <w:b/>
        </w:rPr>
        <w:t xml:space="preserve"> RuCP</w:t>
      </w:r>
      <w:r w:rsidRPr="00C778FE">
        <w:rPr>
          <w:b/>
          <w:vertAlign w:val="superscript"/>
        </w:rPr>
        <w:t>6</w:t>
      </w:r>
      <w:r w:rsidRPr="00C778FE">
        <w:t xml:space="preserve"> = [Ru(mpbpy)</w:t>
      </w:r>
      <w:r w:rsidRPr="00C778FE">
        <w:rPr>
          <w:vertAlign w:val="subscript"/>
        </w:rPr>
        <w:t>3</w:t>
      </w:r>
      <w:r w:rsidRPr="00C778FE">
        <w:t>]</w:t>
      </w:r>
      <w:r w:rsidRPr="00C778FE">
        <w:rPr>
          <w:vertAlign w:val="superscript"/>
        </w:rPr>
        <w:t>10−</w:t>
      </w:r>
      <w:r w:rsidRPr="00C778FE">
        <w:t xml:space="preserve">, </w:t>
      </w:r>
      <w:r w:rsidRPr="00C778FE">
        <w:rPr>
          <w:b/>
        </w:rPr>
        <w:t>RuP</w:t>
      </w:r>
      <w:r w:rsidRPr="00C778FE">
        <w:rPr>
          <w:b/>
          <w:vertAlign w:val="superscript"/>
        </w:rPr>
        <w:t>6</w:t>
      </w:r>
      <w:r w:rsidRPr="00C778FE">
        <w:t xml:space="preserve"> = [Ru(pbpy)</w:t>
      </w:r>
      <w:r w:rsidRPr="00C778FE">
        <w:rPr>
          <w:vertAlign w:val="subscript"/>
        </w:rPr>
        <w:t>3</w:t>
      </w:r>
      <w:r w:rsidRPr="00C778FE">
        <w:t>]</w:t>
      </w:r>
      <w:r w:rsidRPr="00C778FE">
        <w:rPr>
          <w:vertAlign w:val="superscript"/>
        </w:rPr>
        <w:t>10−</w:t>
      </w:r>
      <w:r w:rsidRPr="00C778FE">
        <w:t>, H</w:t>
      </w:r>
      <w:r w:rsidRPr="00C778FE">
        <w:rPr>
          <w:vertAlign w:val="subscript"/>
        </w:rPr>
        <w:t>4</w:t>
      </w:r>
      <w:r w:rsidRPr="00C778FE">
        <w:t>mpbpy = 2,2′-bipyridine-4,4′-bis(methane-phosphonic acid), and H</w:t>
      </w:r>
      <w:r w:rsidRPr="00C778FE">
        <w:rPr>
          <w:vertAlign w:val="subscript"/>
        </w:rPr>
        <w:t>4</w:t>
      </w:r>
      <w:r w:rsidRPr="00C778FE">
        <w:t>pbpy = 2,2′-bipyridine-4,4′-bis(phosphonic acid)</w:t>
      </w:r>
      <w:r w:rsidRPr="00C778FE">
        <w:rPr>
          <w:bCs/>
        </w:rPr>
        <w:t xml:space="preserve">), </w:t>
      </w:r>
      <w:r w:rsidRPr="00C778FE">
        <w:t xml:space="preserve">by assembling two Ru(II)-based molecular photosensitizers (PSs), </w:t>
      </w:r>
      <w:r w:rsidRPr="00C778FE">
        <w:rPr>
          <w:b/>
        </w:rPr>
        <w:t>RuP</w:t>
      </w:r>
      <w:r w:rsidRPr="00C778FE">
        <w:rPr>
          <w:b/>
          <w:bCs/>
          <w:vertAlign w:val="superscript"/>
        </w:rPr>
        <w:t>6</w:t>
      </w:r>
      <w:r w:rsidRPr="00C778FE">
        <w:t xml:space="preserve"> and </w:t>
      </w:r>
      <w:r w:rsidRPr="00C778FE">
        <w:rPr>
          <w:b/>
        </w:rPr>
        <w:t>RuCP</w:t>
      </w:r>
      <w:r w:rsidRPr="00C778FE">
        <w:rPr>
          <w:b/>
          <w:bCs/>
          <w:vertAlign w:val="superscript"/>
        </w:rPr>
        <w:t>6</w:t>
      </w:r>
      <w:r w:rsidRPr="00C778FE">
        <w:t>,</w:t>
      </w:r>
      <w:r w:rsidR="0059555E" w:rsidRPr="00C778FE">
        <w:rPr>
          <w:vertAlign w:val="superscript"/>
        </w:rPr>
        <w:t>20</w:t>
      </w:r>
      <w:r w:rsidRPr="00C778FE">
        <w:t xml:space="preserve"> and a visible-light-transparent RM, </w:t>
      </w:r>
      <w:r w:rsidRPr="00C778FE">
        <w:rPr>
          <w:b/>
        </w:rPr>
        <w:t>HCRu</w:t>
      </w:r>
      <w:r w:rsidRPr="00C778FE">
        <w:t>,</w:t>
      </w:r>
      <w:r w:rsidRPr="00C778FE">
        <w:rPr>
          <w:vertAlign w:val="superscript"/>
        </w:rPr>
        <w:t>2</w:t>
      </w:r>
      <w:r w:rsidR="0059555E" w:rsidRPr="00C778FE">
        <w:rPr>
          <w:vertAlign w:val="superscript"/>
        </w:rPr>
        <w:t>1</w:t>
      </w:r>
      <w:r w:rsidRPr="00C778FE">
        <w:t xml:space="preserve"> on the surface of a Pt-TiO</w:t>
      </w:r>
      <w:r w:rsidRPr="00C778FE">
        <w:rPr>
          <w:vertAlign w:val="subscript"/>
        </w:rPr>
        <w:t>2</w:t>
      </w:r>
      <w:r w:rsidRPr="00C778FE">
        <w:t xml:space="preserve"> nanoparticle catalyst via water-stable Zr</w:t>
      </w:r>
      <w:r w:rsidRPr="00C778FE">
        <w:rPr>
          <w:vertAlign w:val="superscript"/>
        </w:rPr>
        <w:t>4+</w:t>
      </w:r>
      <w:r w:rsidRPr="00C778FE">
        <w:t>–PO</w:t>
      </w:r>
      <w:r w:rsidRPr="00C778FE">
        <w:rPr>
          <w:vertAlign w:val="subscript"/>
        </w:rPr>
        <w:t>3</w:t>
      </w:r>
      <w:r w:rsidRPr="00C778FE">
        <w:t xml:space="preserve"> coordination bonds (Figure 1). Among reported dye-sensitized TiO</w:t>
      </w:r>
      <w:r w:rsidRPr="00C778FE">
        <w:rPr>
          <w:vertAlign w:val="subscript"/>
        </w:rPr>
        <w:t>2</w:t>
      </w:r>
      <w:r w:rsidRPr="00C778FE">
        <w:t xml:space="preserve"> photocatalysts, </w:t>
      </w:r>
      <w:r w:rsidRPr="00C778FE">
        <w:rPr>
          <w:b/>
        </w:rPr>
        <w:t>PRCC-1</w:t>
      </w:r>
      <w:r w:rsidRPr="00C778FE">
        <w:t xml:space="preserve"> exhibits the highest initial apparent quantum yield (</w:t>
      </w:r>
      <w:r w:rsidRPr="00C778FE">
        <w:rPr>
          <w:i/>
          <w:iCs/>
        </w:rPr>
        <w:t>i</w:t>
      </w:r>
      <w:r w:rsidRPr="00C778FE">
        <w:t>AQY) for H</w:t>
      </w:r>
      <w:r w:rsidRPr="00C778FE">
        <w:rPr>
          <w:vertAlign w:val="subscript"/>
        </w:rPr>
        <w:t>2</w:t>
      </w:r>
      <w:r w:rsidRPr="00C778FE">
        <w:t xml:space="preserve"> production in the first 1 h of irradiation (</w:t>
      </w:r>
      <w:r w:rsidRPr="00C778FE">
        <w:rPr>
          <w:i/>
        </w:rPr>
        <w:t>i</w:t>
      </w:r>
      <w:r w:rsidRPr="00C778FE">
        <w:t>AQY = 2.23%) in a redox-reversible electron donor (RrED)</w:t>
      </w:r>
      <w:r w:rsidR="00856C75" w:rsidRPr="00C778FE">
        <w:t xml:space="preserve"> aqueous </w:t>
      </w:r>
      <w:r w:rsidR="00856C75" w:rsidRPr="00C778FE">
        <w:lastRenderedPageBreak/>
        <w:t>solution</w:t>
      </w:r>
      <w:r w:rsidRPr="00C778FE">
        <w:t>,</w:t>
      </w:r>
      <w:r w:rsidR="0059555E" w:rsidRPr="00C778FE">
        <w:rPr>
          <w:vertAlign w:val="superscript"/>
        </w:rPr>
        <w:t>22-24</w:t>
      </w:r>
      <w:r w:rsidRPr="00C778FE">
        <w:t xml:space="preserve"> which was ascribed to the superior charge separation behavior of the dual-dye layer and the electron-mediating effect of the surface-immobilized </w:t>
      </w:r>
      <w:r w:rsidRPr="00C778FE">
        <w:rPr>
          <w:b/>
        </w:rPr>
        <w:t>HCRu</w:t>
      </w:r>
      <w:r w:rsidRPr="00C778FE">
        <w:t xml:space="preserve">. Furthermore, the </w:t>
      </w:r>
      <w:r w:rsidRPr="00C778FE">
        <w:rPr>
          <w:b/>
        </w:rPr>
        <w:t>PRCC-1</w:t>
      </w:r>
      <w:r w:rsidRPr="00C778FE">
        <w:rPr>
          <w:bCs/>
        </w:rPr>
        <w:t xml:space="preserve"> catalyst achieved </w:t>
      </w:r>
      <w:r w:rsidRPr="00C778FE">
        <w:t>photocatalytic H</w:t>
      </w:r>
      <w:r w:rsidRPr="00C778FE">
        <w:rPr>
          <w:vertAlign w:val="subscript"/>
        </w:rPr>
        <w:t>2</w:t>
      </w:r>
      <w:r w:rsidRPr="00C778FE">
        <w:t xml:space="preserve"> production with a sufficiently high </w:t>
      </w:r>
      <w:r w:rsidRPr="00C778FE">
        <w:rPr>
          <w:i/>
        </w:rPr>
        <w:t>i</w:t>
      </w:r>
      <w:r w:rsidRPr="00C778FE">
        <w:t>AQY (1.10%) in the presence of a hydrogen atom mediator, hydroquinone sulfonate.</w:t>
      </w:r>
    </w:p>
    <w:p w14:paraId="773571D0" w14:textId="2BFD69BD" w:rsidR="00733C5A" w:rsidRPr="00C778FE" w:rsidRDefault="00A24098" w:rsidP="00FA7FC5">
      <w:pPr>
        <w:pStyle w:val="TAMainText"/>
      </w:pPr>
      <w:r w:rsidRPr="00C778FE">
        <w:rPr>
          <w:b/>
        </w:rPr>
        <w:t>PRCC-1</w:t>
      </w:r>
      <w:r w:rsidRPr="00C778FE">
        <w:t xml:space="preserve"> was synthesized by immersing </w:t>
      </w:r>
      <w:r w:rsidR="00611147" w:rsidRPr="00C778FE">
        <w:t xml:space="preserve">a </w:t>
      </w:r>
      <w:r w:rsidRPr="00C778FE">
        <w:t>dual-dye-sensitized photocatalyst</w:t>
      </w:r>
      <w:r w:rsidR="00611147" w:rsidRPr="00C778FE">
        <w:t>,</w:t>
      </w:r>
      <w:r w:rsidRPr="00C778FE">
        <w:rPr>
          <w:b/>
        </w:rPr>
        <w:t xml:space="preserve"> </w:t>
      </w:r>
      <w:r w:rsidRPr="00C778FE">
        <w:t>Zr-</w:t>
      </w:r>
      <w:r w:rsidRPr="00C778FE">
        <w:rPr>
          <w:b/>
          <w:bCs/>
        </w:rPr>
        <w:t>RuCP</w:t>
      </w:r>
      <w:r w:rsidRPr="00C778FE">
        <w:rPr>
          <w:b/>
          <w:vertAlign w:val="superscript"/>
        </w:rPr>
        <w:t>6</w:t>
      </w:r>
      <w:r w:rsidRPr="00C778FE">
        <w:t>-Zr-</w:t>
      </w:r>
      <w:r w:rsidRPr="00C778FE">
        <w:rPr>
          <w:b/>
        </w:rPr>
        <w:t>RuP</w:t>
      </w:r>
      <w:r w:rsidRPr="00C778FE">
        <w:rPr>
          <w:b/>
          <w:vertAlign w:val="superscript"/>
        </w:rPr>
        <w:t>6</w:t>
      </w:r>
      <w:r w:rsidRPr="00C778FE">
        <w:t>@Pt-TiO</w:t>
      </w:r>
      <w:r w:rsidRPr="00C778FE">
        <w:rPr>
          <w:vertAlign w:val="subscript"/>
        </w:rPr>
        <w:t>2</w:t>
      </w:r>
      <w:r w:rsidR="00611147" w:rsidRPr="00C778FE">
        <w:rPr>
          <w:b/>
        </w:rPr>
        <w:t xml:space="preserve"> </w:t>
      </w:r>
      <w:r w:rsidR="00611147" w:rsidRPr="00C778FE">
        <w:rPr>
          <w:bCs/>
        </w:rPr>
        <w:t>(</w:t>
      </w:r>
      <w:r w:rsidR="00611147" w:rsidRPr="00C778FE">
        <w:rPr>
          <w:b/>
        </w:rPr>
        <w:t>DDSP</w:t>
      </w:r>
      <w:r w:rsidRPr="00C778FE">
        <w:t>)</w:t>
      </w:r>
      <w:r w:rsidR="00611147" w:rsidRPr="00C778FE">
        <w:t>,</w:t>
      </w:r>
      <w:r w:rsidRPr="00C778FE">
        <w:rPr>
          <w:vertAlign w:val="superscript"/>
        </w:rPr>
        <w:t>2</w:t>
      </w:r>
      <w:r w:rsidR="0059555E" w:rsidRPr="00C778FE">
        <w:rPr>
          <w:vertAlign w:val="superscript"/>
        </w:rPr>
        <w:t>5</w:t>
      </w:r>
      <w:r w:rsidRPr="00C778FE">
        <w:t xml:space="preserve"> in </w:t>
      </w:r>
      <w:r w:rsidR="00611147" w:rsidRPr="00C778FE">
        <w:t xml:space="preserve">an </w:t>
      </w:r>
      <w:r w:rsidRPr="00C778FE">
        <w:t xml:space="preserve">aqueous </w:t>
      </w:r>
      <w:r w:rsidR="00611147" w:rsidRPr="00C778FE">
        <w:rPr>
          <w:b/>
          <w:bCs/>
        </w:rPr>
        <w:t>HCRu</w:t>
      </w:r>
      <w:r w:rsidR="00611147" w:rsidRPr="00C778FE">
        <w:t xml:space="preserve"> </w:t>
      </w:r>
      <w:r w:rsidRPr="00C778FE">
        <w:t xml:space="preserve">solution (see Supporting Information for details). The Ru Kα </w:t>
      </w:r>
      <w:r w:rsidR="00865421" w:rsidRPr="00C778FE">
        <w:t xml:space="preserve">X-ray fluorescence (XRF) </w:t>
      </w:r>
      <w:r w:rsidRPr="00C778FE">
        <w:t xml:space="preserve">peak of </w:t>
      </w:r>
      <w:r w:rsidRPr="00C778FE">
        <w:rPr>
          <w:b/>
        </w:rPr>
        <w:t>PRCC-1</w:t>
      </w:r>
      <w:r w:rsidR="00865421" w:rsidRPr="00C778FE">
        <w:t xml:space="preserve"> was stronger</w:t>
      </w:r>
      <w:r w:rsidRPr="00C778FE">
        <w:t xml:space="preserve"> than that of </w:t>
      </w:r>
      <w:r w:rsidRPr="00C778FE">
        <w:rPr>
          <w:b/>
        </w:rPr>
        <w:t>DDSP</w:t>
      </w:r>
      <w:r w:rsidR="00865421" w:rsidRPr="00C778FE">
        <w:rPr>
          <w:bCs/>
        </w:rPr>
        <w:t>,</w:t>
      </w:r>
      <w:r w:rsidRPr="00C778FE">
        <w:t xml:space="preserve"> suggest</w:t>
      </w:r>
      <w:r w:rsidR="00865421" w:rsidRPr="00C778FE">
        <w:t>ing</w:t>
      </w:r>
      <w:r w:rsidRPr="00C778FE">
        <w:t xml:space="preserve"> the successful immobilization of electron-mediating </w:t>
      </w:r>
      <w:r w:rsidRPr="00C778FE">
        <w:rPr>
          <w:b/>
        </w:rPr>
        <w:t>HCRu</w:t>
      </w:r>
      <w:r w:rsidRPr="00C778FE">
        <w:t xml:space="preserve"> to the Zr</w:t>
      </w:r>
      <w:r w:rsidRPr="00C778FE">
        <w:rPr>
          <w:vertAlign w:val="superscript"/>
        </w:rPr>
        <w:t>4+</w:t>
      </w:r>
      <w:r w:rsidRPr="00C778FE">
        <w:t xml:space="preserve"> </w:t>
      </w:r>
      <w:r w:rsidR="00865421" w:rsidRPr="00C778FE">
        <w:t xml:space="preserve">surface </w:t>
      </w:r>
      <w:r w:rsidRPr="00C778FE">
        <w:t xml:space="preserve">sites of </w:t>
      </w:r>
      <w:r w:rsidRPr="00C778FE">
        <w:rPr>
          <w:b/>
        </w:rPr>
        <w:t>DDSP</w:t>
      </w:r>
      <w:r w:rsidRPr="00C778FE">
        <w:t xml:space="preserve"> (Figure S2 and Table S2). </w:t>
      </w:r>
      <w:r w:rsidR="007A4DDD" w:rsidRPr="00C778FE">
        <w:t xml:space="preserve">During </w:t>
      </w:r>
      <w:r w:rsidR="001E0400" w:rsidRPr="00C778FE">
        <w:t xml:space="preserve">photocatalytic </w:t>
      </w:r>
      <w:r w:rsidR="00A01470" w:rsidRPr="00C778FE">
        <w:t>H</w:t>
      </w:r>
      <w:r w:rsidR="00A01470" w:rsidRPr="00C778FE">
        <w:rPr>
          <w:vertAlign w:val="subscript"/>
        </w:rPr>
        <w:t>2</w:t>
      </w:r>
      <w:r w:rsidR="005E3C33" w:rsidRPr="00C778FE">
        <w:t xml:space="preserve"> evolution experiments in </w:t>
      </w:r>
      <w:r w:rsidR="00865421" w:rsidRPr="00C778FE">
        <w:t xml:space="preserve">aqueous </w:t>
      </w:r>
      <w:r w:rsidRPr="00C778FE">
        <w:t>[Co(bpy)</w:t>
      </w:r>
      <w:r w:rsidRPr="00C778FE">
        <w:rPr>
          <w:vertAlign w:val="subscript"/>
        </w:rPr>
        <w:t>3</w:t>
      </w:r>
      <w:r w:rsidRPr="00C778FE">
        <w:t>]SO</w:t>
      </w:r>
      <w:r w:rsidRPr="00C778FE">
        <w:rPr>
          <w:vertAlign w:val="subscript"/>
        </w:rPr>
        <w:t>4</w:t>
      </w:r>
      <w:r w:rsidRPr="00C778FE">
        <w:t xml:space="preserve"> </w:t>
      </w:r>
      <w:r w:rsidR="005E3C33" w:rsidRPr="00C778FE">
        <w:t>(16.4 mM)</w:t>
      </w:r>
      <w:r w:rsidRPr="00C778FE">
        <w:t xml:space="preserve">, which </w:t>
      </w:r>
      <w:r w:rsidR="007A4DDD" w:rsidRPr="00C778FE">
        <w:t xml:space="preserve">is </w:t>
      </w:r>
      <w:r w:rsidR="0032017B" w:rsidRPr="00C778FE">
        <w:t xml:space="preserve">a </w:t>
      </w:r>
      <w:r w:rsidRPr="00C778FE">
        <w:t xml:space="preserve">widely used RM in Z-scheme </w:t>
      </w:r>
      <w:r w:rsidR="00865421" w:rsidRPr="00C778FE">
        <w:t>water-</w:t>
      </w:r>
      <w:r w:rsidRPr="00C778FE">
        <w:t xml:space="preserve">splitting </w:t>
      </w:r>
      <w:r w:rsidR="007A4DDD" w:rsidRPr="00C778FE">
        <w:t>photocatalysis</w:t>
      </w:r>
      <w:r w:rsidRPr="00C778FE">
        <w:t>,</w:t>
      </w:r>
      <w:r w:rsidRPr="00C778FE">
        <w:rPr>
          <w:vertAlign w:val="superscript"/>
        </w:rPr>
        <w:t>2</w:t>
      </w:r>
      <w:r w:rsidR="0059555E" w:rsidRPr="00C778FE">
        <w:rPr>
          <w:vertAlign w:val="superscript"/>
        </w:rPr>
        <w:t>6</w:t>
      </w:r>
      <w:r w:rsidRPr="00C778FE">
        <w:t xml:space="preserve"> </w:t>
      </w:r>
      <w:r w:rsidR="007A4DDD" w:rsidRPr="00C778FE">
        <w:t xml:space="preserve">the </w:t>
      </w:r>
      <w:r w:rsidR="00A01470" w:rsidRPr="00C778FE">
        <w:t>H</w:t>
      </w:r>
      <w:r w:rsidR="00A01470" w:rsidRPr="00C778FE">
        <w:rPr>
          <w:vertAlign w:val="subscript"/>
        </w:rPr>
        <w:t>2</w:t>
      </w:r>
      <w:r w:rsidR="007A4DDD" w:rsidRPr="00C778FE">
        <w:t xml:space="preserve"> production</w:t>
      </w:r>
      <w:r w:rsidRPr="00C778FE">
        <w:t xml:space="preserve"> and turnover number per PS</w:t>
      </w:r>
      <w:r w:rsidR="007A4DDD" w:rsidRPr="00C778FE">
        <w:t xml:space="preserve"> </w:t>
      </w:r>
      <w:r w:rsidR="00333D2F" w:rsidRPr="00C778FE">
        <w:rPr>
          <w:rFonts w:hint="eastAsia"/>
          <w:lang w:eastAsia="ja-JP"/>
        </w:rPr>
        <w:t>m</w:t>
      </w:r>
      <w:r w:rsidR="00333D2F" w:rsidRPr="00C778FE">
        <w:rPr>
          <w:lang w:eastAsia="ja-JP"/>
        </w:rPr>
        <w:t xml:space="preserve">olecule </w:t>
      </w:r>
      <w:r w:rsidR="007A4DDD" w:rsidRPr="00C778FE">
        <w:t>(PS TON)</w:t>
      </w:r>
      <w:r w:rsidRPr="00C778FE">
        <w:t xml:space="preserve"> </w:t>
      </w:r>
      <w:r w:rsidR="007A4DDD" w:rsidRPr="00C778FE">
        <w:t>of</w:t>
      </w:r>
      <w:r w:rsidRPr="00C778FE">
        <w:t xml:space="preserve"> </w:t>
      </w:r>
      <w:r w:rsidR="007A4DDD" w:rsidRPr="00C778FE">
        <w:rPr>
          <w:b/>
        </w:rPr>
        <w:t>PRCC-1</w:t>
      </w:r>
      <w:r w:rsidR="007A4DDD" w:rsidRPr="00C778FE">
        <w:t xml:space="preserve"> (28.9 µmol and 116, respectively) were approximately 1.9-times greater </w:t>
      </w:r>
      <w:r w:rsidRPr="00C778FE">
        <w:t xml:space="preserve">than </w:t>
      </w:r>
      <w:r w:rsidR="007A4DDD" w:rsidRPr="00C778FE">
        <w:t xml:space="preserve">those of </w:t>
      </w:r>
      <w:r w:rsidRPr="00C778FE">
        <w:rPr>
          <w:b/>
        </w:rPr>
        <w:t>DDSP</w:t>
      </w:r>
      <w:r w:rsidRPr="00C778FE">
        <w:t xml:space="preserve"> (15.2 µmol and 60.7</w:t>
      </w:r>
      <w:r w:rsidR="00865421" w:rsidRPr="00C778FE">
        <w:t>, respectively</w:t>
      </w:r>
      <w:r w:rsidR="007A4DDD" w:rsidRPr="00C778FE">
        <w:t>)</w:t>
      </w:r>
      <w:r w:rsidR="00A01470" w:rsidRPr="00C778FE">
        <w:t xml:space="preserve"> after 6 h of irradiation</w:t>
      </w:r>
      <w:r w:rsidRPr="00C778FE">
        <w:t xml:space="preserve"> </w:t>
      </w:r>
      <w:r w:rsidR="007A4DDD" w:rsidRPr="00C778FE">
        <w:t>(</w:t>
      </w:r>
      <w:r w:rsidRPr="00C778FE">
        <w:t>Figure 2</w:t>
      </w:r>
      <w:r w:rsidR="00865421" w:rsidRPr="00C778FE">
        <w:t xml:space="preserve"> and</w:t>
      </w:r>
      <w:r w:rsidRPr="00C778FE">
        <w:t xml:space="preserve"> Table 1). </w:t>
      </w:r>
      <w:r w:rsidR="00A35E65" w:rsidRPr="00C778FE">
        <w:t>The total amount of Ru(II) dye in the solution was constant (100 µM), and no H</w:t>
      </w:r>
      <w:r w:rsidR="00A35E65" w:rsidRPr="00C778FE">
        <w:rPr>
          <w:vertAlign w:val="subscript"/>
        </w:rPr>
        <w:t>2</w:t>
      </w:r>
      <w:r w:rsidR="00A35E65" w:rsidRPr="00C778FE">
        <w:t xml:space="preserve"> evolution was observed in the absence of Ru(II) dye or light (Table S3). </w:t>
      </w:r>
      <w:r w:rsidRPr="00C778FE">
        <w:t xml:space="preserve">The estimated </w:t>
      </w:r>
      <w:r w:rsidRPr="00C778FE">
        <w:rPr>
          <w:i/>
        </w:rPr>
        <w:t>i</w:t>
      </w:r>
      <w:r w:rsidRPr="00C778FE">
        <w:t xml:space="preserve">AQY for </w:t>
      </w:r>
      <w:r w:rsidRPr="00C778FE">
        <w:rPr>
          <w:b/>
        </w:rPr>
        <w:t>PRCC-1</w:t>
      </w:r>
      <w:r w:rsidRPr="00C778FE">
        <w:t xml:space="preserve"> reached 2.23%, which was twice as high as that </w:t>
      </w:r>
      <w:r w:rsidR="00865421" w:rsidRPr="00C778FE">
        <w:t xml:space="preserve">for </w:t>
      </w:r>
      <w:r w:rsidRPr="00C778FE">
        <w:rPr>
          <w:b/>
        </w:rPr>
        <w:t>DDSP</w:t>
      </w:r>
      <w:r w:rsidR="00A01470" w:rsidRPr="00C778FE">
        <w:t>;</w:t>
      </w:r>
      <w:r w:rsidR="00733C5A" w:rsidRPr="00C778FE">
        <w:t xml:space="preserve"> </w:t>
      </w:r>
      <w:r w:rsidR="00A01470" w:rsidRPr="00C778FE">
        <w:t>m</w:t>
      </w:r>
      <w:r w:rsidR="00733C5A" w:rsidRPr="00C778FE">
        <w:t xml:space="preserve">oreover, this value </w:t>
      </w:r>
      <w:r w:rsidRPr="00C778FE">
        <w:t xml:space="preserve">is the highest </w:t>
      </w:r>
      <w:r w:rsidR="00A01470" w:rsidRPr="00C778FE">
        <w:rPr>
          <w:i/>
        </w:rPr>
        <w:t>i</w:t>
      </w:r>
      <w:r w:rsidR="00A01470" w:rsidRPr="00C778FE">
        <w:t xml:space="preserve">AQY </w:t>
      </w:r>
      <w:r w:rsidRPr="00C778FE">
        <w:t xml:space="preserve">recorded </w:t>
      </w:r>
      <w:r w:rsidR="00733C5A" w:rsidRPr="00C778FE">
        <w:t>for a</w:t>
      </w:r>
      <w:r w:rsidRPr="00C778FE">
        <w:t xml:space="preserve"> dye-sensitized TiO</w:t>
      </w:r>
      <w:r w:rsidRPr="00C778FE">
        <w:rPr>
          <w:vertAlign w:val="subscript"/>
        </w:rPr>
        <w:t>2</w:t>
      </w:r>
      <w:r w:rsidRPr="00C778FE">
        <w:t xml:space="preserve"> photocatalyst with </w:t>
      </w:r>
      <w:r w:rsidR="005E3C33" w:rsidRPr="00C778FE">
        <w:t>a</w:t>
      </w:r>
      <w:r w:rsidR="00A35E65" w:rsidRPr="00C778FE">
        <w:t>n aqueous</w:t>
      </w:r>
      <w:r w:rsidR="005E3C33" w:rsidRPr="00C778FE">
        <w:t xml:space="preserve"> </w:t>
      </w:r>
      <w:r w:rsidRPr="00C778FE">
        <w:t>RrED</w:t>
      </w:r>
      <w:r w:rsidR="00A35E65" w:rsidRPr="00C778FE">
        <w:t xml:space="preserve"> </w:t>
      </w:r>
      <w:r w:rsidRPr="00C778FE">
        <w:t>so far. After 6 h of reaction, the solution pH had increased to 3.0, suggesting that the proton source for H</w:t>
      </w:r>
      <w:r w:rsidRPr="00C778FE">
        <w:rPr>
          <w:vertAlign w:val="subscript"/>
        </w:rPr>
        <w:t>2</w:t>
      </w:r>
      <w:r w:rsidRPr="00C778FE">
        <w:t xml:space="preserve"> production was water. </w:t>
      </w:r>
    </w:p>
    <w:p w14:paraId="69F44806" w14:textId="77777777" w:rsidR="00B7496D" w:rsidRPr="00C778FE" w:rsidRDefault="00B7496D" w:rsidP="00B7496D">
      <w:pPr>
        <w:pStyle w:val="VAFigureCaption"/>
      </w:pPr>
      <w:r w:rsidRPr="00C778FE">
        <w:rPr>
          <w:noProof/>
        </w:rPr>
        <w:drawing>
          <wp:inline distT="0" distB="0" distL="0" distR="0" wp14:anchorId="3EAE54E4" wp14:editId="40FB78DC">
            <wp:extent cx="3023616" cy="3896868"/>
            <wp:effectExtent l="0" t="0" r="5715" b="8890"/>
            <wp:docPr id="2" name="図 4" descr="グラフ, 散布図, バブル チャー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4" descr="グラフ, 散布図, バブル チャート&#10;&#10;自動的に生成された説明"/>
                    <pic:cNvPicPr/>
                  </pic:nvPicPr>
                  <pic:blipFill>
                    <a:blip r:embed="rId10"/>
                    <a:stretch>
                      <a:fillRect/>
                    </a:stretch>
                  </pic:blipFill>
                  <pic:spPr>
                    <a:xfrm>
                      <a:off x="0" y="0"/>
                      <a:ext cx="3023616" cy="3896868"/>
                    </a:xfrm>
                    <a:prstGeom prst="rect">
                      <a:avLst/>
                    </a:prstGeom>
                  </pic:spPr>
                </pic:pic>
              </a:graphicData>
            </a:graphic>
          </wp:inline>
        </w:drawing>
      </w:r>
    </w:p>
    <w:p w14:paraId="5B7BFD39" w14:textId="77777777" w:rsidR="00B7496D" w:rsidRPr="00C778FE" w:rsidRDefault="00B7496D" w:rsidP="00B7496D">
      <w:pPr>
        <w:pStyle w:val="VAFigureCaption"/>
      </w:pPr>
      <w:r w:rsidRPr="00C778FE">
        <w:t>Figure 2. Photocatalytic H</w:t>
      </w:r>
      <w:r w:rsidRPr="00C778FE">
        <w:rPr>
          <w:vertAlign w:val="subscript"/>
        </w:rPr>
        <w:t>2</w:t>
      </w:r>
      <w:r w:rsidRPr="00C778FE">
        <w:t xml:space="preserve"> production driven by </w:t>
      </w:r>
      <w:r w:rsidRPr="00C778FE">
        <w:rPr>
          <w:b/>
        </w:rPr>
        <w:t xml:space="preserve">PRCC-1 </w:t>
      </w:r>
      <w:r w:rsidRPr="00C778FE">
        <w:t>(blue closed circles)</w:t>
      </w:r>
      <w:r w:rsidRPr="00C778FE">
        <w:rPr>
          <w:vertAlign w:val="subscript"/>
        </w:rPr>
        <w:t>,</w:t>
      </w:r>
      <w:r w:rsidRPr="00C778FE">
        <w:t xml:space="preserve"> </w:t>
      </w:r>
      <w:r w:rsidRPr="00C778FE">
        <w:rPr>
          <w:b/>
        </w:rPr>
        <w:t xml:space="preserve">PRCC-2 </w:t>
      </w:r>
      <w:r w:rsidRPr="00C778FE">
        <w:t>(black closed circles),</w:t>
      </w:r>
      <w:r w:rsidRPr="00C778FE">
        <w:rPr>
          <w:b/>
        </w:rPr>
        <w:t xml:space="preserve"> </w:t>
      </w:r>
      <w:r w:rsidRPr="00C778FE">
        <w:t xml:space="preserve">and </w:t>
      </w:r>
      <w:r w:rsidRPr="00C778FE">
        <w:rPr>
          <w:b/>
        </w:rPr>
        <w:t>DDSP</w:t>
      </w:r>
      <w:r w:rsidRPr="00C778FE">
        <w:t xml:space="preserve"> (red open squares) in the presence of (a) 16.4 mM [Co(bpy)</w:t>
      </w:r>
      <w:r w:rsidRPr="00C778FE">
        <w:rPr>
          <w:vertAlign w:val="subscript"/>
        </w:rPr>
        <w:t>3</w:t>
      </w:r>
      <w:r w:rsidRPr="00C778FE">
        <w:t>]SO</w:t>
      </w:r>
      <w:r w:rsidRPr="00C778FE">
        <w:rPr>
          <w:vertAlign w:val="subscript"/>
        </w:rPr>
        <w:t>4</w:t>
      </w:r>
      <w:r w:rsidRPr="00C778FE">
        <w:t xml:space="preserve"> and (b) 0.5 M H</w:t>
      </w:r>
      <w:r w:rsidRPr="00C778FE">
        <w:rPr>
          <w:vertAlign w:val="subscript"/>
        </w:rPr>
        <w:t>2</w:t>
      </w:r>
      <w:r w:rsidRPr="00C778FE">
        <w:t>QSK as the electron donor in HCl aqueous solution (initial pH = 2.0) under blue light irradiation (</w:t>
      </w:r>
      <w:r w:rsidRPr="00C778FE">
        <w:rPr>
          <w:i/>
        </w:rPr>
        <w:t>λ</w:t>
      </w:r>
      <w:r w:rsidRPr="00C778FE">
        <w:t xml:space="preserve"> = 460 ± 15 nm; 70 mW). The Ru(II) dye concentration was 100 μM for all reactions. </w:t>
      </w:r>
    </w:p>
    <w:p w14:paraId="6EE5274B" w14:textId="4B0BD8EA" w:rsidR="00A24098" w:rsidRPr="00C778FE" w:rsidRDefault="00A24098" w:rsidP="00D444D5">
      <w:pPr>
        <w:pStyle w:val="VDTableTitle"/>
      </w:pPr>
      <w:r w:rsidRPr="00C778FE">
        <w:t>Table 1. Results of photocatalytic H</w:t>
      </w:r>
      <w:r w:rsidRPr="00C778FE">
        <w:rPr>
          <w:vertAlign w:val="subscript"/>
        </w:rPr>
        <w:t>2</w:t>
      </w:r>
      <w:r w:rsidRPr="00C778FE">
        <w:t xml:space="preserve"> production experiments in HCl aqueous solution (pH = 2).</w:t>
      </w:r>
    </w:p>
    <w:tbl>
      <w:tblPr>
        <w:tblStyle w:val="af0"/>
        <w:tblW w:w="4627" w:type="dxa"/>
        <w:tblLook w:val="04A0" w:firstRow="1" w:lastRow="0" w:firstColumn="1" w:lastColumn="0" w:noHBand="0" w:noVBand="1"/>
      </w:tblPr>
      <w:tblGrid>
        <w:gridCol w:w="851"/>
        <w:gridCol w:w="1343"/>
        <w:gridCol w:w="783"/>
        <w:gridCol w:w="851"/>
        <w:gridCol w:w="799"/>
      </w:tblGrid>
      <w:tr w:rsidR="00BC0766" w:rsidRPr="00C778FE" w14:paraId="57866436" w14:textId="77777777" w:rsidTr="001552FE">
        <w:trPr>
          <w:trHeight w:val="558"/>
        </w:trPr>
        <w:tc>
          <w:tcPr>
            <w:tcW w:w="851" w:type="dxa"/>
            <w:tcBorders>
              <w:top w:val="single" w:sz="4" w:space="0" w:color="auto"/>
              <w:left w:val="nil"/>
              <w:bottom w:val="single" w:sz="4" w:space="0" w:color="auto"/>
              <w:right w:val="nil"/>
            </w:tcBorders>
            <w:vAlign w:val="center"/>
          </w:tcPr>
          <w:p w14:paraId="0C3E441B" w14:textId="4BC7760E" w:rsidR="001552FE" w:rsidRPr="00C778FE" w:rsidRDefault="00A24098" w:rsidP="00FE79BB">
            <w:pPr>
              <w:pStyle w:val="TCTableBody"/>
            </w:pPr>
            <w:bookmarkStart w:id="2" w:name="_Hlk121739925"/>
            <w:r w:rsidRPr="00C778FE">
              <w:t>Photo</w:t>
            </w:r>
            <w:r w:rsidR="001552FE" w:rsidRPr="00C778FE">
              <w:t>-</w:t>
            </w:r>
          </w:p>
          <w:p w14:paraId="13696403" w14:textId="28D4F16A" w:rsidR="00A24098" w:rsidRPr="00C778FE" w:rsidRDefault="00A24098" w:rsidP="00FE79BB">
            <w:pPr>
              <w:pStyle w:val="TCTableBody"/>
            </w:pPr>
            <w:r w:rsidRPr="00C778FE">
              <w:t>catalyst</w:t>
            </w:r>
          </w:p>
        </w:tc>
        <w:tc>
          <w:tcPr>
            <w:tcW w:w="1343" w:type="dxa"/>
            <w:tcBorders>
              <w:top w:val="single" w:sz="4" w:space="0" w:color="auto"/>
              <w:left w:val="nil"/>
              <w:bottom w:val="single" w:sz="4" w:space="0" w:color="auto"/>
              <w:right w:val="nil"/>
            </w:tcBorders>
            <w:vAlign w:val="center"/>
          </w:tcPr>
          <w:p w14:paraId="41C64570" w14:textId="77777777" w:rsidR="00856C75" w:rsidRPr="00C778FE" w:rsidRDefault="00A24098" w:rsidP="00FE79BB">
            <w:pPr>
              <w:pStyle w:val="TCTableBody"/>
            </w:pPr>
            <w:r w:rsidRPr="00C778FE">
              <w:t>Donor</w:t>
            </w:r>
            <w:r w:rsidR="005E4794" w:rsidRPr="00C778FE">
              <w:t>,</w:t>
            </w:r>
            <w:r w:rsidR="00DD604A" w:rsidRPr="00C778FE">
              <w:t xml:space="preserve"> </w:t>
            </w:r>
          </w:p>
          <w:p w14:paraId="0BF594C8" w14:textId="7ECE0C99" w:rsidR="00A24098" w:rsidRPr="00C778FE" w:rsidRDefault="00DD604A" w:rsidP="00FE79BB">
            <w:pPr>
              <w:pStyle w:val="TCTableBody"/>
            </w:pPr>
            <w:r w:rsidRPr="00C778FE">
              <w:t>c</w:t>
            </w:r>
            <w:r w:rsidR="00A24098" w:rsidRPr="00C778FE">
              <w:t>oncentration</w:t>
            </w:r>
          </w:p>
        </w:tc>
        <w:tc>
          <w:tcPr>
            <w:tcW w:w="783" w:type="dxa"/>
            <w:tcBorders>
              <w:top w:val="single" w:sz="4" w:space="0" w:color="auto"/>
              <w:left w:val="nil"/>
              <w:bottom w:val="single" w:sz="4" w:space="0" w:color="auto"/>
              <w:right w:val="nil"/>
            </w:tcBorders>
            <w:vAlign w:val="center"/>
          </w:tcPr>
          <w:p w14:paraId="675971A1" w14:textId="77777777" w:rsidR="00A24098" w:rsidRPr="00C778FE" w:rsidRDefault="00A24098" w:rsidP="00FE79BB">
            <w:pPr>
              <w:pStyle w:val="TCTableBody"/>
            </w:pPr>
            <w:r w:rsidRPr="00C778FE">
              <w:t>H</w:t>
            </w:r>
            <w:r w:rsidRPr="00C778FE">
              <w:rPr>
                <w:vertAlign w:val="subscript"/>
              </w:rPr>
              <w:t>2</w:t>
            </w:r>
            <w:r w:rsidRPr="00C778FE">
              <w:t xml:space="preserve"> (μmol)</w:t>
            </w:r>
          </w:p>
          <w:p w14:paraId="6D69176F" w14:textId="798322C4" w:rsidR="00A24098" w:rsidRPr="00C778FE" w:rsidRDefault="00A24098" w:rsidP="00FE79BB">
            <w:pPr>
              <w:pStyle w:val="TCTableBody"/>
            </w:pPr>
            <w:r w:rsidRPr="00C778FE">
              <w:t>(0–6 h)</w:t>
            </w:r>
          </w:p>
        </w:tc>
        <w:tc>
          <w:tcPr>
            <w:tcW w:w="851" w:type="dxa"/>
            <w:tcBorders>
              <w:top w:val="single" w:sz="4" w:space="0" w:color="auto"/>
              <w:left w:val="nil"/>
              <w:bottom w:val="single" w:sz="4" w:space="0" w:color="auto"/>
              <w:right w:val="nil"/>
            </w:tcBorders>
            <w:vAlign w:val="center"/>
          </w:tcPr>
          <w:p w14:paraId="73B4F761" w14:textId="77777777" w:rsidR="00A24098" w:rsidRPr="00C778FE" w:rsidRDefault="00A24098" w:rsidP="00FE79BB">
            <w:pPr>
              <w:pStyle w:val="TCTableBody"/>
            </w:pPr>
            <w:r w:rsidRPr="00C778FE">
              <w:t>AQY</w:t>
            </w:r>
            <w:r w:rsidRPr="00C778FE">
              <w:rPr>
                <w:i/>
                <w:vertAlign w:val="superscript"/>
              </w:rPr>
              <w:t>a</w:t>
            </w:r>
            <w:r w:rsidRPr="00C778FE">
              <w:t xml:space="preserve"> (%)</w:t>
            </w:r>
          </w:p>
          <w:p w14:paraId="00834066" w14:textId="5C7912D6" w:rsidR="00A24098" w:rsidRPr="00C778FE" w:rsidRDefault="00A24098" w:rsidP="00FE79BB">
            <w:pPr>
              <w:pStyle w:val="TCTableBody"/>
            </w:pPr>
            <w:r w:rsidRPr="00C778FE">
              <w:t>(0–6 h)</w:t>
            </w:r>
          </w:p>
        </w:tc>
        <w:tc>
          <w:tcPr>
            <w:tcW w:w="799" w:type="dxa"/>
            <w:tcBorders>
              <w:top w:val="single" w:sz="4" w:space="0" w:color="auto"/>
              <w:left w:val="nil"/>
              <w:bottom w:val="single" w:sz="4" w:space="0" w:color="auto"/>
              <w:right w:val="nil"/>
            </w:tcBorders>
            <w:vAlign w:val="center"/>
          </w:tcPr>
          <w:p w14:paraId="464A3BC8" w14:textId="77777777" w:rsidR="00A24098" w:rsidRPr="00C778FE" w:rsidRDefault="00A24098" w:rsidP="00FE79BB">
            <w:pPr>
              <w:pStyle w:val="TCTableBody"/>
            </w:pPr>
            <w:r w:rsidRPr="00C778FE">
              <w:rPr>
                <w:i/>
              </w:rPr>
              <w:t>i</w:t>
            </w:r>
            <w:r w:rsidRPr="00C778FE">
              <w:t>AQY</w:t>
            </w:r>
            <w:r w:rsidRPr="00C778FE">
              <w:rPr>
                <w:i/>
                <w:vertAlign w:val="superscript"/>
              </w:rPr>
              <w:t>a</w:t>
            </w:r>
            <w:r w:rsidRPr="00C778FE">
              <w:rPr>
                <w:i/>
              </w:rPr>
              <w:t xml:space="preserve"> </w:t>
            </w:r>
            <w:r w:rsidRPr="00C778FE">
              <w:t>(%)</w:t>
            </w:r>
          </w:p>
          <w:p w14:paraId="28E44060" w14:textId="4388E333" w:rsidR="00A24098" w:rsidRPr="00C778FE" w:rsidRDefault="00A24098" w:rsidP="00FE79BB">
            <w:pPr>
              <w:pStyle w:val="TCTableBody"/>
            </w:pPr>
            <w:r w:rsidRPr="00C778FE">
              <w:t>(0–1 h)</w:t>
            </w:r>
          </w:p>
        </w:tc>
      </w:tr>
      <w:tr w:rsidR="00BC0766" w:rsidRPr="00C778FE" w14:paraId="51EEFF90" w14:textId="77777777" w:rsidTr="001552FE">
        <w:trPr>
          <w:trHeight w:val="211"/>
        </w:trPr>
        <w:tc>
          <w:tcPr>
            <w:tcW w:w="851" w:type="dxa"/>
            <w:tcBorders>
              <w:top w:val="single" w:sz="4" w:space="0" w:color="auto"/>
              <w:left w:val="nil"/>
              <w:bottom w:val="nil"/>
              <w:right w:val="nil"/>
            </w:tcBorders>
            <w:vAlign w:val="center"/>
          </w:tcPr>
          <w:p w14:paraId="59BF5471" w14:textId="77777777" w:rsidR="00A24098" w:rsidRPr="00C778FE" w:rsidRDefault="00A24098" w:rsidP="00FE79BB">
            <w:pPr>
              <w:pStyle w:val="TCTableBody"/>
              <w:rPr>
                <w:b/>
                <w:bCs/>
              </w:rPr>
            </w:pPr>
            <w:r w:rsidRPr="00C778FE">
              <w:rPr>
                <w:b/>
                <w:bCs/>
              </w:rPr>
              <w:t>DDSP</w:t>
            </w:r>
          </w:p>
        </w:tc>
        <w:tc>
          <w:tcPr>
            <w:tcW w:w="1343" w:type="dxa"/>
            <w:tcBorders>
              <w:top w:val="single" w:sz="4" w:space="0" w:color="auto"/>
              <w:left w:val="nil"/>
              <w:bottom w:val="nil"/>
              <w:right w:val="nil"/>
            </w:tcBorders>
            <w:vAlign w:val="center"/>
          </w:tcPr>
          <w:p w14:paraId="459730DF" w14:textId="16623536" w:rsidR="00A24098" w:rsidRPr="00C778FE" w:rsidRDefault="00A24098" w:rsidP="00FE79BB">
            <w:pPr>
              <w:pStyle w:val="TCTableBody"/>
            </w:pPr>
            <w:r w:rsidRPr="00C778FE">
              <w:t>[Co(bpy)</w:t>
            </w:r>
            <w:r w:rsidRPr="00C778FE">
              <w:rPr>
                <w:vertAlign w:val="subscript"/>
              </w:rPr>
              <w:t>3</w:t>
            </w:r>
            <w:r w:rsidRPr="00C778FE">
              <w:t>]SO</w:t>
            </w:r>
            <w:r w:rsidRPr="00C778FE">
              <w:rPr>
                <w:vertAlign w:val="subscript"/>
              </w:rPr>
              <w:t>4</w:t>
            </w:r>
            <w:r w:rsidR="005E4794" w:rsidRPr="00C778FE">
              <w:t xml:space="preserve">, </w:t>
            </w:r>
            <w:r w:rsidRPr="00C778FE">
              <w:t>16.4 mM</w:t>
            </w:r>
          </w:p>
        </w:tc>
        <w:tc>
          <w:tcPr>
            <w:tcW w:w="783" w:type="dxa"/>
            <w:tcBorders>
              <w:top w:val="single" w:sz="4" w:space="0" w:color="auto"/>
              <w:left w:val="nil"/>
              <w:bottom w:val="nil"/>
              <w:right w:val="nil"/>
            </w:tcBorders>
            <w:vAlign w:val="center"/>
          </w:tcPr>
          <w:p w14:paraId="3F20D610" w14:textId="77777777" w:rsidR="001552FE" w:rsidRPr="00C778FE" w:rsidRDefault="00A24098" w:rsidP="00FE79BB">
            <w:pPr>
              <w:pStyle w:val="TCTableBody"/>
            </w:pPr>
            <w:r w:rsidRPr="00C778FE">
              <w:t>15.2</w:t>
            </w:r>
            <w:r w:rsidR="005E4794" w:rsidRPr="00C778FE">
              <w:t xml:space="preserve"> </w:t>
            </w:r>
          </w:p>
          <w:p w14:paraId="543AA770" w14:textId="537EB634" w:rsidR="00A24098" w:rsidRPr="00C778FE" w:rsidRDefault="00A24098" w:rsidP="00FE79BB">
            <w:pPr>
              <w:pStyle w:val="TCTableBody"/>
            </w:pPr>
            <w:r w:rsidRPr="00C778FE">
              <w:t>±</w:t>
            </w:r>
            <w:r w:rsidR="005E4794" w:rsidRPr="00C778FE">
              <w:t xml:space="preserve"> </w:t>
            </w:r>
            <w:r w:rsidRPr="00C778FE">
              <w:t>1.6</w:t>
            </w:r>
          </w:p>
        </w:tc>
        <w:tc>
          <w:tcPr>
            <w:tcW w:w="851" w:type="dxa"/>
            <w:tcBorders>
              <w:top w:val="single" w:sz="4" w:space="0" w:color="auto"/>
              <w:left w:val="nil"/>
              <w:bottom w:val="nil"/>
              <w:right w:val="nil"/>
            </w:tcBorders>
            <w:vAlign w:val="center"/>
          </w:tcPr>
          <w:p w14:paraId="69365804" w14:textId="77777777" w:rsidR="00A24098" w:rsidRPr="00C778FE" w:rsidRDefault="00A24098" w:rsidP="00FE79BB">
            <w:pPr>
              <w:pStyle w:val="TCTableBody"/>
            </w:pPr>
            <w:r w:rsidRPr="00C778FE">
              <w:t>0.523</w:t>
            </w:r>
          </w:p>
        </w:tc>
        <w:tc>
          <w:tcPr>
            <w:tcW w:w="799" w:type="dxa"/>
            <w:tcBorders>
              <w:top w:val="single" w:sz="4" w:space="0" w:color="auto"/>
              <w:left w:val="nil"/>
              <w:bottom w:val="nil"/>
              <w:right w:val="nil"/>
            </w:tcBorders>
            <w:vAlign w:val="center"/>
          </w:tcPr>
          <w:p w14:paraId="64DB739B" w14:textId="77777777" w:rsidR="00A24098" w:rsidRPr="00C778FE" w:rsidRDefault="00A24098" w:rsidP="00FE79BB">
            <w:pPr>
              <w:pStyle w:val="TCTableBody"/>
            </w:pPr>
            <w:r w:rsidRPr="00C778FE">
              <w:t>0.963</w:t>
            </w:r>
          </w:p>
        </w:tc>
      </w:tr>
      <w:tr w:rsidR="00BC0766" w:rsidRPr="00C778FE" w14:paraId="70EB2A26" w14:textId="77777777" w:rsidTr="001552FE">
        <w:trPr>
          <w:trHeight w:val="211"/>
        </w:trPr>
        <w:tc>
          <w:tcPr>
            <w:tcW w:w="851" w:type="dxa"/>
            <w:tcBorders>
              <w:top w:val="nil"/>
              <w:left w:val="nil"/>
              <w:bottom w:val="nil"/>
              <w:right w:val="nil"/>
            </w:tcBorders>
            <w:vAlign w:val="center"/>
          </w:tcPr>
          <w:p w14:paraId="58CF139F" w14:textId="77777777" w:rsidR="00A24098" w:rsidRPr="00C778FE" w:rsidRDefault="00A24098" w:rsidP="00FE79BB">
            <w:pPr>
              <w:pStyle w:val="TCTableBody"/>
              <w:rPr>
                <w:b/>
                <w:bCs/>
              </w:rPr>
            </w:pPr>
            <w:r w:rsidRPr="00C778FE">
              <w:rPr>
                <w:b/>
                <w:bCs/>
              </w:rPr>
              <w:t>PRCC-1</w:t>
            </w:r>
          </w:p>
        </w:tc>
        <w:tc>
          <w:tcPr>
            <w:tcW w:w="1343" w:type="dxa"/>
            <w:tcBorders>
              <w:top w:val="nil"/>
              <w:left w:val="nil"/>
              <w:bottom w:val="nil"/>
              <w:right w:val="nil"/>
            </w:tcBorders>
            <w:vAlign w:val="center"/>
          </w:tcPr>
          <w:p w14:paraId="363F75E3" w14:textId="18E45363" w:rsidR="00A24098" w:rsidRPr="00C778FE" w:rsidRDefault="00A24098" w:rsidP="00FE79BB">
            <w:pPr>
              <w:pStyle w:val="TCTableBody"/>
            </w:pPr>
            <w:r w:rsidRPr="00C778FE">
              <w:t>[Co(bpy)</w:t>
            </w:r>
            <w:r w:rsidRPr="00C778FE">
              <w:rPr>
                <w:vertAlign w:val="subscript"/>
              </w:rPr>
              <w:t>3</w:t>
            </w:r>
            <w:r w:rsidRPr="00C778FE">
              <w:t>]SO</w:t>
            </w:r>
            <w:r w:rsidRPr="00C778FE">
              <w:rPr>
                <w:vertAlign w:val="subscript"/>
              </w:rPr>
              <w:t>4</w:t>
            </w:r>
            <w:r w:rsidR="005E4794" w:rsidRPr="00C778FE">
              <w:t xml:space="preserve">, </w:t>
            </w:r>
            <w:r w:rsidRPr="00C778FE">
              <w:t>16.4 mM</w:t>
            </w:r>
          </w:p>
        </w:tc>
        <w:tc>
          <w:tcPr>
            <w:tcW w:w="783" w:type="dxa"/>
            <w:tcBorders>
              <w:top w:val="nil"/>
              <w:left w:val="nil"/>
              <w:bottom w:val="nil"/>
              <w:right w:val="nil"/>
            </w:tcBorders>
            <w:vAlign w:val="center"/>
          </w:tcPr>
          <w:p w14:paraId="29CD387E" w14:textId="77777777" w:rsidR="001552FE" w:rsidRPr="00C778FE" w:rsidRDefault="00A24098" w:rsidP="00FE79BB">
            <w:pPr>
              <w:pStyle w:val="TCTableBody"/>
            </w:pPr>
            <w:r w:rsidRPr="00C778FE">
              <w:t>28.9</w:t>
            </w:r>
            <w:r w:rsidR="005E4794" w:rsidRPr="00C778FE">
              <w:t xml:space="preserve"> </w:t>
            </w:r>
          </w:p>
          <w:p w14:paraId="3B9A600E" w14:textId="69C0F03D" w:rsidR="00A24098" w:rsidRPr="00C778FE" w:rsidRDefault="00A24098" w:rsidP="00FE79BB">
            <w:pPr>
              <w:pStyle w:val="TCTableBody"/>
            </w:pPr>
            <w:r w:rsidRPr="00C778FE">
              <w:t>±</w:t>
            </w:r>
            <w:r w:rsidR="005E4794" w:rsidRPr="00C778FE">
              <w:t xml:space="preserve"> </w:t>
            </w:r>
            <w:r w:rsidRPr="00C778FE">
              <w:t>2.4</w:t>
            </w:r>
          </w:p>
        </w:tc>
        <w:tc>
          <w:tcPr>
            <w:tcW w:w="851" w:type="dxa"/>
            <w:tcBorders>
              <w:top w:val="nil"/>
              <w:left w:val="nil"/>
              <w:bottom w:val="nil"/>
              <w:right w:val="nil"/>
            </w:tcBorders>
            <w:vAlign w:val="center"/>
          </w:tcPr>
          <w:p w14:paraId="2C63C3B7" w14:textId="77777777" w:rsidR="00A24098" w:rsidRPr="00C778FE" w:rsidRDefault="00A24098" w:rsidP="00FE79BB">
            <w:pPr>
              <w:pStyle w:val="TCTableBody"/>
            </w:pPr>
            <w:r w:rsidRPr="00C778FE">
              <w:t>0.994</w:t>
            </w:r>
          </w:p>
        </w:tc>
        <w:tc>
          <w:tcPr>
            <w:tcW w:w="799" w:type="dxa"/>
            <w:tcBorders>
              <w:top w:val="nil"/>
              <w:left w:val="nil"/>
              <w:bottom w:val="nil"/>
              <w:right w:val="nil"/>
            </w:tcBorders>
            <w:vAlign w:val="center"/>
          </w:tcPr>
          <w:p w14:paraId="0A581A07" w14:textId="77777777" w:rsidR="00A24098" w:rsidRPr="00C778FE" w:rsidRDefault="00A24098" w:rsidP="00FE79BB">
            <w:pPr>
              <w:pStyle w:val="TCTableBody"/>
            </w:pPr>
            <w:r w:rsidRPr="00C778FE">
              <w:t>2.23</w:t>
            </w:r>
          </w:p>
        </w:tc>
      </w:tr>
      <w:tr w:rsidR="00BC0766" w:rsidRPr="00C778FE" w14:paraId="002328CD" w14:textId="77777777" w:rsidTr="001552FE">
        <w:trPr>
          <w:trHeight w:val="211"/>
        </w:trPr>
        <w:tc>
          <w:tcPr>
            <w:tcW w:w="851" w:type="dxa"/>
            <w:tcBorders>
              <w:top w:val="nil"/>
              <w:left w:val="nil"/>
              <w:bottom w:val="single" w:sz="4" w:space="0" w:color="auto"/>
              <w:right w:val="nil"/>
            </w:tcBorders>
            <w:vAlign w:val="center"/>
          </w:tcPr>
          <w:p w14:paraId="08BCE912" w14:textId="77777777" w:rsidR="00A24098" w:rsidRPr="00C778FE" w:rsidRDefault="00A24098" w:rsidP="00FE79BB">
            <w:pPr>
              <w:pStyle w:val="TCTableBody"/>
              <w:rPr>
                <w:b/>
                <w:bCs/>
              </w:rPr>
            </w:pPr>
            <w:r w:rsidRPr="00C778FE">
              <w:rPr>
                <w:b/>
                <w:bCs/>
              </w:rPr>
              <w:t>PRCC-2</w:t>
            </w:r>
          </w:p>
        </w:tc>
        <w:tc>
          <w:tcPr>
            <w:tcW w:w="1343" w:type="dxa"/>
            <w:tcBorders>
              <w:top w:val="nil"/>
              <w:left w:val="nil"/>
              <w:bottom w:val="single" w:sz="4" w:space="0" w:color="auto"/>
              <w:right w:val="nil"/>
            </w:tcBorders>
            <w:vAlign w:val="center"/>
          </w:tcPr>
          <w:p w14:paraId="65AE1847" w14:textId="744A2460" w:rsidR="00A24098" w:rsidRPr="00C778FE" w:rsidRDefault="00A24098" w:rsidP="00FE79BB">
            <w:pPr>
              <w:pStyle w:val="TCTableBody"/>
            </w:pPr>
            <w:r w:rsidRPr="00C778FE">
              <w:t>[Co(bpy)</w:t>
            </w:r>
            <w:r w:rsidRPr="00C778FE">
              <w:rPr>
                <w:vertAlign w:val="subscript"/>
              </w:rPr>
              <w:t>3</w:t>
            </w:r>
            <w:r w:rsidRPr="00C778FE">
              <w:t>]SO</w:t>
            </w:r>
            <w:r w:rsidRPr="00C778FE">
              <w:rPr>
                <w:vertAlign w:val="subscript"/>
              </w:rPr>
              <w:t>4</w:t>
            </w:r>
            <w:r w:rsidR="005E4794" w:rsidRPr="00C778FE">
              <w:t xml:space="preserve">, </w:t>
            </w:r>
            <w:r w:rsidRPr="00C778FE">
              <w:t>16.4 mM</w:t>
            </w:r>
          </w:p>
        </w:tc>
        <w:tc>
          <w:tcPr>
            <w:tcW w:w="783" w:type="dxa"/>
            <w:tcBorders>
              <w:top w:val="nil"/>
              <w:left w:val="nil"/>
              <w:bottom w:val="single" w:sz="4" w:space="0" w:color="auto"/>
              <w:right w:val="nil"/>
            </w:tcBorders>
            <w:vAlign w:val="center"/>
          </w:tcPr>
          <w:p w14:paraId="43659391" w14:textId="77777777" w:rsidR="001552FE" w:rsidRPr="00C778FE" w:rsidRDefault="00A24098" w:rsidP="00FE79BB">
            <w:pPr>
              <w:pStyle w:val="TCTableBody"/>
            </w:pPr>
            <w:r w:rsidRPr="00C778FE">
              <w:t>11.9</w:t>
            </w:r>
            <w:r w:rsidR="005E4794" w:rsidRPr="00C778FE">
              <w:t xml:space="preserve"> </w:t>
            </w:r>
          </w:p>
          <w:p w14:paraId="62E63BED" w14:textId="40FCF591" w:rsidR="00A24098" w:rsidRPr="00C778FE" w:rsidRDefault="00A24098" w:rsidP="00FE79BB">
            <w:pPr>
              <w:pStyle w:val="TCTableBody"/>
            </w:pPr>
            <w:r w:rsidRPr="00C778FE">
              <w:t>±</w:t>
            </w:r>
            <w:r w:rsidR="005E4794" w:rsidRPr="00C778FE">
              <w:t xml:space="preserve"> </w:t>
            </w:r>
            <w:r w:rsidRPr="00C778FE">
              <w:t>0.4</w:t>
            </w:r>
          </w:p>
        </w:tc>
        <w:tc>
          <w:tcPr>
            <w:tcW w:w="851" w:type="dxa"/>
            <w:tcBorders>
              <w:top w:val="nil"/>
              <w:left w:val="nil"/>
              <w:bottom w:val="single" w:sz="4" w:space="0" w:color="auto"/>
              <w:right w:val="nil"/>
            </w:tcBorders>
            <w:vAlign w:val="center"/>
          </w:tcPr>
          <w:p w14:paraId="3595CEA9" w14:textId="77777777" w:rsidR="00A24098" w:rsidRPr="00C778FE" w:rsidRDefault="00A24098" w:rsidP="00FE79BB">
            <w:pPr>
              <w:pStyle w:val="TCTableBody"/>
            </w:pPr>
            <w:r w:rsidRPr="00C778FE">
              <w:t>0.409</w:t>
            </w:r>
          </w:p>
        </w:tc>
        <w:tc>
          <w:tcPr>
            <w:tcW w:w="799" w:type="dxa"/>
            <w:tcBorders>
              <w:top w:val="nil"/>
              <w:left w:val="nil"/>
              <w:bottom w:val="single" w:sz="4" w:space="0" w:color="auto"/>
              <w:right w:val="nil"/>
            </w:tcBorders>
            <w:vAlign w:val="center"/>
          </w:tcPr>
          <w:p w14:paraId="4F2601E2" w14:textId="77777777" w:rsidR="00A24098" w:rsidRPr="00C778FE" w:rsidRDefault="00A24098" w:rsidP="00FE79BB">
            <w:pPr>
              <w:pStyle w:val="TCTableBody"/>
            </w:pPr>
            <w:r w:rsidRPr="00C778FE">
              <w:t>0.613</w:t>
            </w:r>
          </w:p>
        </w:tc>
      </w:tr>
      <w:tr w:rsidR="00BC0766" w:rsidRPr="00C778FE" w14:paraId="6DA2CBA4" w14:textId="77777777" w:rsidTr="001552FE">
        <w:trPr>
          <w:trHeight w:val="211"/>
        </w:trPr>
        <w:tc>
          <w:tcPr>
            <w:tcW w:w="851" w:type="dxa"/>
            <w:tcBorders>
              <w:top w:val="single" w:sz="4" w:space="0" w:color="auto"/>
              <w:left w:val="nil"/>
              <w:bottom w:val="nil"/>
              <w:right w:val="nil"/>
            </w:tcBorders>
            <w:vAlign w:val="center"/>
          </w:tcPr>
          <w:p w14:paraId="5FE0F0F3" w14:textId="77777777" w:rsidR="00A24098" w:rsidRPr="00C778FE" w:rsidRDefault="00A24098" w:rsidP="00FE79BB">
            <w:pPr>
              <w:pStyle w:val="TCTableBody"/>
              <w:rPr>
                <w:b/>
                <w:bCs/>
              </w:rPr>
            </w:pPr>
            <w:r w:rsidRPr="00C778FE">
              <w:rPr>
                <w:b/>
                <w:bCs/>
              </w:rPr>
              <w:t>DDSP</w:t>
            </w:r>
          </w:p>
        </w:tc>
        <w:tc>
          <w:tcPr>
            <w:tcW w:w="1343" w:type="dxa"/>
            <w:tcBorders>
              <w:top w:val="single" w:sz="4" w:space="0" w:color="auto"/>
              <w:left w:val="nil"/>
              <w:bottom w:val="nil"/>
              <w:right w:val="nil"/>
            </w:tcBorders>
            <w:vAlign w:val="center"/>
          </w:tcPr>
          <w:p w14:paraId="5D03C2E7" w14:textId="77777777" w:rsidR="00856C75" w:rsidRPr="00C778FE" w:rsidRDefault="00A24098" w:rsidP="00FE79BB">
            <w:pPr>
              <w:pStyle w:val="TCTableBody"/>
            </w:pPr>
            <w:r w:rsidRPr="00C778FE">
              <w:t>H</w:t>
            </w:r>
            <w:r w:rsidRPr="00C778FE">
              <w:rPr>
                <w:vertAlign w:val="subscript"/>
              </w:rPr>
              <w:t>2</w:t>
            </w:r>
            <w:r w:rsidRPr="00C778FE">
              <w:t>QSK</w:t>
            </w:r>
            <w:r w:rsidR="005E4794" w:rsidRPr="00C778FE">
              <w:t xml:space="preserve">, </w:t>
            </w:r>
          </w:p>
          <w:p w14:paraId="37DB006D" w14:textId="6E62BD44" w:rsidR="00A24098" w:rsidRPr="00C778FE" w:rsidRDefault="00A24098" w:rsidP="00FE79BB">
            <w:pPr>
              <w:pStyle w:val="TCTableBody"/>
            </w:pPr>
            <w:r w:rsidRPr="00C778FE">
              <w:t>0.5 M</w:t>
            </w:r>
          </w:p>
        </w:tc>
        <w:tc>
          <w:tcPr>
            <w:tcW w:w="783" w:type="dxa"/>
            <w:tcBorders>
              <w:top w:val="single" w:sz="4" w:space="0" w:color="auto"/>
              <w:left w:val="nil"/>
              <w:bottom w:val="nil"/>
              <w:right w:val="nil"/>
            </w:tcBorders>
            <w:vAlign w:val="center"/>
          </w:tcPr>
          <w:p w14:paraId="2E4EA45C" w14:textId="77777777" w:rsidR="001552FE" w:rsidRPr="00C778FE" w:rsidRDefault="00A24098" w:rsidP="00FE79BB">
            <w:pPr>
              <w:pStyle w:val="TCTableBody"/>
            </w:pPr>
            <w:r w:rsidRPr="00C778FE">
              <w:t>8.33</w:t>
            </w:r>
            <w:r w:rsidR="005E4794" w:rsidRPr="00C778FE">
              <w:t xml:space="preserve"> </w:t>
            </w:r>
          </w:p>
          <w:p w14:paraId="67AC3667" w14:textId="2ADAFDFD" w:rsidR="00A24098" w:rsidRPr="00C778FE" w:rsidRDefault="00A24098" w:rsidP="00FE79BB">
            <w:pPr>
              <w:pStyle w:val="TCTableBody"/>
            </w:pPr>
            <w:r w:rsidRPr="00C778FE">
              <w:t>±</w:t>
            </w:r>
            <w:r w:rsidR="005E4794" w:rsidRPr="00C778FE">
              <w:t xml:space="preserve"> </w:t>
            </w:r>
            <w:r w:rsidRPr="00C778FE">
              <w:t>0.95</w:t>
            </w:r>
          </w:p>
        </w:tc>
        <w:tc>
          <w:tcPr>
            <w:tcW w:w="851" w:type="dxa"/>
            <w:tcBorders>
              <w:top w:val="single" w:sz="4" w:space="0" w:color="auto"/>
              <w:left w:val="nil"/>
              <w:bottom w:val="nil"/>
              <w:right w:val="nil"/>
            </w:tcBorders>
            <w:vAlign w:val="center"/>
          </w:tcPr>
          <w:p w14:paraId="54B00155" w14:textId="77777777" w:rsidR="00A24098" w:rsidRPr="00C778FE" w:rsidRDefault="00A24098" w:rsidP="00FE79BB">
            <w:pPr>
              <w:pStyle w:val="TCTableBody"/>
            </w:pPr>
            <w:r w:rsidRPr="00C778FE">
              <w:t>0.280</w:t>
            </w:r>
          </w:p>
        </w:tc>
        <w:tc>
          <w:tcPr>
            <w:tcW w:w="799" w:type="dxa"/>
            <w:tcBorders>
              <w:top w:val="single" w:sz="4" w:space="0" w:color="auto"/>
              <w:left w:val="nil"/>
              <w:bottom w:val="nil"/>
              <w:right w:val="nil"/>
            </w:tcBorders>
            <w:vAlign w:val="center"/>
          </w:tcPr>
          <w:p w14:paraId="7F2FF3A4" w14:textId="77777777" w:rsidR="00A24098" w:rsidRPr="00C778FE" w:rsidRDefault="00A24098" w:rsidP="00FE79BB">
            <w:pPr>
              <w:pStyle w:val="TCTableBody"/>
            </w:pPr>
            <w:r w:rsidRPr="00C778FE">
              <w:t>0.519</w:t>
            </w:r>
          </w:p>
        </w:tc>
      </w:tr>
      <w:tr w:rsidR="00BC0766" w:rsidRPr="00C778FE" w14:paraId="0EEC6869" w14:textId="77777777" w:rsidTr="001552FE">
        <w:trPr>
          <w:trHeight w:val="211"/>
        </w:trPr>
        <w:tc>
          <w:tcPr>
            <w:tcW w:w="851" w:type="dxa"/>
            <w:tcBorders>
              <w:top w:val="nil"/>
              <w:left w:val="nil"/>
              <w:bottom w:val="nil"/>
              <w:right w:val="nil"/>
            </w:tcBorders>
            <w:vAlign w:val="center"/>
          </w:tcPr>
          <w:p w14:paraId="196B5688" w14:textId="77777777" w:rsidR="00A24098" w:rsidRPr="00C778FE" w:rsidRDefault="00A24098" w:rsidP="00FE79BB">
            <w:pPr>
              <w:pStyle w:val="TCTableBody"/>
              <w:rPr>
                <w:b/>
                <w:bCs/>
              </w:rPr>
            </w:pPr>
            <w:r w:rsidRPr="00C778FE">
              <w:rPr>
                <w:b/>
                <w:bCs/>
              </w:rPr>
              <w:t>PRCC-1</w:t>
            </w:r>
          </w:p>
        </w:tc>
        <w:tc>
          <w:tcPr>
            <w:tcW w:w="1343" w:type="dxa"/>
            <w:tcBorders>
              <w:top w:val="nil"/>
              <w:left w:val="nil"/>
              <w:bottom w:val="nil"/>
              <w:right w:val="nil"/>
            </w:tcBorders>
            <w:vAlign w:val="center"/>
          </w:tcPr>
          <w:p w14:paraId="1361EF99" w14:textId="77777777" w:rsidR="00856C75" w:rsidRPr="00C778FE" w:rsidRDefault="00A24098" w:rsidP="00FE79BB">
            <w:pPr>
              <w:pStyle w:val="TCTableBody"/>
            </w:pPr>
            <w:r w:rsidRPr="00C778FE">
              <w:t>H</w:t>
            </w:r>
            <w:r w:rsidRPr="00C778FE">
              <w:rPr>
                <w:vertAlign w:val="subscript"/>
              </w:rPr>
              <w:t>2</w:t>
            </w:r>
            <w:r w:rsidRPr="00C778FE">
              <w:t>QSK</w:t>
            </w:r>
            <w:r w:rsidR="005E4794" w:rsidRPr="00C778FE">
              <w:t xml:space="preserve">, </w:t>
            </w:r>
          </w:p>
          <w:p w14:paraId="3C31C24F" w14:textId="7458F2A7" w:rsidR="00A24098" w:rsidRPr="00C778FE" w:rsidRDefault="00A24098" w:rsidP="00FE79BB">
            <w:pPr>
              <w:pStyle w:val="TCTableBody"/>
            </w:pPr>
            <w:r w:rsidRPr="00C778FE">
              <w:t>0.5 M</w:t>
            </w:r>
          </w:p>
        </w:tc>
        <w:tc>
          <w:tcPr>
            <w:tcW w:w="783" w:type="dxa"/>
            <w:tcBorders>
              <w:top w:val="nil"/>
              <w:left w:val="nil"/>
              <w:bottom w:val="nil"/>
              <w:right w:val="nil"/>
            </w:tcBorders>
            <w:vAlign w:val="center"/>
          </w:tcPr>
          <w:p w14:paraId="2B959BDF" w14:textId="77777777" w:rsidR="001552FE" w:rsidRPr="00C778FE" w:rsidRDefault="00A24098" w:rsidP="00FE79BB">
            <w:pPr>
              <w:pStyle w:val="TCTableBody"/>
            </w:pPr>
            <w:r w:rsidRPr="00C778FE">
              <w:t>12.6</w:t>
            </w:r>
            <w:r w:rsidR="005E4794" w:rsidRPr="00C778FE">
              <w:t xml:space="preserve"> </w:t>
            </w:r>
          </w:p>
          <w:p w14:paraId="5BF82D89" w14:textId="1A0421E9" w:rsidR="00A24098" w:rsidRPr="00C778FE" w:rsidRDefault="00A24098" w:rsidP="00FE79BB">
            <w:pPr>
              <w:pStyle w:val="TCTableBody"/>
            </w:pPr>
            <w:r w:rsidRPr="00C778FE">
              <w:t>±</w:t>
            </w:r>
            <w:r w:rsidR="005E4794" w:rsidRPr="00C778FE">
              <w:t xml:space="preserve"> </w:t>
            </w:r>
            <w:r w:rsidRPr="00C778FE">
              <w:t>1.6</w:t>
            </w:r>
          </w:p>
        </w:tc>
        <w:tc>
          <w:tcPr>
            <w:tcW w:w="851" w:type="dxa"/>
            <w:tcBorders>
              <w:top w:val="nil"/>
              <w:left w:val="nil"/>
              <w:bottom w:val="nil"/>
              <w:right w:val="nil"/>
            </w:tcBorders>
            <w:vAlign w:val="center"/>
          </w:tcPr>
          <w:p w14:paraId="5AF7BCA1" w14:textId="77777777" w:rsidR="00A24098" w:rsidRPr="00C778FE" w:rsidRDefault="00A24098" w:rsidP="00FE79BB">
            <w:pPr>
              <w:pStyle w:val="TCTableBody"/>
            </w:pPr>
            <w:r w:rsidRPr="00C778FE">
              <w:t>0.433</w:t>
            </w:r>
          </w:p>
        </w:tc>
        <w:tc>
          <w:tcPr>
            <w:tcW w:w="799" w:type="dxa"/>
            <w:tcBorders>
              <w:top w:val="nil"/>
              <w:left w:val="nil"/>
              <w:bottom w:val="nil"/>
              <w:right w:val="nil"/>
            </w:tcBorders>
            <w:vAlign w:val="center"/>
          </w:tcPr>
          <w:p w14:paraId="6D0C60D9" w14:textId="77777777" w:rsidR="00A24098" w:rsidRPr="00C778FE" w:rsidRDefault="00A24098" w:rsidP="00FE79BB">
            <w:pPr>
              <w:pStyle w:val="TCTableBody"/>
            </w:pPr>
            <w:r w:rsidRPr="00C778FE">
              <w:t>1.10</w:t>
            </w:r>
          </w:p>
        </w:tc>
      </w:tr>
      <w:tr w:rsidR="00BC0766" w:rsidRPr="00C778FE" w14:paraId="2DC3A3D6" w14:textId="77777777" w:rsidTr="001552FE">
        <w:trPr>
          <w:trHeight w:val="211"/>
        </w:trPr>
        <w:tc>
          <w:tcPr>
            <w:tcW w:w="851" w:type="dxa"/>
            <w:tcBorders>
              <w:top w:val="nil"/>
              <w:left w:val="nil"/>
              <w:bottom w:val="single" w:sz="4" w:space="0" w:color="auto"/>
              <w:right w:val="nil"/>
            </w:tcBorders>
            <w:vAlign w:val="center"/>
          </w:tcPr>
          <w:p w14:paraId="1E6E3620" w14:textId="77777777" w:rsidR="00A24098" w:rsidRPr="00C778FE" w:rsidRDefault="00A24098" w:rsidP="00FE79BB">
            <w:pPr>
              <w:pStyle w:val="TCTableBody"/>
              <w:rPr>
                <w:b/>
                <w:bCs/>
              </w:rPr>
            </w:pPr>
            <w:r w:rsidRPr="00C778FE">
              <w:rPr>
                <w:b/>
                <w:bCs/>
              </w:rPr>
              <w:t>PRCC-1</w:t>
            </w:r>
          </w:p>
        </w:tc>
        <w:tc>
          <w:tcPr>
            <w:tcW w:w="1343" w:type="dxa"/>
            <w:tcBorders>
              <w:top w:val="nil"/>
              <w:left w:val="nil"/>
              <w:bottom w:val="single" w:sz="4" w:space="0" w:color="auto"/>
              <w:right w:val="nil"/>
            </w:tcBorders>
            <w:vAlign w:val="center"/>
          </w:tcPr>
          <w:p w14:paraId="1B490691" w14:textId="77777777" w:rsidR="00856C75" w:rsidRPr="00C778FE" w:rsidRDefault="00A24098" w:rsidP="00FE79BB">
            <w:pPr>
              <w:pStyle w:val="TCTableBody"/>
            </w:pPr>
            <w:r w:rsidRPr="00C778FE">
              <w:t>H</w:t>
            </w:r>
            <w:r w:rsidRPr="00C778FE">
              <w:rPr>
                <w:vertAlign w:val="subscript"/>
              </w:rPr>
              <w:t>2</w:t>
            </w:r>
            <w:r w:rsidRPr="00C778FE">
              <w:t>QSK</w:t>
            </w:r>
            <w:r w:rsidR="005E4794" w:rsidRPr="00C778FE">
              <w:t xml:space="preserve">, </w:t>
            </w:r>
          </w:p>
          <w:p w14:paraId="168F55E7" w14:textId="2F318F09" w:rsidR="00A24098" w:rsidRPr="00C778FE" w:rsidRDefault="00A24098" w:rsidP="00FE79BB">
            <w:pPr>
              <w:pStyle w:val="TCTableBody"/>
            </w:pPr>
            <w:r w:rsidRPr="00C778FE">
              <w:t>16.4 mM</w:t>
            </w:r>
          </w:p>
        </w:tc>
        <w:tc>
          <w:tcPr>
            <w:tcW w:w="783" w:type="dxa"/>
            <w:tcBorders>
              <w:top w:val="nil"/>
              <w:left w:val="nil"/>
              <w:bottom w:val="single" w:sz="4" w:space="0" w:color="auto"/>
              <w:right w:val="nil"/>
            </w:tcBorders>
            <w:vAlign w:val="center"/>
          </w:tcPr>
          <w:p w14:paraId="27B25E1F" w14:textId="77777777" w:rsidR="001552FE" w:rsidRPr="00C778FE" w:rsidRDefault="00A24098" w:rsidP="00FE79BB">
            <w:pPr>
              <w:pStyle w:val="TCTableBody"/>
            </w:pPr>
            <w:r w:rsidRPr="00C778FE">
              <w:t>7.47</w:t>
            </w:r>
            <w:r w:rsidR="005E4794" w:rsidRPr="00C778FE">
              <w:t xml:space="preserve"> </w:t>
            </w:r>
          </w:p>
          <w:p w14:paraId="13DF45A7" w14:textId="258984A4" w:rsidR="00A24098" w:rsidRPr="00C778FE" w:rsidRDefault="00A24098" w:rsidP="00FE79BB">
            <w:pPr>
              <w:pStyle w:val="TCTableBody"/>
            </w:pPr>
            <w:r w:rsidRPr="00C778FE">
              <w:t>±</w:t>
            </w:r>
            <w:r w:rsidR="005E4794" w:rsidRPr="00C778FE">
              <w:t xml:space="preserve"> </w:t>
            </w:r>
            <w:r w:rsidRPr="00C778FE">
              <w:t>0.48</w:t>
            </w:r>
          </w:p>
        </w:tc>
        <w:tc>
          <w:tcPr>
            <w:tcW w:w="851" w:type="dxa"/>
            <w:tcBorders>
              <w:top w:val="nil"/>
              <w:left w:val="nil"/>
              <w:bottom w:val="single" w:sz="4" w:space="0" w:color="auto"/>
              <w:right w:val="nil"/>
            </w:tcBorders>
            <w:vAlign w:val="center"/>
          </w:tcPr>
          <w:p w14:paraId="777FDD20" w14:textId="77777777" w:rsidR="00A24098" w:rsidRPr="00C778FE" w:rsidRDefault="00A24098" w:rsidP="00FE79BB">
            <w:pPr>
              <w:pStyle w:val="TCTableBody"/>
            </w:pPr>
            <w:r w:rsidRPr="00C778FE">
              <w:t>0.257</w:t>
            </w:r>
          </w:p>
        </w:tc>
        <w:tc>
          <w:tcPr>
            <w:tcW w:w="799" w:type="dxa"/>
            <w:tcBorders>
              <w:top w:val="nil"/>
              <w:left w:val="nil"/>
              <w:bottom w:val="single" w:sz="4" w:space="0" w:color="auto"/>
              <w:right w:val="nil"/>
            </w:tcBorders>
            <w:vAlign w:val="center"/>
          </w:tcPr>
          <w:p w14:paraId="7F52FD12" w14:textId="77777777" w:rsidR="00A24098" w:rsidRPr="00C778FE" w:rsidRDefault="00A24098" w:rsidP="00FE79BB">
            <w:pPr>
              <w:pStyle w:val="TCTableBody"/>
            </w:pPr>
            <w:r w:rsidRPr="00C778FE">
              <w:t>0.346</w:t>
            </w:r>
          </w:p>
        </w:tc>
      </w:tr>
    </w:tbl>
    <w:p w14:paraId="4708DEFB" w14:textId="0489D5B3" w:rsidR="00A24098" w:rsidRPr="00C778FE" w:rsidRDefault="00A24098" w:rsidP="00A24098">
      <w:pPr>
        <w:pStyle w:val="FETableFootnote"/>
      </w:pPr>
      <w:bookmarkStart w:id="3" w:name="_Hlk121739930"/>
      <w:bookmarkEnd w:id="2"/>
      <w:r w:rsidRPr="00C778FE">
        <w:rPr>
          <w:i/>
          <w:vertAlign w:val="superscript"/>
        </w:rPr>
        <w:t>a</w:t>
      </w:r>
      <w:r w:rsidRPr="00C778FE">
        <w:t xml:space="preserve"> Measurement conditions: [PS] = 100 µM, volume</w:t>
      </w:r>
      <w:r w:rsidR="0032017B" w:rsidRPr="00C778FE">
        <w:t xml:space="preserve"> of aqueous solution</w:t>
      </w:r>
      <w:r w:rsidRPr="00C778FE">
        <w:t xml:space="preserve"> = 5 mL</w:t>
      </w:r>
      <w:r w:rsidR="0032017B" w:rsidRPr="00C778FE">
        <w:t>; irradiation:</w:t>
      </w:r>
      <w:r w:rsidRPr="00C778FE">
        <w:t xml:space="preserve"> </w:t>
      </w:r>
      <w:r w:rsidRPr="00C778FE">
        <w:rPr>
          <w:i/>
        </w:rPr>
        <w:t>λ</w:t>
      </w:r>
      <w:r w:rsidRPr="00C778FE">
        <w:rPr>
          <w:vertAlign w:val="subscript"/>
        </w:rPr>
        <w:t>ex</w:t>
      </w:r>
      <w:r w:rsidRPr="00C778FE">
        <w:t xml:space="preserve"> = 460 ± 15 nm, 70 mW. The reaction solution was purged </w:t>
      </w:r>
      <w:r w:rsidR="008E7C1B" w:rsidRPr="00C778FE">
        <w:t>by</w:t>
      </w:r>
      <w:r w:rsidRPr="00C778FE">
        <w:t xml:space="preserve"> Ar</w:t>
      </w:r>
      <w:r w:rsidR="008E7C1B" w:rsidRPr="00C778FE">
        <w:t xml:space="preserve"> bubbling</w:t>
      </w:r>
      <w:r w:rsidRPr="00C778FE">
        <w:t xml:space="preserve"> for 1 h prior to light irradiation. </w:t>
      </w:r>
      <w:r w:rsidR="008E7C1B" w:rsidRPr="00C778FE">
        <w:t>V</w:t>
      </w:r>
      <w:r w:rsidRPr="00C778FE">
        <w:t xml:space="preserve">alues </w:t>
      </w:r>
      <w:r w:rsidR="001E0400" w:rsidRPr="00C778FE">
        <w:t>presented as mean ± standard deviation (</w:t>
      </w:r>
      <w:r w:rsidR="001E0400" w:rsidRPr="00C778FE">
        <w:rPr>
          <w:i/>
          <w:iCs/>
        </w:rPr>
        <w:t>n</w:t>
      </w:r>
      <w:r w:rsidR="001E0400" w:rsidRPr="00C778FE">
        <w:t xml:space="preserve"> </w:t>
      </w:r>
      <w:r w:rsidR="001552FE" w:rsidRPr="00C778FE">
        <w:rPr>
          <w:rFonts w:ascii="ＭＳ 明朝" w:eastAsia="ＭＳ 明朝" w:hAnsi="ＭＳ 明朝" w:hint="eastAsia"/>
        </w:rPr>
        <w:t>≥</w:t>
      </w:r>
      <w:r w:rsidR="001E0400" w:rsidRPr="00C778FE">
        <w:t xml:space="preserve"> 3)</w:t>
      </w:r>
      <w:r w:rsidRPr="00C778FE">
        <w:t xml:space="preserve">. Definitions: AQY = apparent quantum yield, </w:t>
      </w:r>
      <w:r w:rsidRPr="00C778FE">
        <w:rPr>
          <w:i/>
        </w:rPr>
        <w:t>i</w:t>
      </w:r>
      <w:r w:rsidRPr="00C778FE">
        <w:t>AQY = AQY in the initial 1 h, H</w:t>
      </w:r>
      <w:r w:rsidRPr="00C778FE">
        <w:rPr>
          <w:vertAlign w:val="subscript"/>
        </w:rPr>
        <w:t>2</w:t>
      </w:r>
      <w:r w:rsidRPr="00C778FE">
        <w:t>QSK = potassium hydroquinone monosulfonate.</w:t>
      </w:r>
    </w:p>
    <w:p w14:paraId="6168247D" w14:textId="747780BC" w:rsidR="001E0400" w:rsidRPr="00C778FE" w:rsidRDefault="001E0400" w:rsidP="00FA7FC5">
      <w:pPr>
        <w:pStyle w:val="TAMainText"/>
      </w:pPr>
      <w:r w:rsidRPr="00C778FE">
        <w:t xml:space="preserve">Considering that </w:t>
      </w:r>
      <w:r w:rsidRPr="00C778FE">
        <w:rPr>
          <w:b/>
        </w:rPr>
        <w:t>HCRu</w:t>
      </w:r>
      <w:r w:rsidRPr="00C778FE">
        <w:t xml:space="preserve"> has a more negative redox potential (Ru(III)/Ru(II) at +0.89 V vs. </w:t>
      </w:r>
      <w:r w:rsidR="00B7496D" w:rsidRPr="00C778FE">
        <w:t>normal hydrogen electrode (</w:t>
      </w:r>
      <w:r w:rsidRPr="00C778FE">
        <w:t>NHE</w:t>
      </w:r>
      <w:r w:rsidR="00B7496D" w:rsidRPr="00C778FE">
        <w:t>)</w:t>
      </w:r>
      <w:r w:rsidRPr="00C778FE">
        <w:t>)</w:t>
      </w:r>
      <w:r w:rsidRPr="00C778FE">
        <w:rPr>
          <w:vertAlign w:val="superscript"/>
        </w:rPr>
        <w:t>2</w:t>
      </w:r>
      <w:r w:rsidR="0059555E" w:rsidRPr="00C778FE">
        <w:rPr>
          <w:vertAlign w:val="superscript"/>
        </w:rPr>
        <w:t>1</w:t>
      </w:r>
      <w:r w:rsidRPr="00C778FE">
        <w:t xml:space="preserve"> than </w:t>
      </w:r>
      <w:r w:rsidRPr="00C778FE">
        <w:rPr>
          <w:b/>
        </w:rPr>
        <w:t>RuCP</w:t>
      </w:r>
      <w:r w:rsidRPr="00C778FE">
        <w:rPr>
          <w:b/>
          <w:bCs/>
          <w:vertAlign w:val="superscript"/>
        </w:rPr>
        <w:t>6</w:t>
      </w:r>
      <w:r w:rsidRPr="00C778FE">
        <w:t xml:space="preserve"> (+1.12 V vs. NHE),</w:t>
      </w:r>
      <w:r w:rsidR="0059555E" w:rsidRPr="00C778FE">
        <w:rPr>
          <w:vertAlign w:val="superscript"/>
        </w:rPr>
        <w:t>20</w:t>
      </w:r>
      <w:r w:rsidRPr="00C778FE">
        <w:t xml:space="preserve"> the improved </w:t>
      </w:r>
      <w:r w:rsidRPr="00C778FE">
        <w:rPr>
          <w:i/>
        </w:rPr>
        <w:t>i</w:t>
      </w:r>
      <w:r w:rsidRPr="00C778FE">
        <w:t xml:space="preserve">AQY of </w:t>
      </w:r>
      <w:r w:rsidRPr="00C778FE">
        <w:rPr>
          <w:b/>
        </w:rPr>
        <w:t>PRCC-1</w:t>
      </w:r>
      <w:r w:rsidRPr="00C778FE">
        <w:t xml:space="preserve"> compared to that of </w:t>
      </w:r>
      <w:r w:rsidRPr="00C778FE">
        <w:rPr>
          <w:b/>
        </w:rPr>
        <w:t>DDSP</w:t>
      </w:r>
      <w:r w:rsidRPr="00C778FE">
        <w:t xml:space="preserve"> was ascribed to the enhanced charge-separation between the dual PS layers</w:t>
      </w:r>
      <w:r w:rsidRPr="00C778FE">
        <w:rPr>
          <w:vertAlign w:val="superscript"/>
        </w:rPr>
        <w:t>2</w:t>
      </w:r>
      <w:r w:rsidR="0059555E" w:rsidRPr="00C778FE">
        <w:rPr>
          <w:vertAlign w:val="superscript"/>
        </w:rPr>
        <w:t>5</w:t>
      </w:r>
      <w:r w:rsidRPr="00C778FE">
        <w:t xml:space="preserve"> and RrED </w:t>
      </w:r>
      <w:r w:rsidR="008E7C1B" w:rsidRPr="00C778FE">
        <w:t xml:space="preserve">owing to </w:t>
      </w:r>
      <w:r w:rsidRPr="00C778FE">
        <w:t>electron mediation</w:t>
      </w:r>
      <w:r w:rsidRPr="00C778FE">
        <w:rPr>
          <w:b/>
        </w:rPr>
        <w:t xml:space="preserve"> </w:t>
      </w:r>
      <w:r w:rsidRPr="00C778FE">
        <w:t xml:space="preserve">from one-electron-oxidized </w:t>
      </w:r>
      <w:r w:rsidRPr="00C778FE">
        <w:rPr>
          <w:b/>
        </w:rPr>
        <w:t>RuCP</w:t>
      </w:r>
      <w:r w:rsidRPr="00C778FE">
        <w:rPr>
          <w:b/>
          <w:bCs/>
          <w:vertAlign w:val="superscript"/>
        </w:rPr>
        <w:t>6</w:t>
      </w:r>
      <w:r w:rsidRPr="00C778FE">
        <w:t>(h</w:t>
      </w:r>
      <w:r w:rsidRPr="00C778FE">
        <w:rPr>
          <w:vertAlign w:val="superscript"/>
        </w:rPr>
        <w:t>+</w:t>
      </w:r>
      <w:r w:rsidRPr="00C778FE">
        <w:t>) to the [Co(bpy)</w:t>
      </w:r>
      <w:r w:rsidRPr="00C778FE">
        <w:rPr>
          <w:vertAlign w:val="subscript"/>
        </w:rPr>
        <w:t>3</w:t>
      </w:r>
      <w:r w:rsidRPr="00C778FE">
        <w:t>]</w:t>
      </w:r>
      <w:r w:rsidRPr="00C778FE">
        <w:rPr>
          <w:vertAlign w:val="superscript"/>
        </w:rPr>
        <w:t>2+</w:t>
      </w:r>
      <w:r w:rsidRPr="00C778FE">
        <w:t xml:space="preserve"> RrED via </w:t>
      </w:r>
      <w:r w:rsidRPr="00C778FE">
        <w:rPr>
          <w:b/>
        </w:rPr>
        <w:t>HCRu</w:t>
      </w:r>
      <w:r w:rsidRPr="00C778FE">
        <w:t xml:space="preserve"> (Figure 1). In</w:t>
      </w:r>
      <w:r w:rsidR="008E7C1B" w:rsidRPr="00C778FE">
        <w:t xml:space="preserve"> line with this theory</w:t>
      </w:r>
      <w:r w:rsidRPr="00C778FE">
        <w:t>, the photocatalytic H</w:t>
      </w:r>
      <w:r w:rsidRPr="00C778FE">
        <w:rPr>
          <w:vertAlign w:val="subscript"/>
        </w:rPr>
        <w:t>2</w:t>
      </w:r>
      <w:r w:rsidRPr="00C778FE">
        <w:t xml:space="preserve"> evolution activity of </w:t>
      </w:r>
      <w:r w:rsidRPr="00C778FE">
        <w:rPr>
          <w:b/>
        </w:rPr>
        <w:t>PRCC-1</w:t>
      </w:r>
      <w:r w:rsidRPr="00C778FE">
        <w:t xml:space="preserve"> gradually decreased upon lowering the loading amount of </w:t>
      </w:r>
      <w:r w:rsidRPr="00C778FE">
        <w:rPr>
          <w:b/>
        </w:rPr>
        <w:t>HCRu</w:t>
      </w:r>
      <w:r w:rsidRPr="00C778FE">
        <w:t xml:space="preserve"> (Figures S7 and S8 and Table S4). Furthermore, </w:t>
      </w:r>
      <w:r w:rsidR="008E7C1B" w:rsidRPr="00C778FE">
        <w:t>the H</w:t>
      </w:r>
      <w:r w:rsidR="008E7C1B" w:rsidRPr="00C778FE">
        <w:rPr>
          <w:vertAlign w:val="subscript"/>
        </w:rPr>
        <w:t>2</w:t>
      </w:r>
      <w:r w:rsidR="008E7C1B" w:rsidRPr="00C778FE">
        <w:t xml:space="preserve"> evolution activity of </w:t>
      </w:r>
      <w:r w:rsidRPr="00C778FE">
        <w:t xml:space="preserve">a </w:t>
      </w:r>
      <w:r w:rsidRPr="00C778FE">
        <w:rPr>
          <w:b/>
        </w:rPr>
        <w:t>PRCC-1</w:t>
      </w:r>
      <w:r w:rsidRPr="00C778FE">
        <w:t xml:space="preserve"> analog with [Fe(CN)</w:t>
      </w:r>
      <w:r w:rsidRPr="00C778FE">
        <w:rPr>
          <w:vertAlign w:val="subscript"/>
        </w:rPr>
        <w:t>6</w:t>
      </w:r>
      <w:r w:rsidRPr="00C778FE">
        <w:t>]</w:t>
      </w:r>
      <w:r w:rsidRPr="00C778FE">
        <w:rPr>
          <w:vertAlign w:val="superscript"/>
        </w:rPr>
        <w:t>4−</w:t>
      </w:r>
      <w:r w:rsidRPr="00C778FE">
        <w:t xml:space="preserve"> (</w:t>
      </w:r>
      <w:r w:rsidRPr="00C778FE">
        <w:rPr>
          <w:b/>
        </w:rPr>
        <w:t>HCFe</w:t>
      </w:r>
      <w:r w:rsidRPr="00C778FE">
        <w:t xml:space="preserve">) instead of </w:t>
      </w:r>
      <w:r w:rsidRPr="00C778FE">
        <w:rPr>
          <w:b/>
        </w:rPr>
        <w:t>HCRu</w:t>
      </w:r>
      <w:r w:rsidRPr="00C778FE">
        <w:rPr>
          <w:bCs/>
        </w:rPr>
        <w:t xml:space="preserve">, denoted as </w:t>
      </w:r>
      <w:r w:rsidRPr="00C778FE">
        <w:rPr>
          <w:b/>
        </w:rPr>
        <w:t>PRCC-2</w:t>
      </w:r>
      <w:r w:rsidRPr="00C778FE">
        <w:rPr>
          <w:bCs/>
        </w:rPr>
        <w:t>,</w:t>
      </w:r>
      <w:r w:rsidRPr="00C778FE">
        <w:t xml:space="preserve"> </w:t>
      </w:r>
      <w:r w:rsidR="008E7C1B" w:rsidRPr="00C778FE">
        <w:t xml:space="preserve">was </w:t>
      </w:r>
      <w:r w:rsidRPr="00C778FE">
        <w:t xml:space="preserve">36.3% lower than </w:t>
      </w:r>
      <w:r w:rsidR="00B32F4E" w:rsidRPr="00C778FE">
        <w:t xml:space="preserve">that of </w:t>
      </w:r>
      <w:r w:rsidRPr="00C778FE">
        <w:rPr>
          <w:b/>
        </w:rPr>
        <w:t>DDSP</w:t>
      </w:r>
      <w:r w:rsidRPr="00C778FE">
        <w:t xml:space="preserve"> (Figure 2 and Table 1), probably because of the negligible</w:t>
      </w:r>
      <w:r w:rsidR="00B32F4E" w:rsidRPr="00C778FE">
        <w:t xml:space="preserve"> difference in</w:t>
      </w:r>
      <w:r w:rsidRPr="00C778FE">
        <w:t xml:space="preserve"> redox potential between </w:t>
      </w:r>
      <w:r w:rsidRPr="00C778FE">
        <w:rPr>
          <w:b/>
        </w:rPr>
        <w:t>HCFe</w:t>
      </w:r>
      <w:r w:rsidRPr="00C778FE">
        <w:t xml:space="preserve"> and [Co(bpy)</w:t>
      </w:r>
      <w:r w:rsidRPr="00C778FE">
        <w:rPr>
          <w:vertAlign w:val="subscript"/>
        </w:rPr>
        <w:t>3</w:t>
      </w:r>
      <w:r w:rsidRPr="00C778FE">
        <w:t>]</w:t>
      </w:r>
      <w:r w:rsidRPr="00C778FE">
        <w:rPr>
          <w:vertAlign w:val="superscript"/>
        </w:rPr>
        <w:t>2+</w:t>
      </w:r>
      <w:r w:rsidRPr="00C778FE">
        <w:t xml:space="preserve"> (Figure 1, Fe(III)/Fe(II) at +0.36 V </w:t>
      </w:r>
      <w:r w:rsidRPr="00C778FE">
        <w:rPr>
          <w:vertAlign w:val="superscript"/>
        </w:rPr>
        <w:t>2</w:t>
      </w:r>
      <w:r w:rsidR="005344F0" w:rsidRPr="00C778FE">
        <w:rPr>
          <w:vertAlign w:val="superscript"/>
        </w:rPr>
        <w:t>7</w:t>
      </w:r>
      <w:r w:rsidRPr="00C778FE">
        <w:t xml:space="preserve"> and Co(III)/Co(II) at </w:t>
      </w:r>
      <w:r w:rsidR="00B32F4E" w:rsidRPr="00C778FE">
        <w:t>+</w:t>
      </w:r>
      <w:r w:rsidRPr="00C778FE">
        <w:t xml:space="preserve">0.32 V </w:t>
      </w:r>
      <w:r w:rsidRPr="00C778FE">
        <w:rPr>
          <w:vertAlign w:val="superscript"/>
        </w:rPr>
        <w:t>2</w:t>
      </w:r>
      <w:r w:rsidR="0059555E" w:rsidRPr="00C778FE">
        <w:rPr>
          <w:vertAlign w:val="superscript"/>
        </w:rPr>
        <w:t>6</w:t>
      </w:r>
      <w:r w:rsidRPr="00C778FE">
        <w:t xml:space="preserve"> vs. NHE, respectively). These results suggest that the three-step photoredox cascade structure with </w:t>
      </w:r>
      <w:r w:rsidR="00F03659" w:rsidRPr="00C778FE">
        <w:t xml:space="preserve">appropriate differences in </w:t>
      </w:r>
      <w:r w:rsidRPr="00C778FE">
        <w:t>redox potential (</w:t>
      </w:r>
      <w:r w:rsidRPr="00C778FE">
        <w:rPr>
          <w:b/>
        </w:rPr>
        <w:t>RuP</w:t>
      </w:r>
      <w:r w:rsidRPr="00C778FE">
        <w:rPr>
          <w:b/>
          <w:vertAlign w:val="superscript"/>
        </w:rPr>
        <w:t>6</w:t>
      </w:r>
      <w:r w:rsidR="005E4794" w:rsidRPr="00C778FE">
        <w:t>–</w:t>
      </w:r>
      <w:r w:rsidRPr="00C778FE">
        <w:rPr>
          <w:b/>
        </w:rPr>
        <w:t>RuCP</w:t>
      </w:r>
      <w:r w:rsidRPr="00C778FE">
        <w:rPr>
          <w:b/>
          <w:vertAlign w:val="superscript"/>
        </w:rPr>
        <w:t>6</w:t>
      </w:r>
      <w:r w:rsidR="005E4794" w:rsidRPr="00C778FE">
        <w:t>–</w:t>
      </w:r>
      <w:r w:rsidRPr="00C778FE">
        <w:rPr>
          <w:b/>
        </w:rPr>
        <w:t>HCRu</w:t>
      </w:r>
      <w:r w:rsidRPr="00C778FE">
        <w:t xml:space="preserve">) plays a key role in enhancing electron donation from </w:t>
      </w:r>
      <w:r w:rsidR="005E4794" w:rsidRPr="00C778FE">
        <w:t xml:space="preserve">the </w:t>
      </w:r>
      <w:r w:rsidRPr="00C778FE">
        <w:t>[Co(bpy)</w:t>
      </w:r>
      <w:r w:rsidRPr="00C778FE">
        <w:rPr>
          <w:vertAlign w:val="subscript"/>
        </w:rPr>
        <w:t>3</w:t>
      </w:r>
      <w:r w:rsidRPr="00C778FE">
        <w:t>]</w:t>
      </w:r>
      <w:r w:rsidRPr="00C778FE">
        <w:rPr>
          <w:vertAlign w:val="superscript"/>
        </w:rPr>
        <w:t>2+</w:t>
      </w:r>
      <w:r w:rsidRPr="00C778FE">
        <w:t xml:space="preserve"> RrED. Notably, </w:t>
      </w:r>
      <w:r w:rsidRPr="00C778FE">
        <w:rPr>
          <w:b/>
        </w:rPr>
        <w:t>PRCC-1</w:t>
      </w:r>
      <w:r w:rsidRPr="00C778FE">
        <w:t xml:space="preserve"> produced a slight but detectable amount of H</w:t>
      </w:r>
      <w:r w:rsidRPr="00C778FE">
        <w:rPr>
          <w:vertAlign w:val="subscript"/>
        </w:rPr>
        <w:t>2</w:t>
      </w:r>
      <w:r w:rsidRPr="00C778FE">
        <w:t xml:space="preserve"> (0.08 µmol) without [Co(bpy)</w:t>
      </w:r>
      <w:r w:rsidRPr="00C778FE">
        <w:rPr>
          <w:vertAlign w:val="subscript"/>
        </w:rPr>
        <w:t>3</w:t>
      </w:r>
      <w:r w:rsidRPr="00C778FE">
        <w:t>]</w:t>
      </w:r>
      <w:r w:rsidRPr="00C778FE">
        <w:rPr>
          <w:vertAlign w:val="superscript"/>
        </w:rPr>
        <w:t>2+</w:t>
      </w:r>
      <w:r w:rsidRPr="00C778FE">
        <w:t xml:space="preserve">, whereas </w:t>
      </w:r>
      <w:r w:rsidRPr="00C778FE">
        <w:rPr>
          <w:b/>
        </w:rPr>
        <w:t>DDSP</w:t>
      </w:r>
      <w:r w:rsidRPr="00C778FE">
        <w:t xml:space="preserve"> did not (Entries 4 and 5 in Table S3 and Figure S5). This suggests that</w:t>
      </w:r>
      <w:r w:rsidR="005E4794" w:rsidRPr="00C778FE">
        <w:t>, in the absence of an electron donor,</w:t>
      </w:r>
      <w:r w:rsidRPr="00C778FE">
        <w:t xml:space="preserve"> approximately 20–30% of </w:t>
      </w:r>
      <w:r w:rsidR="005E4794" w:rsidRPr="00C778FE">
        <w:t xml:space="preserve">the </w:t>
      </w:r>
      <w:r w:rsidRPr="00C778FE">
        <w:t xml:space="preserve">surface-immobilized </w:t>
      </w:r>
      <w:r w:rsidRPr="00C778FE">
        <w:rPr>
          <w:b/>
        </w:rPr>
        <w:t>HCRu</w:t>
      </w:r>
      <w:r w:rsidRPr="00C778FE">
        <w:t xml:space="preserve"> on </w:t>
      </w:r>
      <w:r w:rsidRPr="00C778FE">
        <w:rPr>
          <w:b/>
        </w:rPr>
        <w:t>PRCC-1</w:t>
      </w:r>
      <w:r w:rsidRPr="00C778FE">
        <w:t xml:space="preserve"> </w:t>
      </w:r>
      <w:r w:rsidR="00F03659" w:rsidRPr="00C778FE">
        <w:t xml:space="preserve">acts </w:t>
      </w:r>
      <w:r w:rsidRPr="00C778FE">
        <w:t>as an electron source for H</w:t>
      </w:r>
      <w:r w:rsidRPr="00C778FE">
        <w:rPr>
          <w:vertAlign w:val="subscript"/>
        </w:rPr>
        <w:t>2</w:t>
      </w:r>
      <w:r w:rsidRPr="00C778FE">
        <w:t xml:space="preserve"> evolution. </w:t>
      </w:r>
    </w:p>
    <w:bookmarkEnd w:id="3"/>
    <w:p w14:paraId="456C7C42" w14:textId="3D99FBCE" w:rsidR="00A24098" w:rsidRPr="00C778FE" w:rsidRDefault="00A24098" w:rsidP="00FA7FC5">
      <w:pPr>
        <w:pStyle w:val="TAMainText"/>
      </w:pPr>
      <w:r w:rsidRPr="00C778FE">
        <w:t xml:space="preserve">The photocatalytic activities of both </w:t>
      </w:r>
      <w:r w:rsidR="00B7496D" w:rsidRPr="00C778FE">
        <w:rPr>
          <w:b/>
          <w:bCs/>
        </w:rPr>
        <w:t>PRCC-1</w:t>
      </w:r>
      <w:r w:rsidR="00B7496D" w:rsidRPr="00C778FE">
        <w:t xml:space="preserve"> and </w:t>
      </w:r>
      <w:r w:rsidR="00B7496D" w:rsidRPr="00C778FE">
        <w:rPr>
          <w:b/>
          <w:bCs/>
        </w:rPr>
        <w:t>DDSP</w:t>
      </w:r>
      <w:r w:rsidRPr="00C778FE">
        <w:t xml:space="preserve"> decreased with time</w:t>
      </w:r>
      <w:r w:rsidR="00BC0766" w:rsidRPr="00C778FE">
        <w:t xml:space="preserve"> during the 6 h reaction</w:t>
      </w:r>
      <w:r w:rsidRPr="00C778FE">
        <w:t>, probably because of back electron transfer from the photoexcited Ru*(II) PS to the oxidized [Co(bpy)</w:t>
      </w:r>
      <w:r w:rsidRPr="00C778FE">
        <w:rPr>
          <w:vertAlign w:val="subscript"/>
        </w:rPr>
        <w:t>3</w:t>
      </w:r>
      <w:r w:rsidRPr="00C778FE">
        <w:t>]</w:t>
      </w:r>
      <w:r w:rsidRPr="00C778FE">
        <w:rPr>
          <w:vertAlign w:val="superscript"/>
        </w:rPr>
        <w:t>3+</w:t>
      </w:r>
      <w:r w:rsidRPr="00C778FE">
        <w:t xml:space="preserve">. However, </w:t>
      </w:r>
      <w:r w:rsidRPr="00C778FE">
        <w:rPr>
          <w:b/>
        </w:rPr>
        <w:t>PRCC-1</w:t>
      </w:r>
      <w:r w:rsidRPr="00C778FE">
        <w:t xml:space="preserve"> exhibited a remarkably higher PS TON (1</w:t>
      </w:r>
      <w:r w:rsidR="00BC0766" w:rsidRPr="00C778FE">
        <w:t>–</w:t>
      </w:r>
      <w:r w:rsidRPr="00C778FE">
        <w:t xml:space="preserve">2 h, PS TON = 26.4) than </w:t>
      </w:r>
      <w:r w:rsidRPr="00C778FE">
        <w:rPr>
          <w:b/>
        </w:rPr>
        <w:t>DDSP</w:t>
      </w:r>
      <w:r w:rsidRPr="00C778FE">
        <w:t xml:space="preserve"> (3</w:t>
      </w:r>
      <w:r w:rsidR="00BC0766" w:rsidRPr="00C778FE">
        <w:t>–</w:t>
      </w:r>
      <w:r w:rsidRPr="00C778FE">
        <w:t>4 h, PS TON = 5.9) when approximately one-third of the initially added [Co(bpy)</w:t>
      </w:r>
      <w:r w:rsidRPr="00C778FE">
        <w:rPr>
          <w:vertAlign w:val="subscript"/>
        </w:rPr>
        <w:t>3</w:t>
      </w:r>
      <w:r w:rsidRPr="00C778FE">
        <w:t>]</w:t>
      </w:r>
      <w:r w:rsidRPr="00C778FE">
        <w:rPr>
          <w:vertAlign w:val="superscript"/>
        </w:rPr>
        <w:t>2+</w:t>
      </w:r>
      <w:r w:rsidRPr="00C778FE">
        <w:t xml:space="preserve"> was one-electron oxidized (~5 mM). This suggests that the immobilization of </w:t>
      </w:r>
      <w:r w:rsidRPr="00C778FE">
        <w:rPr>
          <w:b/>
        </w:rPr>
        <w:t>HCRu</w:t>
      </w:r>
      <w:r w:rsidRPr="00C778FE">
        <w:t xml:space="preserve"> </w:t>
      </w:r>
      <w:r w:rsidR="00BC0766" w:rsidRPr="00C778FE">
        <w:t xml:space="preserve">as a </w:t>
      </w:r>
      <w:r w:rsidRPr="00C778FE">
        <w:t>RM is also effective for suppressing back electron transfer from PS* to oxidized [Co(bpy)</w:t>
      </w:r>
      <w:r w:rsidRPr="00C778FE">
        <w:rPr>
          <w:vertAlign w:val="subscript"/>
        </w:rPr>
        <w:t>3</w:t>
      </w:r>
      <w:r w:rsidRPr="00C778FE">
        <w:t>]</w:t>
      </w:r>
      <w:r w:rsidRPr="00C778FE">
        <w:rPr>
          <w:vertAlign w:val="superscript"/>
        </w:rPr>
        <w:t>3+</w:t>
      </w:r>
      <w:r w:rsidRPr="00C778FE">
        <w:t>.</w:t>
      </w:r>
      <w:r w:rsidR="00123D0E" w:rsidRPr="00C778FE">
        <w:t xml:space="preserve"> </w:t>
      </w:r>
      <w:bookmarkStart w:id="4" w:name="_Hlk127782462"/>
      <w:r w:rsidR="00123D0E" w:rsidRPr="00C778FE">
        <w:t xml:space="preserve">This is further supported by the fact that the </w:t>
      </w:r>
      <w:r w:rsidR="00123D0E" w:rsidRPr="00C778FE">
        <w:lastRenderedPageBreak/>
        <w:t xml:space="preserve">emission of </w:t>
      </w:r>
      <w:r w:rsidR="00123D0E" w:rsidRPr="00C778FE">
        <w:rPr>
          <w:b/>
          <w:bCs/>
        </w:rPr>
        <w:t>RuCP</w:t>
      </w:r>
      <w:r w:rsidR="00123D0E" w:rsidRPr="00C778FE">
        <w:rPr>
          <w:b/>
          <w:bCs/>
          <w:vertAlign w:val="superscript"/>
        </w:rPr>
        <w:t>6</w:t>
      </w:r>
      <w:r w:rsidR="00123D0E" w:rsidRPr="00C778FE">
        <w:t xml:space="preserve"> was hardly quenched by </w:t>
      </w:r>
      <w:r w:rsidR="00123D0E" w:rsidRPr="00C778FE">
        <w:rPr>
          <w:b/>
          <w:bCs/>
        </w:rPr>
        <w:t>HCRu</w:t>
      </w:r>
      <w:r w:rsidR="00AA4828" w:rsidRPr="00C778FE">
        <w:t xml:space="preserve"> (Figure S</w:t>
      </w:r>
      <w:r w:rsidR="008901E4" w:rsidRPr="00C778FE">
        <w:t>9</w:t>
      </w:r>
      <w:r w:rsidR="00AA4828" w:rsidRPr="00C778FE">
        <w:t>).</w:t>
      </w:r>
      <w:r w:rsidR="00123D0E" w:rsidRPr="00C778FE">
        <w:t xml:space="preserve"> </w:t>
      </w:r>
      <w:r w:rsidR="009C735D" w:rsidRPr="00C778FE">
        <w:t>Therefore</w:t>
      </w:r>
      <w:r w:rsidR="00AA4828" w:rsidRPr="00C778FE">
        <w:t xml:space="preserve">, </w:t>
      </w:r>
      <w:r w:rsidR="00123D0E" w:rsidRPr="00C778FE">
        <w:t>the photo</w:t>
      </w:r>
      <w:r w:rsidR="00AA4828" w:rsidRPr="00C778FE">
        <w:t xml:space="preserve">sensitization cycle of Ru(II) PSs </w:t>
      </w:r>
      <w:r w:rsidR="001A2464" w:rsidRPr="00C778FE">
        <w:t xml:space="preserve">of </w:t>
      </w:r>
      <w:r w:rsidR="001A2464" w:rsidRPr="00C778FE">
        <w:rPr>
          <w:b/>
          <w:bCs/>
        </w:rPr>
        <w:t>PRCC-1</w:t>
      </w:r>
      <w:r w:rsidR="001A2464" w:rsidRPr="00C778FE">
        <w:t xml:space="preserve"> </w:t>
      </w:r>
      <w:r w:rsidR="00AA4828" w:rsidRPr="00C778FE">
        <w:t xml:space="preserve">is </w:t>
      </w:r>
      <w:r w:rsidR="001A2464" w:rsidRPr="00C778FE">
        <w:t xml:space="preserve">not </w:t>
      </w:r>
      <w:r w:rsidR="009C735D" w:rsidRPr="00C778FE">
        <w:t xml:space="preserve">triggered by </w:t>
      </w:r>
      <w:r w:rsidR="001A2464" w:rsidRPr="00C778FE">
        <w:t xml:space="preserve">the reductive quenching </w:t>
      </w:r>
      <w:r w:rsidR="009C735D" w:rsidRPr="00C778FE">
        <w:t>of</w:t>
      </w:r>
      <w:r w:rsidR="001A2464" w:rsidRPr="00C778FE">
        <w:t xml:space="preserve"> </w:t>
      </w:r>
      <w:r w:rsidR="001A2464" w:rsidRPr="00C778FE">
        <w:rPr>
          <w:b/>
          <w:bCs/>
        </w:rPr>
        <w:t>HCRu</w:t>
      </w:r>
      <w:r w:rsidR="001A2464" w:rsidRPr="00C778FE">
        <w:t xml:space="preserve"> but </w:t>
      </w:r>
      <w:r w:rsidR="009C735D" w:rsidRPr="00C778FE">
        <w:t>by</w:t>
      </w:r>
      <w:r w:rsidR="00AA4828" w:rsidRPr="00C778FE">
        <w:t xml:space="preserve"> </w:t>
      </w:r>
      <w:r w:rsidR="001A2464" w:rsidRPr="00C778FE">
        <w:t xml:space="preserve">the </w:t>
      </w:r>
      <w:r w:rsidR="00AA4828" w:rsidRPr="00C778FE">
        <w:t xml:space="preserve">oxidative quenching </w:t>
      </w:r>
      <w:r w:rsidR="009C735D" w:rsidRPr="00C778FE">
        <w:t>of</w:t>
      </w:r>
      <w:r w:rsidR="00AA4828" w:rsidRPr="00C778FE">
        <w:t xml:space="preserve"> TiO</w:t>
      </w:r>
      <w:r w:rsidR="00AA4828" w:rsidRPr="00C778FE">
        <w:rPr>
          <w:vertAlign w:val="subscript"/>
        </w:rPr>
        <w:t>2</w:t>
      </w:r>
      <w:r w:rsidR="00AA4828" w:rsidRPr="00C778FE">
        <w:t xml:space="preserve"> nanoparticle (Figure 1).</w:t>
      </w:r>
      <w:bookmarkEnd w:id="4"/>
      <w:r w:rsidR="00AA4828" w:rsidRPr="00C778FE">
        <w:t xml:space="preserve"> </w:t>
      </w:r>
      <w:r w:rsidRPr="00C778FE">
        <w:rPr>
          <w:b/>
        </w:rPr>
        <w:t xml:space="preserve">PRCC-1 </w:t>
      </w:r>
      <w:r w:rsidRPr="00C778FE">
        <w:t>produced approximately 40 μmol of H</w:t>
      </w:r>
      <w:r w:rsidRPr="00C778FE">
        <w:rPr>
          <w:vertAlign w:val="subscript"/>
        </w:rPr>
        <w:t>2</w:t>
      </w:r>
      <w:r w:rsidRPr="00C778FE">
        <w:t xml:space="preserve"> after further irradiation for 1 d, suggesting that </w:t>
      </w:r>
      <w:r w:rsidR="00BC0766" w:rsidRPr="00C778FE">
        <w:t xml:space="preserve">the </w:t>
      </w:r>
      <w:r w:rsidRPr="00C778FE">
        <w:t>[Co(bpy)</w:t>
      </w:r>
      <w:r w:rsidRPr="00C778FE">
        <w:rPr>
          <w:vertAlign w:val="subscript"/>
        </w:rPr>
        <w:t>3</w:t>
      </w:r>
      <w:r w:rsidRPr="00C778FE">
        <w:t>]</w:t>
      </w:r>
      <w:r w:rsidRPr="00C778FE">
        <w:rPr>
          <w:vertAlign w:val="superscript"/>
        </w:rPr>
        <w:t>2+</w:t>
      </w:r>
      <w:r w:rsidRPr="00C778FE">
        <w:t xml:space="preserve"> RrED (82 μmol) was completely one-electron oxidized (Figure S</w:t>
      </w:r>
      <w:r w:rsidR="008901E4" w:rsidRPr="00C778FE">
        <w:t>10</w:t>
      </w:r>
      <w:r w:rsidRPr="00C778FE">
        <w:t xml:space="preserve">). This </w:t>
      </w:r>
      <w:r w:rsidR="00BC0766" w:rsidRPr="00C778FE">
        <w:t xml:space="preserve">was </w:t>
      </w:r>
      <w:r w:rsidRPr="00C778FE">
        <w:t xml:space="preserve">further supported by </w:t>
      </w:r>
      <w:r w:rsidRPr="00C778FE">
        <w:rPr>
          <w:vertAlign w:val="superscript"/>
        </w:rPr>
        <w:t>1</w:t>
      </w:r>
      <w:r w:rsidRPr="00C778FE">
        <w:t>H NMR spectroscopy, in which the characteristic proton signals assignable to the diamagnetic one-electron-oxidized [Co(bpy)</w:t>
      </w:r>
      <w:r w:rsidRPr="00C778FE">
        <w:rPr>
          <w:vertAlign w:val="subscript"/>
        </w:rPr>
        <w:t>3</w:t>
      </w:r>
      <w:r w:rsidRPr="00C778FE">
        <w:t>]</w:t>
      </w:r>
      <w:r w:rsidRPr="00C778FE">
        <w:rPr>
          <w:vertAlign w:val="superscript"/>
        </w:rPr>
        <w:t>3+</w:t>
      </w:r>
      <w:r w:rsidRPr="00C778FE">
        <w:t xml:space="preserve"> species were clearly observed without any signals of Ru(II) PSs (Figure S1</w:t>
      </w:r>
      <w:r w:rsidR="008901E4" w:rsidRPr="00C778FE">
        <w:t>1</w:t>
      </w:r>
      <w:r w:rsidRPr="00C778FE">
        <w:t>). The Ru/Zr molar ratio estimated by XRF spectroscopy hardly changed after 1</w:t>
      </w:r>
      <w:r w:rsidR="0066798C" w:rsidRPr="00C778FE">
        <w:t xml:space="preserve"> </w:t>
      </w:r>
      <w:r w:rsidRPr="00C778FE">
        <w:t>d of irradiation (Figure S1</w:t>
      </w:r>
      <w:r w:rsidR="008901E4" w:rsidRPr="00C778FE">
        <w:t>2</w:t>
      </w:r>
      <w:r w:rsidRPr="00C778FE">
        <w:t xml:space="preserve"> and Table S6), indicating that </w:t>
      </w:r>
      <w:r w:rsidR="0066798C" w:rsidRPr="00C778FE">
        <w:t xml:space="preserve">negligible desorption of </w:t>
      </w:r>
      <w:r w:rsidRPr="00C778FE">
        <w:rPr>
          <w:b/>
        </w:rPr>
        <w:t>HCRu</w:t>
      </w:r>
      <w:r w:rsidRPr="00C778FE">
        <w:t xml:space="preserve"> from </w:t>
      </w:r>
      <w:r w:rsidR="0066798C" w:rsidRPr="00C778FE">
        <w:t xml:space="preserve">the </w:t>
      </w:r>
      <w:r w:rsidRPr="00C778FE">
        <w:rPr>
          <w:b/>
        </w:rPr>
        <w:t>PRCC-1</w:t>
      </w:r>
      <w:r w:rsidRPr="00C778FE">
        <w:t xml:space="preserve"> surface </w:t>
      </w:r>
      <w:r w:rsidR="0066798C" w:rsidRPr="00C778FE">
        <w:t xml:space="preserve">occurred </w:t>
      </w:r>
      <w:r w:rsidRPr="00C778FE">
        <w:t xml:space="preserve">under these reaction conditions (pH = 2). </w:t>
      </w:r>
      <w:bookmarkStart w:id="5" w:name="_Hlk127738897"/>
      <w:r w:rsidRPr="00C778FE">
        <w:t xml:space="preserve"> </w:t>
      </w:r>
      <w:r w:rsidR="00231F9B" w:rsidRPr="00C778FE">
        <w:t>Further, two-cycle photocatalytic H</w:t>
      </w:r>
      <w:r w:rsidR="00231F9B" w:rsidRPr="00C778FE">
        <w:rPr>
          <w:vertAlign w:val="subscript"/>
        </w:rPr>
        <w:t>2</w:t>
      </w:r>
      <w:r w:rsidR="00231F9B" w:rsidRPr="00C778FE">
        <w:t xml:space="preserve"> evolution experiment of </w:t>
      </w:r>
      <w:r w:rsidR="00231F9B" w:rsidRPr="00C778FE">
        <w:rPr>
          <w:b/>
          <w:bCs/>
        </w:rPr>
        <w:t>PRCC-1</w:t>
      </w:r>
      <w:r w:rsidR="00231F9B" w:rsidRPr="00C778FE">
        <w:t xml:space="preserve"> revealed that H</w:t>
      </w:r>
      <w:r w:rsidR="00231F9B" w:rsidRPr="00C778FE">
        <w:rPr>
          <w:vertAlign w:val="subscript"/>
        </w:rPr>
        <w:t>2</w:t>
      </w:r>
      <w:r w:rsidR="00231F9B" w:rsidRPr="00C778FE">
        <w:t xml:space="preserve"> production was restarted by addition of [Co(bpy)</w:t>
      </w:r>
      <w:r w:rsidR="00231F9B" w:rsidRPr="00C778FE">
        <w:rPr>
          <w:vertAlign w:val="subscript"/>
        </w:rPr>
        <w:t>3</w:t>
      </w:r>
      <w:r w:rsidR="00231F9B" w:rsidRPr="00C778FE">
        <w:t>]</w:t>
      </w:r>
      <w:r w:rsidR="00231F9B" w:rsidRPr="00C778FE">
        <w:rPr>
          <w:vertAlign w:val="superscript"/>
        </w:rPr>
        <w:t>2+</w:t>
      </w:r>
      <w:r w:rsidR="00231F9B" w:rsidRPr="00C778FE">
        <w:t xml:space="preserve"> RrED (Figure S</w:t>
      </w:r>
      <w:r w:rsidR="008901E4" w:rsidRPr="00C778FE">
        <w:t>13</w:t>
      </w:r>
      <w:r w:rsidR="00231F9B" w:rsidRPr="00C778FE">
        <w:t xml:space="preserve">), indicating that the gradual decrease of photocatalytic activity is not due to the decomposition of </w:t>
      </w:r>
      <w:r w:rsidR="00231F9B" w:rsidRPr="00C778FE">
        <w:rPr>
          <w:b/>
          <w:bCs/>
        </w:rPr>
        <w:t>PRCC-1</w:t>
      </w:r>
      <w:r w:rsidR="00231F9B" w:rsidRPr="00C778FE">
        <w:t xml:space="preserve"> but due to </w:t>
      </w:r>
      <w:r w:rsidR="0008480D" w:rsidRPr="00C778FE">
        <w:t>some</w:t>
      </w:r>
      <w:r w:rsidR="00231F9B" w:rsidRPr="00C778FE">
        <w:t xml:space="preserve"> backward reaction</w:t>
      </w:r>
      <w:r w:rsidR="0008480D" w:rsidRPr="00C778FE">
        <w:t>s</w:t>
      </w:r>
      <w:r w:rsidR="00231F9B" w:rsidRPr="00C778FE">
        <w:t xml:space="preserve"> with RrED. </w:t>
      </w:r>
      <w:bookmarkEnd w:id="5"/>
    </w:p>
    <w:p w14:paraId="6DE7B775" w14:textId="308E176D" w:rsidR="00A24098" w:rsidRPr="00C778FE" w:rsidRDefault="00A24098" w:rsidP="00FA7FC5">
      <w:pPr>
        <w:pStyle w:val="TAMainText"/>
      </w:pPr>
      <w:r w:rsidRPr="00C778FE">
        <w:t xml:space="preserve">To further clarify the electron-mediating effect of the surface-immobilized </w:t>
      </w:r>
      <w:r w:rsidRPr="00C778FE">
        <w:rPr>
          <w:b/>
        </w:rPr>
        <w:t>HCRu</w:t>
      </w:r>
      <w:r w:rsidRPr="00C778FE">
        <w:t>, the photocatalytic H</w:t>
      </w:r>
      <w:r w:rsidRPr="00C778FE">
        <w:rPr>
          <w:vertAlign w:val="subscript"/>
        </w:rPr>
        <w:t>2</w:t>
      </w:r>
      <w:r w:rsidRPr="00C778FE">
        <w:t xml:space="preserve"> production activity of </w:t>
      </w:r>
      <w:r w:rsidRPr="00C778FE">
        <w:rPr>
          <w:b/>
        </w:rPr>
        <w:t>PRCC-1</w:t>
      </w:r>
      <w:r w:rsidRPr="00C778FE">
        <w:t xml:space="preserve"> was investigated in the presence of hydroquinone </w:t>
      </w:r>
      <w:r w:rsidR="00A35E65" w:rsidRPr="00C778FE">
        <w:t>mono</w:t>
      </w:r>
      <w:r w:rsidRPr="00C778FE">
        <w:t>sulfonate (H</w:t>
      </w:r>
      <w:r w:rsidRPr="00C778FE">
        <w:rPr>
          <w:vertAlign w:val="subscript"/>
        </w:rPr>
        <w:t>2</w:t>
      </w:r>
      <w:r w:rsidRPr="00C778FE">
        <w:t>QS</w:t>
      </w:r>
      <w:r w:rsidRPr="00C778FE">
        <w:rPr>
          <w:vertAlign w:val="superscript"/>
        </w:rPr>
        <w:t>−</w:t>
      </w:r>
      <w:r w:rsidRPr="00C778FE">
        <w:t>), which is a</w:t>
      </w:r>
      <w:r w:rsidR="00C23F13" w:rsidRPr="00C778FE">
        <w:t>n analog of the</w:t>
      </w:r>
      <w:r w:rsidRPr="00C778FE">
        <w:t xml:space="preserve"> proton and electron mediator (</w:t>
      </w:r>
      <w:r w:rsidR="00C23F13" w:rsidRPr="00C778FE">
        <w:t>that is,</w:t>
      </w:r>
      <w:r w:rsidRPr="00C778FE">
        <w:t xml:space="preserve"> </w:t>
      </w:r>
      <w:r w:rsidR="00C23F13" w:rsidRPr="00C778FE">
        <w:t xml:space="preserve">a </w:t>
      </w:r>
      <w:r w:rsidRPr="00C778FE">
        <w:t>hydrogen atom mediator, H</w:t>
      </w:r>
      <w:r w:rsidRPr="00C778FE">
        <w:rPr>
          <w:vertAlign w:val="subscript"/>
        </w:rPr>
        <w:t>2</w:t>
      </w:r>
      <w:r w:rsidRPr="00C778FE">
        <w:t>QS</w:t>
      </w:r>
      <w:r w:rsidRPr="00C778FE">
        <w:rPr>
          <w:vertAlign w:val="superscript"/>
        </w:rPr>
        <w:t>−</w:t>
      </w:r>
      <w:r w:rsidRPr="00C778FE">
        <w:t xml:space="preserve"> → BQS</w:t>
      </w:r>
      <w:r w:rsidRPr="00C778FE">
        <w:rPr>
          <w:vertAlign w:val="superscript"/>
        </w:rPr>
        <w:t>−</w:t>
      </w:r>
      <w:r w:rsidRPr="00C778FE">
        <w:t xml:space="preserve"> + 2e</w:t>
      </w:r>
      <w:r w:rsidRPr="00C778FE">
        <w:rPr>
          <w:vertAlign w:val="superscript"/>
        </w:rPr>
        <w:t>−</w:t>
      </w:r>
      <w:r w:rsidRPr="00C778FE">
        <w:t xml:space="preserve"> + 2H</w:t>
      </w:r>
      <w:r w:rsidRPr="00C778FE">
        <w:rPr>
          <w:vertAlign w:val="superscript"/>
        </w:rPr>
        <w:t>+</w:t>
      </w:r>
      <w:r w:rsidRPr="00C778FE">
        <w:t xml:space="preserve">) used in the electron transport chain </w:t>
      </w:r>
      <w:r w:rsidR="00C23F13" w:rsidRPr="00C778FE">
        <w:t xml:space="preserve">of </w:t>
      </w:r>
      <w:r w:rsidRPr="00C778FE">
        <w:t>natural photosynthesis (Figure 2b).</w:t>
      </w:r>
      <w:r w:rsidRPr="00C778FE">
        <w:rPr>
          <w:vertAlign w:val="superscript"/>
        </w:rPr>
        <w:t>2</w:t>
      </w:r>
      <w:r w:rsidR="005344F0" w:rsidRPr="00C778FE">
        <w:rPr>
          <w:vertAlign w:val="superscript"/>
        </w:rPr>
        <w:t>8</w:t>
      </w:r>
      <w:r w:rsidRPr="00C778FE">
        <w:rPr>
          <w:vertAlign w:val="superscript"/>
        </w:rPr>
        <w:t>,2</w:t>
      </w:r>
      <w:r w:rsidR="005344F0" w:rsidRPr="00C778FE">
        <w:rPr>
          <w:vertAlign w:val="superscript"/>
        </w:rPr>
        <w:t>9</w:t>
      </w:r>
      <w:r w:rsidRPr="00C778FE">
        <w:t xml:space="preserve"> Although </w:t>
      </w:r>
      <w:r w:rsidR="00C23F13" w:rsidRPr="00C778FE">
        <w:t xml:space="preserve">dye-sensitized photocatalytic </w:t>
      </w:r>
      <w:r w:rsidRPr="00C778FE">
        <w:t>H</w:t>
      </w:r>
      <w:r w:rsidRPr="00C778FE">
        <w:rPr>
          <w:vertAlign w:val="subscript"/>
        </w:rPr>
        <w:t>2</w:t>
      </w:r>
      <w:r w:rsidRPr="00C778FE">
        <w:t xml:space="preserve"> production from hydrogen atom mediator</w:t>
      </w:r>
      <w:r w:rsidR="0066798C" w:rsidRPr="00C778FE">
        <w:t>s</w:t>
      </w:r>
      <w:r w:rsidRPr="00C778FE">
        <w:t xml:space="preserve"> has scarcely </w:t>
      </w:r>
      <w:r w:rsidR="0066798C" w:rsidRPr="00C778FE">
        <w:t xml:space="preserve">been </w:t>
      </w:r>
      <w:r w:rsidRPr="00C778FE">
        <w:t xml:space="preserve">reported, both </w:t>
      </w:r>
      <w:r w:rsidRPr="00C778FE">
        <w:rPr>
          <w:b/>
        </w:rPr>
        <w:t>PRCC-1</w:t>
      </w:r>
      <w:r w:rsidRPr="00C778FE">
        <w:t xml:space="preserve"> and </w:t>
      </w:r>
      <w:r w:rsidRPr="00C778FE">
        <w:rPr>
          <w:b/>
        </w:rPr>
        <w:t>DDSP</w:t>
      </w:r>
      <w:r w:rsidRPr="00C778FE">
        <w:t xml:space="preserve"> successfully produced H</w:t>
      </w:r>
      <w:r w:rsidRPr="00C778FE">
        <w:rPr>
          <w:vertAlign w:val="subscript"/>
        </w:rPr>
        <w:t>2</w:t>
      </w:r>
      <w:r w:rsidRPr="00C778FE">
        <w:t xml:space="preserve"> </w:t>
      </w:r>
      <w:r w:rsidR="0032017B" w:rsidRPr="00C778FE">
        <w:t>from H</w:t>
      </w:r>
      <w:r w:rsidR="0032017B" w:rsidRPr="00C778FE">
        <w:rPr>
          <w:vertAlign w:val="subscript"/>
        </w:rPr>
        <w:t>2</w:t>
      </w:r>
      <w:r w:rsidR="0032017B" w:rsidRPr="00C778FE">
        <w:t>QS</w:t>
      </w:r>
      <w:r w:rsidR="0032017B" w:rsidRPr="00C778FE">
        <w:rPr>
          <w:vertAlign w:val="superscript"/>
        </w:rPr>
        <w:t>−</w:t>
      </w:r>
      <w:r w:rsidR="0032017B" w:rsidRPr="00C778FE">
        <w:t xml:space="preserve"> </w:t>
      </w:r>
      <w:r w:rsidRPr="00C778FE">
        <w:t xml:space="preserve">photocatalytically. The estimated </w:t>
      </w:r>
      <w:r w:rsidRPr="00C778FE">
        <w:rPr>
          <w:i/>
        </w:rPr>
        <w:t>i</w:t>
      </w:r>
      <w:r w:rsidRPr="00C778FE">
        <w:t xml:space="preserve">AQY </w:t>
      </w:r>
      <w:r w:rsidR="0066798C" w:rsidRPr="00C778FE">
        <w:t xml:space="preserve">for </w:t>
      </w:r>
      <w:r w:rsidRPr="00C778FE">
        <w:rPr>
          <w:b/>
        </w:rPr>
        <w:t>PRCC-1</w:t>
      </w:r>
      <w:r w:rsidRPr="00C778FE">
        <w:t xml:space="preserve"> (1.10%) was approximately twice that </w:t>
      </w:r>
      <w:r w:rsidR="0066798C" w:rsidRPr="00C778FE">
        <w:t>for</w:t>
      </w:r>
      <w:r w:rsidRPr="00C778FE">
        <w:t xml:space="preserve"> </w:t>
      </w:r>
      <w:r w:rsidRPr="00C778FE">
        <w:rPr>
          <w:b/>
        </w:rPr>
        <w:t xml:space="preserve">DDSP </w:t>
      </w:r>
      <w:r w:rsidRPr="00C778FE">
        <w:t>(</w:t>
      </w:r>
      <w:r w:rsidRPr="00C778FE">
        <w:rPr>
          <w:i/>
        </w:rPr>
        <w:t>i</w:t>
      </w:r>
      <w:r w:rsidRPr="00C778FE">
        <w:t>AQY = 0.519%), even though the driving force for electron donation from H</w:t>
      </w:r>
      <w:r w:rsidRPr="00C778FE">
        <w:rPr>
          <w:vertAlign w:val="subscript"/>
        </w:rPr>
        <w:t>2</w:t>
      </w:r>
      <w:r w:rsidRPr="00C778FE">
        <w:t>QS</w:t>
      </w:r>
      <w:r w:rsidRPr="00C778FE">
        <w:rPr>
          <w:vertAlign w:val="superscript"/>
        </w:rPr>
        <w:t>−</w:t>
      </w:r>
      <w:r w:rsidRPr="00C778FE">
        <w:t xml:space="preserve"> to the </w:t>
      </w:r>
      <w:r w:rsidRPr="00C778FE">
        <w:rPr>
          <w:b/>
        </w:rPr>
        <w:t>HCRu</w:t>
      </w:r>
      <w:r w:rsidRPr="00C778FE">
        <w:t xml:space="preserve"> of </w:t>
      </w:r>
      <w:r w:rsidRPr="00C778FE">
        <w:rPr>
          <w:b/>
        </w:rPr>
        <w:t>PRCC-1</w:t>
      </w:r>
      <w:r w:rsidRPr="00C778FE">
        <w:t xml:space="preserve"> was smaller than that to the one-electron</w:t>
      </w:r>
      <w:r w:rsidR="0066798C" w:rsidRPr="00C778FE">
        <w:t>-</w:t>
      </w:r>
      <w:r w:rsidRPr="00C778FE">
        <w:t xml:space="preserve">oxidized </w:t>
      </w:r>
      <w:r w:rsidRPr="00C778FE">
        <w:rPr>
          <w:b/>
        </w:rPr>
        <w:t>RuCP</w:t>
      </w:r>
      <w:r w:rsidRPr="00C778FE">
        <w:rPr>
          <w:b/>
          <w:bCs/>
          <w:vertAlign w:val="superscript"/>
        </w:rPr>
        <w:t>6</w:t>
      </w:r>
      <w:r w:rsidRPr="00C778FE">
        <w:t>(h</w:t>
      </w:r>
      <w:r w:rsidRPr="00C778FE">
        <w:rPr>
          <w:vertAlign w:val="superscript"/>
        </w:rPr>
        <w:t>+</w:t>
      </w:r>
      <w:r w:rsidRPr="00C778FE">
        <w:t xml:space="preserve">) of </w:t>
      </w:r>
      <w:r w:rsidRPr="00C778FE">
        <w:rPr>
          <w:b/>
        </w:rPr>
        <w:t xml:space="preserve">DDSP </w:t>
      </w:r>
      <w:r w:rsidRPr="00C778FE">
        <w:t xml:space="preserve">(Figure 1), suggesting </w:t>
      </w:r>
      <w:r w:rsidR="00146055" w:rsidRPr="00C778FE">
        <w:t xml:space="preserve">that </w:t>
      </w:r>
      <w:r w:rsidR="00146055" w:rsidRPr="00C778FE">
        <w:rPr>
          <w:b/>
          <w:bCs/>
        </w:rPr>
        <w:t>HCRu</w:t>
      </w:r>
      <w:r w:rsidR="00146055" w:rsidRPr="00C778FE">
        <w:t xml:space="preserve"> has a </w:t>
      </w:r>
      <w:r w:rsidRPr="00C778FE">
        <w:t>superior electron-mediating effect.</w:t>
      </w:r>
      <w:r w:rsidRPr="00C778FE">
        <w:rPr>
          <w:i/>
        </w:rPr>
        <w:t xml:space="preserve"> </w:t>
      </w:r>
      <w:r w:rsidRPr="00C778FE">
        <w:t xml:space="preserve">Although the </w:t>
      </w:r>
      <w:r w:rsidRPr="00C778FE">
        <w:rPr>
          <w:i/>
        </w:rPr>
        <w:t>i</w:t>
      </w:r>
      <w:r w:rsidRPr="00C778FE">
        <w:t xml:space="preserve">AQY of </w:t>
      </w:r>
      <w:r w:rsidRPr="00C778FE">
        <w:rPr>
          <w:b/>
        </w:rPr>
        <w:t>PRCC-1</w:t>
      </w:r>
      <w:r w:rsidRPr="00C778FE">
        <w:t xml:space="preserve"> decreased </w:t>
      </w:r>
      <w:r w:rsidR="0066798C" w:rsidRPr="00C778FE">
        <w:t xml:space="preserve">by </w:t>
      </w:r>
      <w:r w:rsidRPr="00C778FE">
        <w:t xml:space="preserve">approximately </w:t>
      </w:r>
      <w:r w:rsidR="0066798C" w:rsidRPr="00C778FE">
        <w:t>two</w:t>
      </w:r>
      <w:r w:rsidRPr="00C778FE">
        <w:t>-third</w:t>
      </w:r>
      <w:r w:rsidR="0066798C" w:rsidRPr="00C778FE">
        <w:t>s</w:t>
      </w:r>
      <w:r w:rsidRPr="00C778FE">
        <w:t xml:space="preserve"> (</w:t>
      </w:r>
      <w:r w:rsidRPr="00C778FE">
        <w:rPr>
          <w:i/>
        </w:rPr>
        <w:t>i</w:t>
      </w:r>
      <w:r w:rsidRPr="00C778FE">
        <w:t>AQY = 0.345%) when the H</w:t>
      </w:r>
      <w:r w:rsidRPr="00C778FE">
        <w:rPr>
          <w:vertAlign w:val="subscript"/>
        </w:rPr>
        <w:t>2</w:t>
      </w:r>
      <w:r w:rsidRPr="00C778FE">
        <w:t>QS</w:t>
      </w:r>
      <w:r w:rsidRPr="00C778FE">
        <w:rPr>
          <w:vertAlign w:val="superscript"/>
        </w:rPr>
        <w:t>−</w:t>
      </w:r>
      <w:r w:rsidRPr="00C778FE">
        <w:t xml:space="preserve"> concentration </w:t>
      </w:r>
      <w:r w:rsidR="0066798C" w:rsidRPr="00C778FE">
        <w:t xml:space="preserve">was reduced </w:t>
      </w:r>
      <w:r w:rsidRPr="00C778FE">
        <w:t>to 16.4 mM (Figure S1</w:t>
      </w:r>
      <w:r w:rsidR="008901E4" w:rsidRPr="00C778FE">
        <w:t>4</w:t>
      </w:r>
      <w:r w:rsidRPr="00C778FE">
        <w:t>), the pH of the reaction solution after 6 h of irradiation was almost unchanged (~2.0). These results suggest that H</w:t>
      </w:r>
      <w:r w:rsidRPr="00C778FE">
        <w:rPr>
          <w:vertAlign w:val="subscript"/>
        </w:rPr>
        <w:t>2</w:t>
      </w:r>
      <w:r w:rsidRPr="00C778FE">
        <w:t>QSK acted not only as an electron source but also as a proton source for H</w:t>
      </w:r>
      <w:r w:rsidRPr="00C778FE">
        <w:rPr>
          <w:vertAlign w:val="subscript"/>
        </w:rPr>
        <w:t>2</w:t>
      </w:r>
      <w:r w:rsidRPr="00C778FE">
        <w:t xml:space="preserve"> production. Further characterization of the oxidation byproduct from H</w:t>
      </w:r>
      <w:r w:rsidRPr="00C778FE">
        <w:rPr>
          <w:vertAlign w:val="subscript"/>
        </w:rPr>
        <w:t>2</w:t>
      </w:r>
      <w:r w:rsidRPr="00C778FE">
        <w:t xml:space="preserve">QSK is necessary; however, it is noteworthy that </w:t>
      </w:r>
      <w:r w:rsidRPr="00C778FE">
        <w:rPr>
          <w:b/>
        </w:rPr>
        <w:t>PRCC-1</w:t>
      </w:r>
      <w:r w:rsidRPr="00C778FE">
        <w:t xml:space="preserve"> exhibited a remarkably high </w:t>
      </w:r>
      <w:r w:rsidRPr="00C778FE">
        <w:rPr>
          <w:i/>
        </w:rPr>
        <w:t>i</w:t>
      </w:r>
      <w:r w:rsidRPr="00C778FE">
        <w:t xml:space="preserve">AQY of over 1% in the presence of </w:t>
      </w:r>
      <w:r w:rsidR="0066798C" w:rsidRPr="00C778FE">
        <w:t xml:space="preserve">a </w:t>
      </w:r>
      <w:r w:rsidRPr="00C778FE">
        <w:t>hydrogen atom mediator, H</w:t>
      </w:r>
      <w:r w:rsidRPr="00C778FE">
        <w:rPr>
          <w:vertAlign w:val="subscript"/>
        </w:rPr>
        <w:t>2</w:t>
      </w:r>
      <w:r w:rsidRPr="00C778FE">
        <w:t>QS</w:t>
      </w:r>
      <w:r w:rsidRPr="00C778FE">
        <w:rPr>
          <w:vertAlign w:val="superscript"/>
        </w:rPr>
        <w:t>−</w:t>
      </w:r>
      <w:r w:rsidRPr="00C778FE">
        <w:t xml:space="preserve">. </w:t>
      </w:r>
      <w:bookmarkStart w:id="6" w:name="_Hlk127779832"/>
      <w:r w:rsidR="00B52D1C" w:rsidRPr="00C778FE">
        <w:t>Our preliminary experiments in the other RrED (K</w:t>
      </w:r>
      <w:r w:rsidR="00B52D1C" w:rsidRPr="00C778FE">
        <w:rPr>
          <w:vertAlign w:val="subscript"/>
        </w:rPr>
        <w:t>4</w:t>
      </w:r>
      <w:r w:rsidR="00B52D1C" w:rsidRPr="00C778FE">
        <w:t>[Fe(CN)</w:t>
      </w:r>
      <w:r w:rsidR="00B52D1C" w:rsidRPr="00C778FE">
        <w:rPr>
          <w:vertAlign w:val="subscript"/>
        </w:rPr>
        <w:t>6</w:t>
      </w:r>
      <w:r w:rsidR="00B52D1C" w:rsidRPr="00C778FE">
        <w:t>] and KI, Figure S</w:t>
      </w:r>
      <w:r w:rsidR="00F87278" w:rsidRPr="00C778FE">
        <w:t>15</w:t>
      </w:r>
      <w:r w:rsidR="00B52D1C" w:rsidRPr="00C778FE">
        <w:t xml:space="preserve">) solutions suggest that the number of donatable electron </w:t>
      </w:r>
      <w:r w:rsidR="00C456D0" w:rsidRPr="00C778FE">
        <w:t>by</w:t>
      </w:r>
      <w:r w:rsidR="00B52D1C" w:rsidRPr="00C778FE">
        <w:t xml:space="preserve"> RrED </w:t>
      </w:r>
      <w:r w:rsidR="00C456D0" w:rsidRPr="00C778FE">
        <w:t>could be</w:t>
      </w:r>
      <w:r w:rsidR="00B52D1C" w:rsidRPr="00C778FE">
        <w:t xml:space="preserve"> a key factor for the photocatalytic activity of </w:t>
      </w:r>
      <w:r w:rsidR="00B52D1C" w:rsidRPr="00C778FE">
        <w:rPr>
          <w:b/>
          <w:bCs/>
        </w:rPr>
        <w:t>PRCC-1</w:t>
      </w:r>
      <w:r w:rsidR="00B52D1C" w:rsidRPr="00C778FE">
        <w:t>.</w:t>
      </w:r>
      <w:bookmarkEnd w:id="6"/>
      <w:r w:rsidR="00B52D1C" w:rsidRPr="00C778FE">
        <w:t xml:space="preserve"> </w:t>
      </w:r>
      <w:r w:rsidR="001A2464" w:rsidRPr="00C778FE">
        <w:t>Considering that photocatalytic activity of the single dye sensitized analogue</w:t>
      </w:r>
      <w:r w:rsidR="00100FB6" w:rsidRPr="00C778FE">
        <w:t>s</w:t>
      </w:r>
      <w:r w:rsidR="001A2464" w:rsidRPr="00C778FE">
        <w:t xml:space="preserve"> </w:t>
      </w:r>
      <w:r w:rsidR="00100FB6" w:rsidRPr="00C778FE">
        <w:t>(</w:t>
      </w:r>
      <w:r w:rsidR="00100FB6" w:rsidRPr="00C778FE">
        <w:rPr>
          <w:b/>
          <w:bCs/>
        </w:rPr>
        <w:t>HCM</w:t>
      </w:r>
      <w:r w:rsidR="00100FB6" w:rsidRPr="00C778FE">
        <w:t>-Zr-</w:t>
      </w:r>
      <w:r w:rsidR="00100FB6" w:rsidRPr="00C778FE">
        <w:rPr>
          <w:b/>
          <w:bCs/>
        </w:rPr>
        <w:t>RuP</w:t>
      </w:r>
      <w:r w:rsidR="00100FB6" w:rsidRPr="00C778FE">
        <w:rPr>
          <w:b/>
          <w:bCs/>
          <w:vertAlign w:val="superscript"/>
        </w:rPr>
        <w:t>6</w:t>
      </w:r>
      <w:r w:rsidR="00100FB6" w:rsidRPr="00C778FE">
        <w:t>@Pt-TiO</w:t>
      </w:r>
      <w:r w:rsidR="00100FB6" w:rsidRPr="00C778FE">
        <w:rPr>
          <w:vertAlign w:val="subscript"/>
        </w:rPr>
        <w:t>2</w:t>
      </w:r>
      <w:r w:rsidR="00100FB6" w:rsidRPr="00C778FE">
        <w:t xml:space="preserve">) </w:t>
      </w:r>
      <w:r w:rsidR="001A2464" w:rsidRPr="00C778FE">
        <w:t xml:space="preserve">was hardly improved by immobilization of </w:t>
      </w:r>
      <w:r w:rsidR="001A2464" w:rsidRPr="00C778FE">
        <w:rPr>
          <w:b/>
          <w:bCs/>
        </w:rPr>
        <w:t>HC</w:t>
      </w:r>
      <w:r w:rsidR="00100FB6" w:rsidRPr="00C778FE">
        <w:rPr>
          <w:b/>
          <w:bCs/>
        </w:rPr>
        <w:t>M</w:t>
      </w:r>
      <w:r w:rsidR="001A2464" w:rsidRPr="00C778FE">
        <w:t xml:space="preserve"> (Figure S</w:t>
      </w:r>
      <w:r w:rsidR="00F87278" w:rsidRPr="00C778FE">
        <w:t>16</w:t>
      </w:r>
      <w:r w:rsidR="001A2464" w:rsidRPr="00C778FE">
        <w:t>), the</w:t>
      </w:r>
      <w:r w:rsidR="001A2464" w:rsidRPr="00C778FE">
        <w:rPr>
          <w:vertAlign w:val="subscript"/>
        </w:rPr>
        <w:t xml:space="preserve"> </w:t>
      </w:r>
      <w:r w:rsidR="001A2464" w:rsidRPr="00C778FE">
        <w:t>rapid electron and energy transfers in the dual-dye layer structure</w:t>
      </w:r>
      <w:r w:rsidR="00100FB6" w:rsidRPr="00C778FE">
        <w:rPr>
          <w:rFonts w:hint="eastAsia"/>
          <w:vertAlign w:val="superscript"/>
          <w:lang w:eastAsia="ja-JP"/>
        </w:rPr>
        <w:t>3</w:t>
      </w:r>
      <w:r w:rsidR="00100FB6" w:rsidRPr="00C778FE">
        <w:rPr>
          <w:vertAlign w:val="superscript"/>
          <w:lang w:eastAsia="ja-JP"/>
        </w:rPr>
        <w:t>0</w:t>
      </w:r>
      <w:r w:rsidR="000C4E94" w:rsidRPr="00C778FE">
        <w:rPr>
          <w:vertAlign w:val="superscript"/>
          <w:lang w:eastAsia="ja-JP"/>
        </w:rPr>
        <w:t>,31</w:t>
      </w:r>
      <w:r w:rsidR="001A2464" w:rsidRPr="00C778FE">
        <w:t xml:space="preserve"> should play the key role on the effective charge-separation process. </w:t>
      </w:r>
      <w:r w:rsidRPr="00C778FE">
        <w:t>These results emphasize the importance of the electron-mediating effect for multi-electron transfer at the photocatalyst</w:t>
      </w:r>
      <w:r w:rsidR="0066798C" w:rsidRPr="00C778FE">
        <w:t>–</w:t>
      </w:r>
      <w:r w:rsidRPr="00C778FE">
        <w:t xml:space="preserve">RM interface. </w:t>
      </w:r>
    </w:p>
    <w:p w14:paraId="1467B50E" w14:textId="31CD9C2D" w:rsidR="00A24098" w:rsidRPr="00C778FE" w:rsidRDefault="00A24098" w:rsidP="00FA7FC5">
      <w:pPr>
        <w:pStyle w:val="TAMainText"/>
      </w:pPr>
      <w:r w:rsidRPr="00C778FE">
        <w:t xml:space="preserve">In summary, we synthesized a novel photoredox cascade catalyst, </w:t>
      </w:r>
      <w:r w:rsidRPr="00C778FE">
        <w:rPr>
          <w:b/>
        </w:rPr>
        <w:t>PRCC-1</w:t>
      </w:r>
      <w:r w:rsidRPr="00C778FE">
        <w:t xml:space="preserve">, that mimics the electron transport chain of natural photosynthesis by using two Ru(II) </w:t>
      </w:r>
      <w:r w:rsidR="009B2F54" w:rsidRPr="00C778FE">
        <w:t xml:space="preserve">PSs </w:t>
      </w:r>
      <w:r w:rsidRPr="00C778FE">
        <w:t>and a visible-light-transparent electron mediator. Photocatalytic H</w:t>
      </w:r>
      <w:r w:rsidRPr="00C778FE">
        <w:rPr>
          <w:vertAlign w:val="subscript"/>
        </w:rPr>
        <w:t>2</w:t>
      </w:r>
      <w:r w:rsidRPr="00C778FE">
        <w:t xml:space="preserve"> production </w:t>
      </w:r>
      <w:r w:rsidR="00A41D61" w:rsidRPr="00C778FE">
        <w:t xml:space="preserve">was successfully achieved </w:t>
      </w:r>
      <w:r w:rsidRPr="00C778FE">
        <w:t xml:space="preserve">from </w:t>
      </w:r>
      <w:r w:rsidR="00A41D61" w:rsidRPr="00C778FE">
        <w:t xml:space="preserve">both </w:t>
      </w:r>
      <w:r w:rsidR="0066798C" w:rsidRPr="00C778FE">
        <w:t>a RrE</w:t>
      </w:r>
      <w:r w:rsidR="00C95C09" w:rsidRPr="00C778FE">
        <w:t>D</w:t>
      </w:r>
      <w:r w:rsidR="0066798C" w:rsidRPr="00C778FE">
        <w:t xml:space="preserve"> </w:t>
      </w:r>
      <w:r w:rsidRPr="00C778FE">
        <w:t>[Co(bpy)</w:t>
      </w:r>
      <w:r w:rsidRPr="00C778FE">
        <w:rPr>
          <w:vertAlign w:val="subscript"/>
        </w:rPr>
        <w:t>3</w:t>
      </w:r>
      <w:r w:rsidRPr="00C778FE">
        <w:t>]</w:t>
      </w:r>
      <w:r w:rsidRPr="00C778FE">
        <w:rPr>
          <w:vertAlign w:val="superscript"/>
        </w:rPr>
        <w:t>2+</w:t>
      </w:r>
      <w:r w:rsidRPr="00C778FE">
        <w:t xml:space="preserve"> and hydrogen atom donor H</w:t>
      </w:r>
      <w:r w:rsidRPr="00C778FE">
        <w:rPr>
          <w:vertAlign w:val="subscript"/>
        </w:rPr>
        <w:t>2</w:t>
      </w:r>
      <w:r w:rsidRPr="00C778FE">
        <w:t>QSK</w:t>
      </w:r>
      <w:r w:rsidR="00A41D61" w:rsidRPr="00C778FE">
        <w:t>,</w:t>
      </w:r>
      <w:r w:rsidRPr="00C778FE">
        <w:t xml:space="preserve"> with the highest </w:t>
      </w:r>
      <w:r w:rsidR="00A41D61" w:rsidRPr="00C778FE">
        <w:t xml:space="preserve">reported </w:t>
      </w:r>
      <w:r w:rsidRPr="00C778FE">
        <w:rPr>
          <w:i/>
        </w:rPr>
        <w:t>i</w:t>
      </w:r>
      <w:r w:rsidRPr="00C778FE">
        <w:t xml:space="preserve">AQY </w:t>
      </w:r>
      <w:r w:rsidR="00A41D61" w:rsidRPr="00C778FE">
        <w:t>values (</w:t>
      </w:r>
      <w:r w:rsidRPr="00C778FE">
        <w:t>over 2 and 1%, respectively</w:t>
      </w:r>
      <w:r w:rsidR="00A41D61" w:rsidRPr="00C778FE">
        <w:t>)</w:t>
      </w:r>
      <w:r w:rsidRPr="00C778FE">
        <w:t xml:space="preserve"> among dye-sensitized TiO</w:t>
      </w:r>
      <w:r w:rsidRPr="00C778FE">
        <w:rPr>
          <w:vertAlign w:val="subscript"/>
        </w:rPr>
        <w:t>2</w:t>
      </w:r>
      <w:r w:rsidRPr="00C778FE">
        <w:t xml:space="preserve"> photocatalytic systems</w:t>
      </w:r>
      <w:r w:rsidR="00146055" w:rsidRPr="00C778FE">
        <w:t xml:space="preserve"> to date</w:t>
      </w:r>
      <w:r w:rsidRPr="00C778FE">
        <w:t xml:space="preserve">. </w:t>
      </w:r>
      <w:bookmarkStart w:id="7" w:name="_Hlk127779339"/>
      <w:r w:rsidR="0008480D" w:rsidRPr="00C778FE">
        <w:t xml:space="preserve">Although these values are still </w:t>
      </w:r>
      <w:r w:rsidR="00B52D1C" w:rsidRPr="00C778FE">
        <w:t xml:space="preserve">one-order of magnitude </w:t>
      </w:r>
      <w:r w:rsidR="0008480D" w:rsidRPr="00C778FE">
        <w:t xml:space="preserve">lower than that in the sacrificial </w:t>
      </w:r>
      <w:r w:rsidR="0008480D" w:rsidRPr="00C778FE">
        <w:t xml:space="preserve">electron donor </w:t>
      </w:r>
      <w:r w:rsidR="00B52D1C" w:rsidRPr="00C778FE">
        <w:t xml:space="preserve">solution </w:t>
      </w:r>
      <w:r w:rsidR="0008480D" w:rsidRPr="00C778FE">
        <w:t>(</w:t>
      </w:r>
      <w:r w:rsidR="00B52D1C" w:rsidRPr="00C778FE">
        <w:rPr>
          <w:i/>
          <w:iCs/>
        </w:rPr>
        <w:t>i</w:t>
      </w:r>
      <w:r w:rsidR="00B52D1C" w:rsidRPr="00C778FE">
        <w:t xml:space="preserve">AQY = 12% for </w:t>
      </w:r>
      <w:r w:rsidR="00B52D1C" w:rsidRPr="00C778FE">
        <w:rPr>
          <w:b/>
          <w:bCs/>
        </w:rPr>
        <w:t>PRCC-1</w:t>
      </w:r>
      <w:r w:rsidR="00B52D1C" w:rsidRPr="00C778FE">
        <w:t xml:space="preserve"> in </w:t>
      </w:r>
      <w:r w:rsidR="00B52D1C" w:rsidRPr="00C778FE">
        <w:rPr>
          <w:i/>
          <w:iCs/>
        </w:rPr>
        <w:t>L</w:t>
      </w:r>
      <w:r w:rsidR="00B52D1C" w:rsidRPr="00C778FE">
        <w:t>-ascorbic acid aqueous solution, Figure S</w:t>
      </w:r>
      <w:r w:rsidR="00F87278" w:rsidRPr="00C778FE">
        <w:t>17</w:t>
      </w:r>
      <w:r w:rsidR="00B52D1C" w:rsidRPr="00C778FE">
        <w:t>),</w:t>
      </w:r>
      <w:r w:rsidR="0008480D" w:rsidRPr="00C778FE">
        <w:t xml:space="preserve"> </w:t>
      </w:r>
      <w:r w:rsidR="00B52D1C" w:rsidRPr="00C778FE">
        <w:t>t</w:t>
      </w:r>
      <w:r w:rsidRPr="00C778FE">
        <w:t>hese findings indicate that photoredox cascade structure</w:t>
      </w:r>
      <w:r w:rsidR="00146055" w:rsidRPr="00C778FE">
        <w:t>s</w:t>
      </w:r>
      <w:r w:rsidRPr="00C778FE">
        <w:t xml:space="preserve"> formed by the molecular layering of PS</w:t>
      </w:r>
      <w:r w:rsidR="00146055" w:rsidRPr="00C778FE">
        <w:t>s</w:t>
      </w:r>
      <w:r w:rsidRPr="00C778FE">
        <w:t xml:space="preserve"> and RM</w:t>
      </w:r>
      <w:r w:rsidR="00146055" w:rsidRPr="00C778FE">
        <w:t>s</w:t>
      </w:r>
      <w:r w:rsidRPr="00C778FE">
        <w:t xml:space="preserve"> on a semiconductor catalyst surface </w:t>
      </w:r>
      <w:r w:rsidR="00146055" w:rsidRPr="00C778FE">
        <w:t xml:space="preserve">are </w:t>
      </w:r>
      <w:r w:rsidRPr="00C778FE">
        <w:t xml:space="preserve">effective for </w:t>
      </w:r>
      <w:r w:rsidR="00146055" w:rsidRPr="00C778FE">
        <w:t xml:space="preserve">achieving </w:t>
      </w:r>
      <w:r w:rsidRPr="00C778FE">
        <w:t>one-directional electron transfer at the photocatalyst</w:t>
      </w:r>
      <w:r w:rsidR="00A41D61" w:rsidRPr="00C778FE">
        <w:t>–</w:t>
      </w:r>
      <w:r w:rsidRPr="00C778FE">
        <w:t>RM interface, as suggested by the electron transport chain in natural photosynthesis.</w:t>
      </w:r>
      <w:bookmarkEnd w:id="7"/>
    </w:p>
    <w:p w14:paraId="2BC5208B" w14:textId="77777777" w:rsidR="00A71C00" w:rsidRPr="00C778FE" w:rsidRDefault="00157E12" w:rsidP="00591AC2">
      <w:pPr>
        <w:pStyle w:val="SectionTitle"/>
        <w:rPr>
          <w:rFonts w:hint="eastAsia"/>
        </w:rPr>
      </w:pPr>
      <w:r w:rsidRPr="00C778FE">
        <w:t>ASSOCIATED CONTENT</w:t>
      </w:r>
      <w:r w:rsidR="00A66EDD" w:rsidRPr="00C778FE">
        <w:t xml:space="preserve"> </w:t>
      </w:r>
    </w:p>
    <w:p w14:paraId="447E2FB1" w14:textId="77777777" w:rsidR="004D5F3A" w:rsidRPr="00C778FE" w:rsidRDefault="00157E12" w:rsidP="00591AC2">
      <w:pPr>
        <w:pStyle w:val="SectionSubtitle"/>
        <w:rPr>
          <w:rFonts w:hint="eastAsia"/>
        </w:rPr>
      </w:pPr>
      <w:r w:rsidRPr="00C778FE">
        <w:t>Supporting Information</w:t>
      </w:r>
    </w:p>
    <w:p w14:paraId="0E5CB61A" w14:textId="77777777" w:rsidR="00A24098" w:rsidRPr="00C778FE" w:rsidRDefault="006A3746" w:rsidP="006A3746">
      <w:pPr>
        <w:pStyle w:val="SectionContent"/>
      </w:pPr>
      <w:r w:rsidRPr="00C778FE">
        <w:t>The Supporting Information is available free of charge on the ACS Publications website.</w:t>
      </w:r>
    </w:p>
    <w:p w14:paraId="49FE28FF" w14:textId="07A29874" w:rsidR="00A24098" w:rsidRPr="00C778FE" w:rsidRDefault="006A3746" w:rsidP="00A24098">
      <w:pPr>
        <w:pStyle w:val="SectionContent"/>
      </w:pPr>
      <w:r w:rsidRPr="00C778FE">
        <w:br/>
      </w:r>
      <w:r w:rsidR="00A24098" w:rsidRPr="00C778FE">
        <w:t>Experimental details; UV−vis absorption spectra of all supernatant solutions obtained in the syntheses; XRF spectra and estimated M/Zr molar ratio</w:t>
      </w:r>
      <w:r w:rsidR="00146055" w:rsidRPr="00C778FE">
        <w:t>s</w:t>
      </w:r>
      <w:r w:rsidR="00A24098" w:rsidRPr="00C778FE">
        <w:t xml:space="preserve"> of </w:t>
      </w:r>
      <w:r w:rsidR="00A24098" w:rsidRPr="00C778FE">
        <w:rPr>
          <w:b/>
        </w:rPr>
        <w:t>PRCC-1</w:t>
      </w:r>
      <w:r w:rsidR="00A24098" w:rsidRPr="00C778FE">
        <w:t xml:space="preserve">, </w:t>
      </w:r>
      <w:r w:rsidR="00A24098" w:rsidRPr="00C778FE">
        <w:rPr>
          <w:b/>
        </w:rPr>
        <w:t>PRCC-2</w:t>
      </w:r>
      <w:r w:rsidR="00A24098" w:rsidRPr="00C778FE">
        <w:t>, and</w:t>
      </w:r>
      <w:r w:rsidR="00A24098" w:rsidRPr="00C778FE">
        <w:rPr>
          <w:b/>
        </w:rPr>
        <w:t xml:space="preserve"> DDSP</w:t>
      </w:r>
      <w:r w:rsidR="00A24098" w:rsidRPr="00C778FE">
        <w:t xml:space="preserve">; Experimental power X-ray diffraction patterns of </w:t>
      </w:r>
      <w:r w:rsidR="00A24098" w:rsidRPr="00C778FE">
        <w:rPr>
          <w:b/>
        </w:rPr>
        <w:t>PRCC-1</w:t>
      </w:r>
      <w:r w:rsidR="00A24098" w:rsidRPr="00C778FE">
        <w:t xml:space="preserve">; Particle diameter distributions estimated by dynamic light scattering for </w:t>
      </w:r>
      <w:r w:rsidR="00A24098" w:rsidRPr="00C778FE">
        <w:rPr>
          <w:b/>
        </w:rPr>
        <w:t>DDSP</w:t>
      </w:r>
      <w:r w:rsidR="00A24098" w:rsidRPr="00C778FE">
        <w:t xml:space="preserve"> and </w:t>
      </w:r>
      <w:r w:rsidR="00A24098" w:rsidRPr="00C778FE">
        <w:rPr>
          <w:b/>
        </w:rPr>
        <w:t>PRCC-1</w:t>
      </w:r>
      <w:r w:rsidR="00A24098" w:rsidRPr="00C778FE">
        <w:t xml:space="preserve">; Control experiments of photocatalytic </w:t>
      </w:r>
      <w:r w:rsidR="00A01470" w:rsidRPr="00C778FE">
        <w:t>H</w:t>
      </w:r>
      <w:r w:rsidR="00A01470" w:rsidRPr="00C778FE">
        <w:rPr>
          <w:vertAlign w:val="subscript"/>
        </w:rPr>
        <w:t>2</w:t>
      </w:r>
      <w:r w:rsidR="00A24098" w:rsidRPr="00C778FE">
        <w:t xml:space="preserve"> evolution of </w:t>
      </w:r>
      <w:r w:rsidR="00A24098" w:rsidRPr="00C778FE">
        <w:rPr>
          <w:b/>
        </w:rPr>
        <w:t xml:space="preserve">PRCC-1 </w:t>
      </w:r>
      <w:r w:rsidR="00A24098" w:rsidRPr="00C778FE">
        <w:t xml:space="preserve">and </w:t>
      </w:r>
      <w:r w:rsidR="00A24098" w:rsidRPr="00C778FE">
        <w:rPr>
          <w:b/>
        </w:rPr>
        <w:t>DDSP</w:t>
      </w:r>
      <w:r w:rsidR="00A24098" w:rsidRPr="00C778FE">
        <w:t>; Cyclic voltammograms of H</w:t>
      </w:r>
      <w:r w:rsidR="00A24098" w:rsidRPr="00C778FE">
        <w:rPr>
          <w:vertAlign w:val="subscript"/>
        </w:rPr>
        <w:t>2</w:t>
      </w:r>
      <w:r w:rsidR="00A24098" w:rsidRPr="00C778FE">
        <w:t>QSK; Photocatalytic H</w:t>
      </w:r>
      <w:r w:rsidR="00A24098" w:rsidRPr="00C778FE">
        <w:rPr>
          <w:vertAlign w:val="subscript"/>
        </w:rPr>
        <w:t>2</w:t>
      </w:r>
      <w:r w:rsidR="00A24098" w:rsidRPr="00C778FE">
        <w:t xml:space="preserve"> evolution reactions and XRF spectra of </w:t>
      </w:r>
      <w:r w:rsidR="00A24098" w:rsidRPr="00C778FE">
        <w:rPr>
          <w:b/>
        </w:rPr>
        <w:t xml:space="preserve">PRCC-1 </w:t>
      </w:r>
      <w:r w:rsidR="00A24098" w:rsidRPr="00C778FE">
        <w:t xml:space="preserve">after washing with water; </w:t>
      </w:r>
      <w:r w:rsidR="00A24098" w:rsidRPr="00C778FE">
        <w:rPr>
          <w:vertAlign w:val="superscript"/>
        </w:rPr>
        <w:t>1</w:t>
      </w:r>
      <w:r w:rsidR="00A24098" w:rsidRPr="00C778FE">
        <w:t>H NMR spectra of the supernatant after H</w:t>
      </w:r>
      <w:r w:rsidR="00A24098" w:rsidRPr="00C778FE">
        <w:rPr>
          <w:vertAlign w:val="subscript"/>
        </w:rPr>
        <w:t>2</w:t>
      </w:r>
      <w:r w:rsidR="00A24098" w:rsidRPr="00C778FE">
        <w:t xml:space="preserve"> evolution reaction; H</w:t>
      </w:r>
      <w:r w:rsidR="00A24098" w:rsidRPr="00C778FE">
        <w:rPr>
          <w:vertAlign w:val="subscript"/>
        </w:rPr>
        <w:t>2</w:t>
      </w:r>
      <w:r w:rsidR="00A24098" w:rsidRPr="00C778FE">
        <w:t>QSK concentration dependence of H</w:t>
      </w:r>
      <w:r w:rsidR="00A24098" w:rsidRPr="00C778FE">
        <w:rPr>
          <w:vertAlign w:val="subscript"/>
        </w:rPr>
        <w:t>2</w:t>
      </w:r>
      <w:r w:rsidR="00A24098" w:rsidRPr="00C778FE">
        <w:t xml:space="preserve"> evolution reaction driven by </w:t>
      </w:r>
      <w:r w:rsidR="00A24098" w:rsidRPr="00C778FE">
        <w:rPr>
          <w:b/>
        </w:rPr>
        <w:t>PRCC-1</w:t>
      </w:r>
      <w:r w:rsidR="00A24098" w:rsidRPr="00C778FE">
        <w:t>.</w:t>
      </w:r>
      <w:r w:rsidRPr="00C778FE">
        <w:t xml:space="preserve"> (PDF)</w:t>
      </w:r>
    </w:p>
    <w:p w14:paraId="4E805F1E" w14:textId="77777777" w:rsidR="007331FF" w:rsidRPr="00C778FE" w:rsidRDefault="007331FF" w:rsidP="00591AC2">
      <w:pPr>
        <w:pStyle w:val="SectionTitle"/>
        <w:rPr>
          <w:rFonts w:hint="eastAsia"/>
        </w:rPr>
      </w:pPr>
      <w:r w:rsidRPr="00C778FE">
        <w:t>A</w:t>
      </w:r>
      <w:r w:rsidR="00835CBD" w:rsidRPr="00C778FE">
        <w:t>UTHOR INFORMATION</w:t>
      </w:r>
    </w:p>
    <w:p w14:paraId="2DCDD05A" w14:textId="77777777" w:rsidR="00E75388" w:rsidRPr="00C778FE" w:rsidRDefault="00101D1F" w:rsidP="00591AC2">
      <w:pPr>
        <w:pStyle w:val="SectionSubtitle"/>
        <w:rPr>
          <w:rFonts w:hint="eastAsia"/>
        </w:rPr>
      </w:pPr>
      <w:r w:rsidRPr="00C778FE">
        <w:t>Corresponding Author</w:t>
      </w:r>
    </w:p>
    <w:p w14:paraId="69298ED1" w14:textId="2961ED41" w:rsidR="00A24098" w:rsidRPr="00C778FE" w:rsidRDefault="00A24098" w:rsidP="00A24098">
      <w:pPr>
        <w:pStyle w:val="SectionContent"/>
      </w:pPr>
      <w:r w:rsidRPr="00C778FE">
        <w:t xml:space="preserve">*Atsushi Kobayashi. Department of Chemistry, Faculty of Science, Hokkaido University, Sapporo 060-0810, Japan; orcid.org/0000-0002-1937-7698; Email: </w:t>
      </w:r>
      <w:hyperlink r:id="rId11" w:history="1">
        <w:r w:rsidRPr="00C778FE">
          <w:rPr>
            <w:rStyle w:val="a6"/>
          </w:rPr>
          <w:t>akoba@sci.hokudai.ac.jp</w:t>
        </w:r>
      </w:hyperlink>
      <w:r w:rsidRPr="00C778FE">
        <w:t>.</w:t>
      </w:r>
    </w:p>
    <w:p w14:paraId="776DDEE8" w14:textId="77777777" w:rsidR="005327A4" w:rsidRPr="00C778FE" w:rsidRDefault="008D567C" w:rsidP="00591AC2">
      <w:pPr>
        <w:pStyle w:val="SectionSubtitle"/>
        <w:rPr>
          <w:rFonts w:hint="eastAsia"/>
        </w:rPr>
      </w:pPr>
      <w:r w:rsidRPr="00C778FE">
        <w:t>Author Contributions</w:t>
      </w:r>
    </w:p>
    <w:p w14:paraId="53D0561A" w14:textId="77777777" w:rsidR="00A24098" w:rsidRPr="00C778FE" w:rsidRDefault="00A24098" w:rsidP="00A24098">
      <w:pPr>
        <w:pStyle w:val="SectionContent"/>
      </w:pPr>
      <w:r w:rsidRPr="00C778FE">
        <w:t xml:space="preserve">The manuscript was written through contributions of all authors. All authors have given approval to the final version of the manuscript. </w:t>
      </w:r>
    </w:p>
    <w:p w14:paraId="1855F661" w14:textId="51CECC4C" w:rsidR="00725A59" w:rsidRPr="00C778FE" w:rsidRDefault="008D567C" w:rsidP="00591AC2">
      <w:pPr>
        <w:pStyle w:val="SectionContent"/>
      </w:pPr>
      <w:r w:rsidRPr="00C778FE">
        <w:br/>
      </w:r>
      <w:r w:rsidRPr="00C778FE">
        <w:rPr>
          <w:rStyle w:val="SectionSubtitleChar"/>
        </w:rPr>
        <w:t>Notes</w:t>
      </w:r>
      <w:r w:rsidRPr="00C778FE">
        <w:rPr>
          <w:rStyle w:val="SectionSubtitleChar"/>
        </w:rPr>
        <w:br/>
      </w:r>
      <w:r w:rsidR="00725A59" w:rsidRPr="00C778FE">
        <w:t>The authors declare no competing financial interests.</w:t>
      </w:r>
    </w:p>
    <w:p w14:paraId="1B02D0CD" w14:textId="77777777" w:rsidR="007331FF" w:rsidRPr="00C778FE" w:rsidRDefault="007331FF" w:rsidP="00591AC2">
      <w:pPr>
        <w:pStyle w:val="SectionTitle"/>
        <w:rPr>
          <w:rFonts w:hint="eastAsia"/>
        </w:rPr>
      </w:pPr>
      <w:r w:rsidRPr="00C778FE">
        <w:t xml:space="preserve">ACKNOWLEDGMENT </w:t>
      </w:r>
    </w:p>
    <w:p w14:paraId="67A3A829" w14:textId="60F8B7EC" w:rsidR="00A66EDD" w:rsidRPr="00C778FE" w:rsidRDefault="00A24098" w:rsidP="00DD604A">
      <w:pPr>
        <w:pStyle w:val="SectionContent"/>
      </w:pPr>
      <w:r w:rsidRPr="00C778FE">
        <w:t>This study was supported by the ENEOS Hydrogen Trust Fund, Casio Science Promotion Foundation, Iwatani Naoji Foundation, JSPS KAKENHI (grant numbers JP20H05082 and 22K19039), and the Hokkaido University DX Doctoral Fellowship (grant number JPMJSP2119).</w:t>
      </w:r>
    </w:p>
    <w:p w14:paraId="0C770A42" w14:textId="77777777" w:rsidR="00101D1F" w:rsidRPr="00C778FE" w:rsidRDefault="00101D1F" w:rsidP="00591AC2">
      <w:pPr>
        <w:pStyle w:val="SectionTitle"/>
        <w:rPr>
          <w:rFonts w:hint="eastAsia"/>
        </w:rPr>
      </w:pPr>
      <w:r w:rsidRPr="00C778FE">
        <w:t>REFERENCES</w:t>
      </w:r>
    </w:p>
    <w:p w14:paraId="56F82A9B" w14:textId="044DB02C" w:rsidR="00A24098" w:rsidRPr="00C778FE" w:rsidRDefault="00A24098" w:rsidP="00A24098">
      <w:pPr>
        <w:pStyle w:val="TFReferencesSection"/>
      </w:pPr>
      <w:r w:rsidRPr="00C778FE">
        <w:t>1</w:t>
      </w:r>
      <w:r w:rsidRPr="00C778FE">
        <w:tab/>
        <w:t xml:space="preserve">Fujishima, A.; Honda, K. Electrochemical Photolysis of Water at a Semiconductor Electrode. </w:t>
      </w:r>
      <w:r w:rsidRPr="00C778FE">
        <w:rPr>
          <w:i/>
        </w:rPr>
        <w:t>Nature</w:t>
      </w:r>
      <w:r w:rsidRPr="00C778FE">
        <w:t xml:space="preserve"> </w:t>
      </w:r>
      <w:r w:rsidRPr="00C778FE">
        <w:rPr>
          <w:b/>
        </w:rPr>
        <w:t>1972</w:t>
      </w:r>
      <w:r w:rsidRPr="00C778FE">
        <w:t xml:space="preserve">, </w:t>
      </w:r>
      <w:r w:rsidRPr="00C778FE">
        <w:rPr>
          <w:i/>
          <w:iCs/>
        </w:rPr>
        <w:t>238</w:t>
      </w:r>
      <w:r w:rsidRPr="00C778FE">
        <w:t>, 37–38.</w:t>
      </w:r>
    </w:p>
    <w:p w14:paraId="09876D3B" w14:textId="7D3BA17F" w:rsidR="00A24098" w:rsidRPr="00C778FE" w:rsidRDefault="00A24098" w:rsidP="00A24098">
      <w:pPr>
        <w:pStyle w:val="TFReferencesSection"/>
      </w:pPr>
      <w:r w:rsidRPr="00C778FE">
        <w:t>2</w:t>
      </w:r>
      <w:r w:rsidRPr="00C778FE">
        <w:tab/>
        <w:t>Acharya, S.; Padhi, D. K.; Parida, K. M. Visible Light Driven LaFeO</w:t>
      </w:r>
      <w:r w:rsidRPr="00C778FE">
        <w:rPr>
          <w:vertAlign w:val="subscript"/>
        </w:rPr>
        <w:t>3</w:t>
      </w:r>
      <w:r w:rsidRPr="00C778FE">
        <w:t xml:space="preserve"> Nanosphere/RGO Composite Photocatalysts for Efficient Water Decomposition Reaction.</w:t>
      </w:r>
      <w:r w:rsidRPr="00C778FE">
        <w:rPr>
          <w:i/>
        </w:rPr>
        <w:t xml:space="preserve"> Catal. Today</w:t>
      </w:r>
      <w:r w:rsidRPr="00C778FE">
        <w:t xml:space="preserve"> </w:t>
      </w:r>
      <w:r w:rsidRPr="00C778FE">
        <w:rPr>
          <w:b/>
        </w:rPr>
        <w:t>2020</w:t>
      </w:r>
      <w:r w:rsidRPr="00C778FE">
        <w:t xml:space="preserve">, </w:t>
      </w:r>
      <w:r w:rsidRPr="00C778FE">
        <w:rPr>
          <w:i/>
          <w:iCs/>
        </w:rPr>
        <w:t>353</w:t>
      </w:r>
      <w:r w:rsidRPr="00C778FE">
        <w:t>, 220–231.</w:t>
      </w:r>
    </w:p>
    <w:p w14:paraId="2B7619A5" w14:textId="3A9158BA" w:rsidR="00A24098" w:rsidRPr="00C778FE" w:rsidRDefault="00A24098" w:rsidP="00A24098">
      <w:pPr>
        <w:pStyle w:val="TFReferencesSection"/>
      </w:pPr>
      <w:r w:rsidRPr="00C778FE">
        <w:t>3</w:t>
      </w:r>
      <w:r w:rsidRPr="00C778FE">
        <w:tab/>
        <w:t xml:space="preserve">Graetzel, M. Artificial Photosynthesis: Water Cleavage into Hydrogen and Oxygen by Visible Light. </w:t>
      </w:r>
      <w:r w:rsidRPr="00C778FE">
        <w:rPr>
          <w:i/>
        </w:rPr>
        <w:t>Acc. Chem. Res.</w:t>
      </w:r>
      <w:r w:rsidRPr="00C778FE">
        <w:t xml:space="preserve"> </w:t>
      </w:r>
      <w:r w:rsidRPr="00C778FE">
        <w:rPr>
          <w:b/>
        </w:rPr>
        <w:t>1981</w:t>
      </w:r>
      <w:r w:rsidRPr="00C778FE">
        <w:t xml:space="preserve">, </w:t>
      </w:r>
      <w:r w:rsidRPr="00C778FE">
        <w:rPr>
          <w:i/>
          <w:iCs/>
        </w:rPr>
        <w:t>14</w:t>
      </w:r>
      <w:r w:rsidRPr="00C778FE">
        <w:t>, 376–384.</w:t>
      </w:r>
    </w:p>
    <w:p w14:paraId="6CC2A508" w14:textId="51BECFE2" w:rsidR="00A24098" w:rsidRPr="00C778FE" w:rsidRDefault="00A24098" w:rsidP="00A24098">
      <w:pPr>
        <w:pStyle w:val="TFReferencesSection"/>
      </w:pPr>
      <w:r w:rsidRPr="00C778FE">
        <w:t>4</w:t>
      </w:r>
      <w:r w:rsidRPr="00C778FE">
        <w:tab/>
        <w:t xml:space="preserve">Ma, Y.; Wang, X.; Jia, Y.; Chen, X.; Han, H.; Li, C. Titanium Dioxide-Based Nanomaterials for Photocatalytic Fuel Generations. </w:t>
      </w:r>
      <w:r w:rsidRPr="00C778FE">
        <w:rPr>
          <w:i/>
        </w:rPr>
        <w:t>Chem. Rev.</w:t>
      </w:r>
      <w:r w:rsidRPr="00C778FE">
        <w:t xml:space="preserve"> </w:t>
      </w:r>
      <w:r w:rsidRPr="00C778FE">
        <w:rPr>
          <w:b/>
        </w:rPr>
        <w:t>2014</w:t>
      </w:r>
      <w:r w:rsidRPr="00C778FE">
        <w:t xml:space="preserve">, </w:t>
      </w:r>
      <w:r w:rsidRPr="00C778FE">
        <w:rPr>
          <w:i/>
          <w:iCs/>
        </w:rPr>
        <w:t>114</w:t>
      </w:r>
      <w:r w:rsidRPr="00C778FE">
        <w:t>, 9987–10043.</w:t>
      </w:r>
    </w:p>
    <w:p w14:paraId="024218CC" w14:textId="3EF4A17B" w:rsidR="00A24098" w:rsidRPr="00C778FE" w:rsidRDefault="00A24098" w:rsidP="00A24098">
      <w:pPr>
        <w:pStyle w:val="TFReferencesSection"/>
      </w:pPr>
      <w:r w:rsidRPr="00C778FE">
        <w:t>5</w:t>
      </w:r>
      <w:r w:rsidRPr="00C778FE">
        <w:tab/>
        <w:t xml:space="preserve">Kudo, A.; Miseki, Y. Heterogeneous Photocatalyst Materials for Water Splitting. </w:t>
      </w:r>
      <w:r w:rsidRPr="00C778FE">
        <w:rPr>
          <w:i/>
        </w:rPr>
        <w:t>Chem. Soc. Rev.</w:t>
      </w:r>
      <w:r w:rsidRPr="00C778FE">
        <w:t xml:space="preserve"> </w:t>
      </w:r>
      <w:r w:rsidRPr="00C778FE">
        <w:rPr>
          <w:b/>
        </w:rPr>
        <w:t>2009</w:t>
      </w:r>
      <w:r w:rsidRPr="00C778FE">
        <w:t xml:space="preserve">, </w:t>
      </w:r>
      <w:r w:rsidRPr="00C778FE">
        <w:rPr>
          <w:i/>
          <w:iCs/>
        </w:rPr>
        <w:t>38</w:t>
      </w:r>
      <w:r w:rsidRPr="00C778FE">
        <w:t>, 253–278.</w:t>
      </w:r>
    </w:p>
    <w:p w14:paraId="3CBE0B5F" w14:textId="56D8A16C" w:rsidR="00A24098" w:rsidRPr="00C778FE" w:rsidRDefault="00A24098" w:rsidP="00A24098">
      <w:pPr>
        <w:pStyle w:val="TFReferencesSection"/>
      </w:pPr>
      <w:r w:rsidRPr="00C778FE">
        <w:t>6</w:t>
      </w:r>
      <w:r w:rsidRPr="00C778FE">
        <w:tab/>
        <w:t xml:space="preserve">Fang, X.; Kalathil, S.; Reisner, E. Semi-biological Approaches to Solar-to-Chemical Conversion. </w:t>
      </w:r>
      <w:r w:rsidRPr="00C778FE">
        <w:rPr>
          <w:i/>
        </w:rPr>
        <w:t>Chem. Soc. Rev.</w:t>
      </w:r>
      <w:r w:rsidRPr="00C778FE">
        <w:t xml:space="preserve"> </w:t>
      </w:r>
      <w:r w:rsidRPr="00C778FE">
        <w:rPr>
          <w:b/>
        </w:rPr>
        <w:t>2020</w:t>
      </w:r>
      <w:r w:rsidRPr="00C778FE">
        <w:t xml:space="preserve">, </w:t>
      </w:r>
      <w:r w:rsidRPr="00C778FE">
        <w:rPr>
          <w:i/>
          <w:iCs/>
        </w:rPr>
        <w:t>49</w:t>
      </w:r>
      <w:r w:rsidRPr="00C778FE">
        <w:t>, 4926–4952.</w:t>
      </w:r>
    </w:p>
    <w:p w14:paraId="61C71D5E" w14:textId="6C0BF513" w:rsidR="00A24098" w:rsidRPr="00C778FE" w:rsidRDefault="00A24098" w:rsidP="00A24098">
      <w:pPr>
        <w:pStyle w:val="TFReferencesSection"/>
      </w:pPr>
      <w:r w:rsidRPr="00C778FE">
        <w:lastRenderedPageBreak/>
        <w:t>7</w:t>
      </w:r>
      <w:r w:rsidRPr="00C778FE">
        <w:tab/>
        <w:t xml:space="preserve">Nakada, A.; Nishioka, S.; Vequizo, J. J. M.; Muraoka, K.; Kanazawa, T.; Yamakata, A.; Nozawa, S.; Kumagai, H.; Adachi, S.; Ishitani, O.; Maeda, K. Solar-Driven Z-Scheme Water Splitting Using Tantalum/Nitrogen Co-doped Rutile Titania Nanorod as an Oxygen Evolution Photocatalyst. </w:t>
      </w:r>
      <w:r w:rsidRPr="00C778FE">
        <w:rPr>
          <w:i/>
        </w:rPr>
        <w:t>J. Mater. Chem. A</w:t>
      </w:r>
      <w:r w:rsidRPr="00C778FE">
        <w:t xml:space="preserve"> </w:t>
      </w:r>
      <w:r w:rsidRPr="00C778FE">
        <w:rPr>
          <w:b/>
        </w:rPr>
        <w:t>2017</w:t>
      </w:r>
      <w:r w:rsidRPr="00C778FE">
        <w:t xml:space="preserve">, </w:t>
      </w:r>
      <w:r w:rsidRPr="00C778FE">
        <w:rPr>
          <w:i/>
          <w:iCs/>
        </w:rPr>
        <w:t>5</w:t>
      </w:r>
      <w:r w:rsidRPr="00C778FE">
        <w:t>, 11710–11719.</w:t>
      </w:r>
    </w:p>
    <w:p w14:paraId="2EBE9889" w14:textId="1C5D03F7" w:rsidR="00A24098" w:rsidRPr="00C778FE" w:rsidRDefault="00A24098" w:rsidP="00A24098">
      <w:pPr>
        <w:pStyle w:val="TFReferencesSection"/>
      </w:pPr>
      <w:r w:rsidRPr="00C778FE">
        <w:t>8</w:t>
      </w:r>
      <w:r w:rsidRPr="00C778FE">
        <w:tab/>
        <w:t xml:space="preserve">Fang, M. J.; Tsao, C. W.; Hsu, Y. J. Semiconductor Nanoheterostructures for Photoconversion Applications. </w:t>
      </w:r>
      <w:r w:rsidRPr="00C778FE">
        <w:rPr>
          <w:i/>
        </w:rPr>
        <w:t>J. Phys. D: Appl. Phys.</w:t>
      </w:r>
      <w:r w:rsidRPr="00C778FE">
        <w:t xml:space="preserve"> </w:t>
      </w:r>
      <w:r w:rsidRPr="00C778FE">
        <w:rPr>
          <w:b/>
        </w:rPr>
        <w:t>2020</w:t>
      </w:r>
      <w:r w:rsidRPr="00C778FE">
        <w:t xml:space="preserve">, </w:t>
      </w:r>
      <w:r w:rsidRPr="00C778FE">
        <w:rPr>
          <w:i/>
          <w:iCs/>
        </w:rPr>
        <w:t>53</w:t>
      </w:r>
      <w:r w:rsidRPr="00C778FE">
        <w:t>, 143001–143033.</w:t>
      </w:r>
    </w:p>
    <w:p w14:paraId="60EE7D22" w14:textId="2B91546B" w:rsidR="00A24098" w:rsidRPr="00C778FE" w:rsidRDefault="00A24098" w:rsidP="00A24098">
      <w:pPr>
        <w:pStyle w:val="TFReferencesSection"/>
      </w:pPr>
      <w:r w:rsidRPr="00C778FE">
        <w:t>9</w:t>
      </w:r>
      <w:r w:rsidRPr="00C778FE">
        <w:tab/>
        <w:t>Kumagai, H.; Aoyagi, R.; Kato, K.; Yamakata, A.; Kakihana, M.; Kato, H. Utilization of Perovskite-Type Oxynitride La</w:t>
      </w:r>
      <w:r w:rsidRPr="00C778FE">
        <w:rPr>
          <w:vertAlign w:val="subscript"/>
        </w:rPr>
        <w:t>0.5</w:t>
      </w:r>
      <w:r w:rsidRPr="00C778FE">
        <w:t>Sr</w:t>
      </w:r>
      <w:r w:rsidRPr="00C778FE">
        <w:rPr>
          <w:vertAlign w:val="subscript"/>
        </w:rPr>
        <w:t>0.5</w:t>
      </w:r>
      <w:r w:rsidRPr="00C778FE">
        <w:t>Ta</w:t>
      </w:r>
      <w:r w:rsidRPr="00C778FE">
        <w:rPr>
          <w:vertAlign w:val="subscript"/>
        </w:rPr>
        <w:t>0.5</w:t>
      </w:r>
      <w:r w:rsidRPr="00C778FE">
        <w:t>Ti</w:t>
      </w:r>
      <w:r w:rsidRPr="00C778FE">
        <w:rPr>
          <w:vertAlign w:val="subscript"/>
        </w:rPr>
        <w:t>0.5</w:t>
      </w:r>
      <w:r w:rsidRPr="00C778FE">
        <w:t>O</w:t>
      </w:r>
      <w:r w:rsidRPr="00C778FE">
        <w:rPr>
          <w:vertAlign w:val="subscript"/>
        </w:rPr>
        <w:t>2</w:t>
      </w:r>
      <w:r w:rsidRPr="00C778FE">
        <w:t>N as an O</w:t>
      </w:r>
      <w:r w:rsidRPr="00C778FE">
        <w:rPr>
          <w:vertAlign w:val="subscript"/>
        </w:rPr>
        <w:t>2</w:t>
      </w:r>
      <w:r w:rsidRPr="00C778FE">
        <w:t xml:space="preserve">-Evolving Photocatalyst in Z-Scheme Water Splitting. </w:t>
      </w:r>
      <w:r w:rsidRPr="00C778FE">
        <w:rPr>
          <w:i/>
        </w:rPr>
        <w:t>ACS Appl. Energy Mater.</w:t>
      </w:r>
      <w:r w:rsidRPr="00C778FE">
        <w:t xml:space="preserve"> </w:t>
      </w:r>
      <w:r w:rsidRPr="00C778FE">
        <w:rPr>
          <w:b/>
        </w:rPr>
        <w:t>2021</w:t>
      </w:r>
      <w:r w:rsidRPr="00C778FE">
        <w:t xml:space="preserve">, </w:t>
      </w:r>
      <w:r w:rsidRPr="00C778FE">
        <w:rPr>
          <w:i/>
          <w:iCs/>
        </w:rPr>
        <w:t>4</w:t>
      </w:r>
      <w:r w:rsidRPr="00C778FE">
        <w:t>,</w:t>
      </w:r>
      <w:r w:rsidRPr="00C778FE">
        <w:rPr>
          <w:i/>
        </w:rPr>
        <w:t xml:space="preserve"> </w:t>
      </w:r>
      <w:r w:rsidRPr="00C778FE">
        <w:t>2056–2060.</w:t>
      </w:r>
    </w:p>
    <w:p w14:paraId="3843787D" w14:textId="4ED2169A" w:rsidR="00A24098" w:rsidRPr="00C778FE" w:rsidRDefault="00A24098" w:rsidP="00A24098">
      <w:pPr>
        <w:pStyle w:val="TFReferencesSection"/>
      </w:pPr>
      <w:r w:rsidRPr="00C778FE">
        <w:t>10</w:t>
      </w:r>
      <w:r w:rsidRPr="00C778FE">
        <w:tab/>
        <w:t xml:space="preserve">Wang, Q.; Hisatomi, T.; Jia, Q. X.; Tokudome, H.; Zhong, M.; Wang, C. Z.; Pan, Z. H.; Takata, T.; Nakabayashi, M.; Shibata, N.; Li, Y. B.; Sharp, I. D.; Kudo, A.; Yamada, T.; Domen, K. Scalable Water Splitting on Particulate Photocatalyst Sheets with a Solar-to-Hydrogen Energy Conversion Efficiency Exceeding 1%. </w:t>
      </w:r>
      <w:r w:rsidRPr="00C778FE">
        <w:rPr>
          <w:i/>
        </w:rPr>
        <w:t>Nat. Mater.</w:t>
      </w:r>
      <w:r w:rsidRPr="00C778FE">
        <w:t xml:space="preserve"> </w:t>
      </w:r>
      <w:r w:rsidRPr="00C778FE">
        <w:rPr>
          <w:b/>
        </w:rPr>
        <w:t>2016</w:t>
      </w:r>
      <w:r w:rsidRPr="00C778FE">
        <w:t xml:space="preserve">, </w:t>
      </w:r>
      <w:r w:rsidRPr="00C778FE">
        <w:rPr>
          <w:i/>
          <w:iCs/>
        </w:rPr>
        <w:t>15</w:t>
      </w:r>
      <w:r w:rsidRPr="00C778FE">
        <w:rPr>
          <w:i/>
        </w:rPr>
        <w:t xml:space="preserve">, </w:t>
      </w:r>
      <w:r w:rsidRPr="00C778FE">
        <w:t>611–615.</w:t>
      </w:r>
    </w:p>
    <w:p w14:paraId="0F7225E9" w14:textId="765E1E66" w:rsidR="00A24098" w:rsidRPr="00C778FE" w:rsidRDefault="00A24098" w:rsidP="00A24098">
      <w:pPr>
        <w:pStyle w:val="TFReferencesSection"/>
      </w:pPr>
      <w:r w:rsidRPr="00C778FE">
        <w:t>11</w:t>
      </w:r>
      <w:r w:rsidRPr="00C778FE">
        <w:tab/>
        <w:t xml:space="preserve">Abe, R.; Shinmei, K.; Koumura, N.; Hara, K.; Ohtani, B. Visible-Light-Induced Water Splitting Based on Two-Step Photoexcitation between Dye-Sensitized Layered Niobate and Tungsten Oxide Photocatalysts in the Presence of a Triiodide/Iodide Shuttle Redox Mediator. </w:t>
      </w:r>
      <w:r w:rsidRPr="00C778FE">
        <w:rPr>
          <w:i/>
        </w:rPr>
        <w:t>J. Am. Chem. Soc.</w:t>
      </w:r>
      <w:r w:rsidRPr="00C778FE">
        <w:t xml:space="preserve"> </w:t>
      </w:r>
      <w:r w:rsidRPr="00C778FE">
        <w:rPr>
          <w:b/>
        </w:rPr>
        <w:t>2013</w:t>
      </w:r>
      <w:r w:rsidRPr="00C778FE">
        <w:t xml:space="preserve">, </w:t>
      </w:r>
      <w:r w:rsidRPr="00C778FE">
        <w:rPr>
          <w:i/>
          <w:iCs/>
        </w:rPr>
        <w:t>135</w:t>
      </w:r>
      <w:r w:rsidRPr="00C778FE">
        <w:t>, 16872–16884.</w:t>
      </w:r>
    </w:p>
    <w:p w14:paraId="29250E99" w14:textId="06F641EE" w:rsidR="00A24098" w:rsidRPr="00C778FE" w:rsidRDefault="00A24098" w:rsidP="00A24098">
      <w:pPr>
        <w:pStyle w:val="TFReferencesSection"/>
      </w:pPr>
      <w:r w:rsidRPr="00C778FE">
        <w:t>12</w:t>
      </w:r>
      <w:r w:rsidRPr="00C778FE">
        <w:tab/>
        <w:t xml:space="preserve">Chandran, R. B.; Breen, S.; Shao, Y.; Ardo, S.; Weber, A. Z. Evaluating Particle-Suspension Reactor Designs for Z-Scheme Solar Water Splitting via Transport and Kinetic Modeling. </w:t>
      </w:r>
      <w:r w:rsidRPr="00C778FE">
        <w:rPr>
          <w:i/>
        </w:rPr>
        <w:t>Energy Environ. Sci.</w:t>
      </w:r>
      <w:r w:rsidRPr="00C778FE">
        <w:t xml:space="preserve"> </w:t>
      </w:r>
      <w:r w:rsidRPr="00C778FE">
        <w:rPr>
          <w:b/>
        </w:rPr>
        <w:t>2018</w:t>
      </w:r>
      <w:r w:rsidRPr="00C778FE">
        <w:t xml:space="preserve">, </w:t>
      </w:r>
      <w:r w:rsidRPr="00C778FE">
        <w:rPr>
          <w:i/>
          <w:iCs/>
        </w:rPr>
        <w:t>11</w:t>
      </w:r>
      <w:r w:rsidRPr="00C778FE">
        <w:t>, 115–135.</w:t>
      </w:r>
    </w:p>
    <w:p w14:paraId="0DADCAD8" w14:textId="7E797699" w:rsidR="00A24098" w:rsidRPr="00C778FE" w:rsidRDefault="00A24098" w:rsidP="00A24098">
      <w:pPr>
        <w:pStyle w:val="TFReferencesSection"/>
      </w:pPr>
      <w:r w:rsidRPr="00C778FE">
        <w:t>13</w:t>
      </w:r>
      <w:r w:rsidRPr="00C778FE">
        <w:tab/>
        <w:t xml:space="preserve">Nishioka, S.; Hojo, K.; Xiao, L.; Gao, T.; Miseki, Y.; Yasuda, S.; Yokoi, T.; Sayama, K.; Mallouk, T. E.; Maeda, K. Surface-Modified, Dye-Sensitized Niobate Nanosheets Enabling an Efficient Solar-Driven Z-Scheme for Overall Water Splitting. </w:t>
      </w:r>
      <w:r w:rsidRPr="00C778FE">
        <w:rPr>
          <w:i/>
        </w:rPr>
        <w:t>Sci. Adv.</w:t>
      </w:r>
      <w:r w:rsidRPr="00C778FE">
        <w:t xml:space="preserve"> </w:t>
      </w:r>
      <w:r w:rsidRPr="00C778FE">
        <w:rPr>
          <w:b/>
        </w:rPr>
        <w:t>2022</w:t>
      </w:r>
      <w:r w:rsidRPr="00C778FE">
        <w:t xml:space="preserve">, </w:t>
      </w:r>
      <w:r w:rsidRPr="00C778FE">
        <w:rPr>
          <w:i/>
          <w:iCs/>
        </w:rPr>
        <w:t>8</w:t>
      </w:r>
      <w:r w:rsidRPr="00C778FE">
        <w:t>, eadc9115.</w:t>
      </w:r>
    </w:p>
    <w:p w14:paraId="5F4B69FA" w14:textId="5D7B6CA3" w:rsidR="00A24098" w:rsidRPr="00C778FE" w:rsidRDefault="00A24098" w:rsidP="00A24098">
      <w:pPr>
        <w:pStyle w:val="TFReferencesSection"/>
      </w:pPr>
      <w:r w:rsidRPr="00C778FE">
        <w:t>14</w:t>
      </w:r>
      <w:r w:rsidRPr="00C778FE">
        <w:tab/>
        <w:t>Qi, Y.; Zhang, Y..; Kong, Y.; Zhao, Y.; Chen, S.; Li, D.; Liu, W.; Chen, Y.; Xie, T.; Cui, J.; Li, C.; Domen, K.; Zhang F. Unraveling of Cocatalysts Photodeposited Selectively on Facets of BiVO</w:t>
      </w:r>
      <w:r w:rsidRPr="00C778FE">
        <w:rPr>
          <w:vertAlign w:val="subscript"/>
        </w:rPr>
        <w:t>4</w:t>
      </w:r>
      <w:r w:rsidRPr="00C778FE">
        <w:t xml:space="preserve"> to Boost Solar Water Splitting. </w:t>
      </w:r>
      <w:r w:rsidRPr="00C778FE">
        <w:rPr>
          <w:i/>
        </w:rPr>
        <w:t>Nat. Commun.</w:t>
      </w:r>
      <w:r w:rsidRPr="00C778FE">
        <w:t xml:space="preserve"> </w:t>
      </w:r>
      <w:r w:rsidRPr="00C778FE">
        <w:rPr>
          <w:b/>
        </w:rPr>
        <w:t>2022</w:t>
      </w:r>
      <w:r w:rsidRPr="00C778FE">
        <w:t xml:space="preserve">, </w:t>
      </w:r>
      <w:r w:rsidRPr="00C778FE">
        <w:rPr>
          <w:i/>
          <w:iCs/>
        </w:rPr>
        <w:t>13</w:t>
      </w:r>
      <w:r w:rsidRPr="00C778FE">
        <w:t>, 484.</w:t>
      </w:r>
    </w:p>
    <w:p w14:paraId="6B2D8DC9" w14:textId="62696CA5" w:rsidR="00A24098" w:rsidRPr="00C778FE" w:rsidRDefault="00A24098" w:rsidP="00A24098">
      <w:pPr>
        <w:pStyle w:val="TFReferencesSection"/>
      </w:pPr>
      <w:r w:rsidRPr="00C778FE">
        <w:t>15</w:t>
      </w:r>
      <w:r w:rsidRPr="00C778FE">
        <w:tab/>
        <w:t>El-Khouly, M. E.; Chen, Y.; Zhuang, X.; Fukuzumi, S. Long-Lived Charge-Separated Configuration of a Push−Pull Archetype of Disperse Red 1 End-Capped Poly[9,9-Bis(4-Diphenyl</w:t>
      </w:r>
      <w:r w:rsidR="0068442F" w:rsidRPr="00C778FE">
        <w:rPr>
          <w:rFonts w:hint="eastAsia"/>
          <w:lang w:eastAsia="ja-JP"/>
        </w:rPr>
        <w:t>-</w:t>
      </w:r>
      <w:r w:rsidRPr="00C778FE">
        <w:t xml:space="preserve">aminophenyl)Fluorene]. </w:t>
      </w:r>
      <w:r w:rsidRPr="00C778FE">
        <w:rPr>
          <w:i/>
        </w:rPr>
        <w:t>J. Am. Chem. Soc.</w:t>
      </w:r>
      <w:r w:rsidRPr="00C778FE">
        <w:t xml:space="preserve"> </w:t>
      </w:r>
      <w:r w:rsidRPr="00C778FE">
        <w:rPr>
          <w:b/>
        </w:rPr>
        <w:t>2009</w:t>
      </w:r>
      <w:r w:rsidRPr="00C778FE">
        <w:t xml:space="preserve">, </w:t>
      </w:r>
      <w:r w:rsidRPr="00C778FE">
        <w:rPr>
          <w:i/>
          <w:iCs/>
        </w:rPr>
        <w:t>131</w:t>
      </w:r>
      <w:r w:rsidRPr="00C778FE">
        <w:t>, 6370–6371.</w:t>
      </w:r>
    </w:p>
    <w:p w14:paraId="4DA53C6C" w14:textId="30584CC0" w:rsidR="00A24098" w:rsidRPr="00C778FE" w:rsidRDefault="00A24098" w:rsidP="00A24098">
      <w:pPr>
        <w:pStyle w:val="TFReferencesSection"/>
      </w:pPr>
      <w:r w:rsidRPr="00C778FE">
        <w:t>16</w:t>
      </w:r>
      <w:r w:rsidRPr="00C778FE">
        <w:tab/>
        <w:t>Borgström, M.; Shaikh, N.; Johansson, O.; Anderlund, M. F.; Styring, S.; Åkermark, B.; Magnuson, A.; Hammarström, L. Light Induced Manganese Oxidation and Long-Lived Charge Separation in a Mn</w:t>
      </w:r>
      <w:r w:rsidRPr="00C778FE">
        <w:rPr>
          <w:vertAlign w:val="subscript"/>
        </w:rPr>
        <w:t>2</w:t>
      </w:r>
      <w:r w:rsidRPr="00C778FE">
        <w:rPr>
          <w:vertAlign w:val="superscript"/>
        </w:rPr>
        <w:t>II,II</w:t>
      </w:r>
      <w:r w:rsidRPr="00C778FE">
        <w:t>−Ru</w:t>
      </w:r>
      <w:r w:rsidRPr="00C778FE">
        <w:rPr>
          <w:vertAlign w:val="superscript"/>
        </w:rPr>
        <w:t>II</w:t>
      </w:r>
      <w:r w:rsidRPr="00C778FE">
        <w:t>(bpy)</w:t>
      </w:r>
      <w:r w:rsidRPr="00C778FE">
        <w:rPr>
          <w:vertAlign w:val="subscript"/>
        </w:rPr>
        <w:t>3</w:t>
      </w:r>
      <w:r w:rsidRPr="00C778FE">
        <w:t xml:space="preserve">−Acceptor Triad. </w:t>
      </w:r>
      <w:r w:rsidRPr="00C778FE">
        <w:rPr>
          <w:i/>
        </w:rPr>
        <w:t>J. Am. Chem. Soc.</w:t>
      </w:r>
      <w:r w:rsidRPr="00C778FE">
        <w:t xml:space="preserve"> </w:t>
      </w:r>
      <w:r w:rsidRPr="00C778FE">
        <w:rPr>
          <w:b/>
        </w:rPr>
        <w:t>2005</w:t>
      </w:r>
      <w:r w:rsidRPr="00C778FE">
        <w:t xml:space="preserve">, </w:t>
      </w:r>
      <w:r w:rsidRPr="00C778FE">
        <w:rPr>
          <w:i/>
          <w:iCs/>
        </w:rPr>
        <w:t>127</w:t>
      </w:r>
      <w:r w:rsidRPr="00C778FE">
        <w:t>, 17504–17515.</w:t>
      </w:r>
    </w:p>
    <w:p w14:paraId="570BE45C" w14:textId="76D2BDEE" w:rsidR="00A24098" w:rsidRPr="00C778FE" w:rsidRDefault="00A24098" w:rsidP="00A24098">
      <w:pPr>
        <w:pStyle w:val="TFReferencesSection"/>
      </w:pPr>
      <w:r w:rsidRPr="00C778FE">
        <w:t>17</w:t>
      </w:r>
      <w:r w:rsidRPr="00C778FE">
        <w:tab/>
        <w:t xml:space="preserve">Cowan, A. J.; Durrant, J. R. Long-Lived Charge Separated States in Nanostructured Semiconductor Photoelectrodes for the Production of Solar Fuels. </w:t>
      </w:r>
      <w:r w:rsidRPr="00C778FE">
        <w:rPr>
          <w:i/>
        </w:rPr>
        <w:t>Chem. Soc. Rev.</w:t>
      </w:r>
      <w:r w:rsidRPr="00C778FE">
        <w:t xml:space="preserve"> </w:t>
      </w:r>
      <w:r w:rsidRPr="00C778FE">
        <w:rPr>
          <w:b/>
        </w:rPr>
        <w:t>2013</w:t>
      </w:r>
      <w:r w:rsidRPr="00C778FE">
        <w:t xml:space="preserve">, </w:t>
      </w:r>
      <w:r w:rsidRPr="00C778FE">
        <w:rPr>
          <w:i/>
          <w:iCs/>
        </w:rPr>
        <w:t>42</w:t>
      </w:r>
      <w:r w:rsidRPr="00C778FE">
        <w:t>, 2281–2293.</w:t>
      </w:r>
    </w:p>
    <w:p w14:paraId="7E447130" w14:textId="173BD5B8" w:rsidR="00A24098" w:rsidRPr="00C778FE" w:rsidRDefault="00A24098" w:rsidP="00A24098">
      <w:pPr>
        <w:pStyle w:val="TFReferencesSection"/>
      </w:pPr>
      <w:r w:rsidRPr="00C778FE">
        <w:t>18</w:t>
      </w:r>
      <w:r w:rsidRPr="00C778FE">
        <w:tab/>
        <w:t xml:space="preserve">Govindjee, D.; Shevela, D.; Björn, L. O. Evolution of the Z-Scheme of Photosynthesis: A Perspective. </w:t>
      </w:r>
      <w:r w:rsidRPr="00C778FE">
        <w:rPr>
          <w:i/>
        </w:rPr>
        <w:t>Photosynth. Res.</w:t>
      </w:r>
      <w:r w:rsidRPr="00C778FE">
        <w:t xml:space="preserve"> </w:t>
      </w:r>
      <w:r w:rsidRPr="00C778FE">
        <w:rPr>
          <w:b/>
        </w:rPr>
        <w:t>2017</w:t>
      </w:r>
      <w:r w:rsidRPr="00C778FE">
        <w:t xml:space="preserve">, </w:t>
      </w:r>
      <w:r w:rsidRPr="00C778FE">
        <w:rPr>
          <w:i/>
          <w:iCs/>
        </w:rPr>
        <w:t>133</w:t>
      </w:r>
      <w:r w:rsidRPr="00C778FE">
        <w:t>, 5–15.</w:t>
      </w:r>
    </w:p>
    <w:p w14:paraId="4B36C57C" w14:textId="01044C9B" w:rsidR="0059555E" w:rsidRPr="00C778FE" w:rsidRDefault="0059555E" w:rsidP="0059555E">
      <w:pPr>
        <w:pStyle w:val="TFReferencesSection"/>
      </w:pPr>
      <w:r w:rsidRPr="00C778FE">
        <w:rPr>
          <w:lang w:eastAsia="ja-JP"/>
        </w:rPr>
        <w:t>19</w:t>
      </w:r>
      <w:r w:rsidRPr="00C778FE">
        <w:tab/>
      </w:r>
      <w:r w:rsidRPr="00C778FE">
        <w:rPr>
          <w:lang w:eastAsia="ja-JP"/>
        </w:rPr>
        <w:t xml:space="preserve">Wang, D.; Sampaio, R. N.; Troian-Gautier, L.; Marquard, S. L.; Farnum, B. H.; Sherman, B. D.; Sheridan, M. V.;  Dares, C. J.; Meyer, G. J.;  </w:t>
      </w:r>
      <w:r w:rsidRPr="00C778FE">
        <w:rPr>
          <w:lang w:eastAsia="ja-JP"/>
        </w:rPr>
        <w:t xml:space="preserve">Meyer, T. J.  </w:t>
      </w:r>
      <w:r w:rsidRPr="00C778FE">
        <w:t xml:space="preserve">Molecular Photoelectrode for Water Oxidation Inspired by Photosystem II. </w:t>
      </w:r>
      <w:r w:rsidRPr="00C778FE">
        <w:rPr>
          <w:i/>
        </w:rPr>
        <w:t>J.</w:t>
      </w:r>
      <w:r w:rsidR="00421082" w:rsidRPr="00C778FE">
        <w:rPr>
          <w:i/>
        </w:rPr>
        <w:t xml:space="preserve"> </w:t>
      </w:r>
      <w:r w:rsidRPr="00C778FE">
        <w:rPr>
          <w:rFonts w:hint="eastAsia"/>
          <w:i/>
          <w:lang w:eastAsia="ja-JP"/>
        </w:rPr>
        <w:t>Am. Chem. Soc.</w:t>
      </w:r>
      <w:r w:rsidRPr="00C778FE">
        <w:t xml:space="preserve"> </w:t>
      </w:r>
      <w:r w:rsidRPr="00C778FE">
        <w:rPr>
          <w:b/>
        </w:rPr>
        <w:t>2019</w:t>
      </w:r>
      <w:r w:rsidRPr="00C778FE">
        <w:t xml:space="preserve">, </w:t>
      </w:r>
      <w:r w:rsidRPr="00C778FE">
        <w:rPr>
          <w:i/>
          <w:iCs/>
        </w:rPr>
        <w:t>141</w:t>
      </w:r>
      <w:r w:rsidRPr="00C778FE">
        <w:t>, 7926–7933.</w:t>
      </w:r>
    </w:p>
    <w:p w14:paraId="22B7417D" w14:textId="79610513" w:rsidR="00A24098" w:rsidRPr="00C778FE" w:rsidRDefault="0059555E" w:rsidP="00A24098">
      <w:pPr>
        <w:pStyle w:val="TFReferencesSection"/>
      </w:pPr>
      <w:r w:rsidRPr="00C778FE">
        <w:t>20</w:t>
      </w:r>
      <w:r w:rsidR="00A24098" w:rsidRPr="00C778FE">
        <w:tab/>
        <w:t>Hanson, K.; Brennaman, M. K.; Ito, A.; Luo, H.; Song, W.; Parker, K. A.; Ghosh, R.; Norris, M. R.; Glasson, C. R. K.; Concepcion, J. J.; Lopez, R.; Meyer, T. J. Structure–Property Relationships in Phosphonate-Derivatized, Ru</w:t>
      </w:r>
      <w:r w:rsidR="00A24098" w:rsidRPr="00C778FE">
        <w:rPr>
          <w:vertAlign w:val="superscript"/>
        </w:rPr>
        <w:t>II</w:t>
      </w:r>
      <w:r w:rsidR="00A24098" w:rsidRPr="00C778FE">
        <w:t xml:space="preserve"> Polypyridyl Dyes on Metal Oxide Surfaces in an Aqueous Environment. </w:t>
      </w:r>
      <w:r w:rsidR="00A24098" w:rsidRPr="00C778FE">
        <w:rPr>
          <w:i/>
        </w:rPr>
        <w:t>J. Phys. Chem. C</w:t>
      </w:r>
      <w:r w:rsidR="00A24098" w:rsidRPr="00C778FE">
        <w:t xml:space="preserve"> </w:t>
      </w:r>
      <w:r w:rsidR="00A24098" w:rsidRPr="00C778FE">
        <w:rPr>
          <w:b/>
        </w:rPr>
        <w:t>2012</w:t>
      </w:r>
      <w:r w:rsidR="00A24098" w:rsidRPr="00C778FE">
        <w:t xml:space="preserve">, </w:t>
      </w:r>
      <w:r w:rsidR="00A24098" w:rsidRPr="00C778FE">
        <w:rPr>
          <w:i/>
          <w:iCs/>
        </w:rPr>
        <w:t>116</w:t>
      </w:r>
      <w:r w:rsidR="00A24098" w:rsidRPr="00C778FE">
        <w:t>, 14837–14847.</w:t>
      </w:r>
    </w:p>
    <w:p w14:paraId="6B582668" w14:textId="725CA5C3" w:rsidR="00A24098" w:rsidRPr="00C778FE" w:rsidRDefault="00A24098" w:rsidP="00A24098">
      <w:pPr>
        <w:pStyle w:val="TFReferencesSection"/>
      </w:pPr>
      <w:r w:rsidRPr="00C778FE">
        <w:t>2</w:t>
      </w:r>
      <w:r w:rsidR="0059555E" w:rsidRPr="00C778FE">
        <w:t>1</w:t>
      </w:r>
      <w:r w:rsidRPr="00C778FE">
        <w:tab/>
        <w:t xml:space="preserve">Kitano, H.; Kobayashi, A.; Yoshida, M.; Kato, M. Photocatalytic Hydrogen Evolution Driven by Platinated CdS Nanorods with a Hexacyanidoruthenate Redox Mediator. </w:t>
      </w:r>
      <w:r w:rsidRPr="00C778FE">
        <w:rPr>
          <w:i/>
        </w:rPr>
        <w:t>Sustainable Energy Fuels</w:t>
      </w:r>
      <w:r w:rsidRPr="00C778FE">
        <w:t xml:space="preserve"> </w:t>
      </w:r>
      <w:r w:rsidRPr="00C778FE">
        <w:rPr>
          <w:b/>
        </w:rPr>
        <w:t>2018</w:t>
      </w:r>
      <w:r w:rsidRPr="00C778FE">
        <w:t xml:space="preserve">, </w:t>
      </w:r>
      <w:r w:rsidRPr="00C778FE">
        <w:rPr>
          <w:i/>
          <w:iCs/>
        </w:rPr>
        <w:t>2</w:t>
      </w:r>
      <w:r w:rsidRPr="00C778FE">
        <w:t>, 2609–2615.</w:t>
      </w:r>
    </w:p>
    <w:p w14:paraId="3476C56F" w14:textId="13C721EE" w:rsidR="007175B1" w:rsidRPr="00C778FE" w:rsidRDefault="0059555E" w:rsidP="007175B1">
      <w:pPr>
        <w:pStyle w:val="TFReferencesSection"/>
      </w:pPr>
      <w:r w:rsidRPr="00C778FE">
        <w:t>22</w:t>
      </w:r>
      <w:r w:rsidR="007175B1" w:rsidRPr="00C778FE">
        <w:tab/>
      </w:r>
      <w:r w:rsidR="00EC784E" w:rsidRPr="00C778FE">
        <w:rPr>
          <w:lang w:eastAsia="ja-JP"/>
        </w:rPr>
        <w:t>Abe</w:t>
      </w:r>
      <w:r w:rsidR="007175B1" w:rsidRPr="00C778FE">
        <w:t xml:space="preserve">, </w:t>
      </w:r>
      <w:r w:rsidR="00EC784E" w:rsidRPr="00C778FE">
        <w:t>R</w:t>
      </w:r>
      <w:r w:rsidR="007175B1" w:rsidRPr="00C778FE">
        <w:t xml:space="preserve">.; </w:t>
      </w:r>
      <w:r w:rsidR="00EC784E" w:rsidRPr="00C778FE">
        <w:t>Sayama</w:t>
      </w:r>
      <w:r w:rsidR="007175B1" w:rsidRPr="00C778FE">
        <w:t xml:space="preserve">, </w:t>
      </w:r>
      <w:r w:rsidR="00EC784E" w:rsidRPr="00C778FE">
        <w:t>K</w:t>
      </w:r>
      <w:r w:rsidR="007175B1" w:rsidRPr="00C778FE">
        <w:t xml:space="preserve">.; </w:t>
      </w:r>
      <w:r w:rsidR="00EC784E" w:rsidRPr="00C778FE">
        <w:t>Sugihara</w:t>
      </w:r>
      <w:r w:rsidR="007175B1" w:rsidRPr="00C778FE">
        <w:t xml:space="preserve">, </w:t>
      </w:r>
      <w:r w:rsidR="00EC784E" w:rsidRPr="00C778FE">
        <w:t>H</w:t>
      </w:r>
      <w:r w:rsidR="007175B1" w:rsidRPr="00C778FE">
        <w:t xml:space="preserve">. </w:t>
      </w:r>
      <w:r w:rsidR="00EC784E" w:rsidRPr="00C778FE">
        <w:t>Effect of Water/Acetonitrile Ratio on Dye-Sensitized Photocatalytic H</w:t>
      </w:r>
      <w:r w:rsidR="00EC784E" w:rsidRPr="00C778FE">
        <w:rPr>
          <w:vertAlign w:val="subscript"/>
        </w:rPr>
        <w:t>2</w:t>
      </w:r>
      <w:r w:rsidR="00EC784E" w:rsidRPr="00C778FE">
        <w:t xml:space="preserve"> Evolution under Visible Light Irradiation</w:t>
      </w:r>
      <w:r w:rsidR="007175B1" w:rsidRPr="00C778FE">
        <w:t xml:space="preserve">. </w:t>
      </w:r>
      <w:r w:rsidR="007175B1" w:rsidRPr="00C778FE">
        <w:rPr>
          <w:i/>
        </w:rPr>
        <w:t xml:space="preserve">J. </w:t>
      </w:r>
      <w:r w:rsidR="00EC784E" w:rsidRPr="00C778FE">
        <w:rPr>
          <w:i/>
        </w:rPr>
        <w:t>Solar Energy Eng.</w:t>
      </w:r>
      <w:r w:rsidR="007175B1" w:rsidRPr="00C778FE">
        <w:t xml:space="preserve"> </w:t>
      </w:r>
      <w:r w:rsidR="007175B1" w:rsidRPr="00C778FE">
        <w:rPr>
          <w:b/>
        </w:rPr>
        <w:t>20</w:t>
      </w:r>
      <w:r w:rsidR="00EC784E" w:rsidRPr="00C778FE">
        <w:rPr>
          <w:b/>
        </w:rPr>
        <w:t>05</w:t>
      </w:r>
      <w:r w:rsidR="007175B1" w:rsidRPr="00C778FE">
        <w:t xml:space="preserve">, </w:t>
      </w:r>
      <w:r w:rsidR="007175B1" w:rsidRPr="00C778FE">
        <w:rPr>
          <w:i/>
          <w:iCs/>
        </w:rPr>
        <w:t>1</w:t>
      </w:r>
      <w:r w:rsidR="00EC784E" w:rsidRPr="00C778FE">
        <w:rPr>
          <w:i/>
          <w:iCs/>
        </w:rPr>
        <w:t>27</w:t>
      </w:r>
      <w:r w:rsidR="007175B1" w:rsidRPr="00C778FE">
        <w:t xml:space="preserve">, </w:t>
      </w:r>
      <w:r w:rsidR="00EC784E" w:rsidRPr="00C778FE">
        <w:t>413</w:t>
      </w:r>
      <w:r w:rsidR="007175B1" w:rsidRPr="00C778FE">
        <w:t>–</w:t>
      </w:r>
      <w:r w:rsidR="00EC784E" w:rsidRPr="00C778FE">
        <w:t>416</w:t>
      </w:r>
      <w:r w:rsidR="007175B1" w:rsidRPr="00C778FE">
        <w:t>.</w:t>
      </w:r>
    </w:p>
    <w:p w14:paraId="5A6CA7CB" w14:textId="1A321AFF" w:rsidR="007D5786" w:rsidRPr="00C778FE" w:rsidRDefault="0059555E" w:rsidP="007D5786">
      <w:pPr>
        <w:pStyle w:val="TFReferencesSection"/>
      </w:pPr>
      <w:r w:rsidRPr="00C778FE">
        <w:t>23</w:t>
      </w:r>
      <w:r w:rsidR="007D5786" w:rsidRPr="00C778FE">
        <w:tab/>
      </w:r>
      <w:r w:rsidR="007D5786" w:rsidRPr="00C778FE">
        <w:rPr>
          <w:lang w:eastAsia="ja-JP"/>
        </w:rPr>
        <w:t>Zhang</w:t>
      </w:r>
      <w:r w:rsidR="007D5786" w:rsidRPr="00C778FE">
        <w:t xml:space="preserve">, X.; Peng, T.; Song, S. Recent Advances in Dye-sensitized Semiconductor Systems for Photocatalytic Hydrogen Production. </w:t>
      </w:r>
      <w:r w:rsidR="007D5786" w:rsidRPr="00C778FE">
        <w:rPr>
          <w:i/>
        </w:rPr>
        <w:t>J. Mater. Chem. A</w:t>
      </w:r>
      <w:r w:rsidR="007D5786" w:rsidRPr="00C778FE">
        <w:t xml:space="preserve"> </w:t>
      </w:r>
      <w:r w:rsidR="007D5786" w:rsidRPr="00C778FE">
        <w:rPr>
          <w:b/>
        </w:rPr>
        <w:t>2016</w:t>
      </w:r>
      <w:r w:rsidR="007D5786" w:rsidRPr="00C778FE">
        <w:t xml:space="preserve">, </w:t>
      </w:r>
      <w:r w:rsidR="007D5786" w:rsidRPr="00C778FE">
        <w:rPr>
          <w:i/>
          <w:iCs/>
        </w:rPr>
        <w:t>4</w:t>
      </w:r>
      <w:r w:rsidR="007D5786" w:rsidRPr="00C778FE">
        <w:t>, 2365–2402.</w:t>
      </w:r>
    </w:p>
    <w:p w14:paraId="7DF1FF99" w14:textId="26C467FC" w:rsidR="00736089" w:rsidRPr="00C778FE" w:rsidRDefault="0059555E" w:rsidP="00736089">
      <w:pPr>
        <w:pStyle w:val="TFReferencesSection"/>
      </w:pPr>
      <w:r w:rsidRPr="00C778FE">
        <w:t>24</w:t>
      </w:r>
      <w:r w:rsidR="00736089" w:rsidRPr="00C778FE">
        <w:tab/>
      </w:r>
      <w:r w:rsidR="00736089" w:rsidRPr="00C778FE">
        <w:rPr>
          <w:lang w:eastAsia="ja-JP"/>
        </w:rPr>
        <w:t>Kobayashi</w:t>
      </w:r>
      <w:r w:rsidR="00736089" w:rsidRPr="00C778FE">
        <w:t xml:space="preserve">, A.; Takizawa, S.; Hirahara, M. Photofunctional Molecular Assembly for Artificial Photosynthesis: Beyond a Simple Dye Sensitization Strategy. </w:t>
      </w:r>
      <w:r w:rsidR="00736089" w:rsidRPr="00C778FE">
        <w:rPr>
          <w:i/>
        </w:rPr>
        <w:t>Coord. Chem. Rev.</w:t>
      </w:r>
      <w:r w:rsidR="00736089" w:rsidRPr="00C778FE">
        <w:t xml:space="preserve"> </w:t>
      </w:r>
      <w:r w:rsidR="00736089" w:rsidRPr="00C778FE">
        <w:rPr>
          <w:b/>
        </w:rPr>
        <w:t>2022</w:t>
      </w:r>
      <w:r w:rsidR="00736089" w:rsidRPr="00C778FE">
        <w:t xml:space="preserve">, </w:t>
      </w:r>
      <w:r w:rsidR="00736089" w:rsidRPr="00C778FE">
        <w:rPr>
          <w:i/>
          <w:iCs/>
        </w:rPr>
        <w:t>467</w:t>
      </w:r>
      <w:r w:rsidR="00736089" w:rsidRPr="00C778FE">
        <w:t>, 214624.</w:t>
      </w:r>
    </w:p>
    <w:p w14:paraId="6977E666" w14:textId="47DBDD58" w:rsidR="00A24098" w:rsidRPr="00C778FE" w:rsidRDefault="00A24098" w:rsidP="00A24098">
      <w:pPr>
        <w:pStyle w:val="TFReferencesSection"/>
      </w:pPr>
      <w:r w:rsidRPr="00C778FE">
        <w:t>2</w:t>
      </w:r>
      <w:r w:rsidR="0059555E" w:rsidRPr="00C778FE">
        <w:t>5</w:t>
      </w:r>
      <w:r w:rsidRPr="00C778FE">
        <w:tab/>
        <w:t>Yoshimura, N.; Kobayashi, A.; Yoshida, M.; Kato, M. Enhancement of Photocatalytic Activity for Hydrogen Production by Surface Modification of Pt-TiO</w:t>
      </w:r>
      <w:r w:rsidRPr="00C778FE">
        <w:rPr>
          <w:vertAlign w:val="subscript"/>
        </w:rPr>
        <w:t>2</w:t>
      </w:r>
      <w:r w:rsidRPr="00C778FE">
        <w:t xml:space="preserve"> Nanoparticles with a Double Layer of Photosensitizers. </w:t>
      </w:r>
      <w:r w:rsidRPr="00C778FE">
        <w:rPr>
          <w:i/>
        </w:rPr>
        <w:t>Chem. Eur. J.</w:t>
      </w:r>
      <w:r w:rsidRPr="00C778FE">
        <w:t xml:space="preserve"> </w:t>
      </w:r>
      <w:r w:rsidRPr="00C778FE">
        <w:rPr>
          <w:b/>
        </w:rPr>
        <w:t>2020</w:t>
      </w:r>
      <w:r w:rsidRPr="00C778FE">
        <w:t xml:space="preserve">, </w:t>
      </w:r>
      <w:r w:rsidRPr="00C778FE">
        <w:rPr>
          <w:i/>
          <w:iCs/>
        </w:rPr>
        <w:t>26</w:t>
      </w:r>
      <w:r w:rsidRPr="00C778FE">
        <w:t>, 16939–16946.</w:t>
      </w:r>
    </w:p>
    <w:p w14:paraId="0AAC891C" w14:textId="6CFD274D" w:rsidR="0059555E" w:rsidRPr="00C778FE" w:rsidRDefault="0059555E" w:rsidP="0059555E">
      <w:pPr>
        <w:pStyle w:val="TFReferencesSection"/>
      </w:pPr>
      <w:r w:rsidRPr="00C778FE">
        <w:t>26</w:t>
      </w:r>
      <w:r w:rsidRPr="00C778FE">
        <w:tab/>
        <w:t>Sasaki, Y.; Kato, H.; Kudo, A. [Co(bpy)</w:t>
      </w:r>
      <w:r w:rsidRPr="00C778FE">
        <w:rPr>
          <w:vertAlign w:val="subscript"/>
        </w:rPr>
        <w:t>3</w:t>
      </w:r>
      <w:r w:rsidRPr="00C778FE">
        <w:t>]</w:t>
      </w:r>
      <w:r w:rsidRPr="00C778FE">
        <w:rPr>
          <w:vertAlign w:val="superscript"/>
        </w:rPr>
        <w:t>3+/2+</w:t>
      </w:r>
      <w:r w:rsidRPr="00C778FE">
        <w:t xml:space="preserve"> and [Co(phen)</w:t>
      </w:r>
      <w:r w:rsidRPr="00C778FE">
        <w:rPr>
          <w:vertAlign w:val="subscript"/>
        </w:rPr>
        <w:t>3</w:t>
      </w:r>
      <w:r w:rsidRPr="00C778FE">
        <w:t>]</w:t>
      </w:r>
      <w:r w:rsidRPr="00C778FE">
        <w:rPr>
          <w:vertAlign w:val="superscript"/>
        </w:rPr>
        <w:t>3+/2+</w:t>
      </w:r>
      <w:r w:rsidRPr="00C778FE">
        <w:t xml:space="preserve"> Electron Mediators for Overall Water Splitting under Sunlight Irradiation Using Z-Scheme Photocatalyst System. </w:t>
      </w:r>
      <w:r w:rsidRPr="00C778FE">
        <w:rPr>
          <w:i/>
        </w:rPr>
        <w:t>J. Am. Chem. Soc.</w:t>
      </w:r>
      <w:r w:rsidRPr="00C778FE">
        <w:t xml:space="preserve"> </w:t>
      </w:r>
      <w:r w:rsidRPr="00C778FE">
        <w:rPr>
          <w:b/>
        </w:rPr>
        <w:t>2013</w:t>
      </w:r>
      <w:r w:rsidRPr="00C778FE">
        <w:t xml:space="preserve">, </w:t>
      </w:r>
      <w:r w:rsidRPr="00C778FE">
        <w:rPr>
          <w:i/>
          <w:iCs/>
        </w:rPr>
        <w:t>135</w:t>
      </w:r>
      <w:r w:rsidRPr="00C778FE">
        <w:t>, 5441–5449.</w:t>
      </w:r>
    </w:p>
    <w:p w14:paraId="37CEB6D0" w14:textId="7A19EB14" w:rsidR="00A24098" w:rsidRPr="00C778FE" w:rsidRDefault="00A24098" w:rsidP="00A24098">
      <w:pPr>
        <w:pStyle w:val="TFReferencesSection"/>
      </w:pPr>
      <w:r w:rsidRPr="00C778FE">
        <w:t>2</w:t>
      </w:r>
      <w:r w:rsidR="0059555E" w:rsidRPr="00C778FE">
        <w:t>7</w:t>
      </w:r>
      <w:r w:rsidRPr="00C778FE">
        <w:tab/>
        <w:t xml:space="preserve">Sato, H.; Ide, M.; Saito, R.; Togashi, T.; Kanaizuka, K.; Kurihara, M.; Nishihara, H.; Ozawa, H.; Haga, M. Electrochemical Interfacing of Prussian Blue Nanocrystals with an ITO Electrode Modified with a Thin Film Containing a Ru Complex. </w:t>
      </w:r>
      <w:r w:rsidRPr="00C778FE">
        <w:rPr>
          <w:i/>
        </w:rPr>
        <w:t>J. Mater. Chem. C</w:t>
      </w:r>
      <w:r w:rsidRPr="00C778FE">
        <w:t xml:space="preserve"> </w:t>
      </w:r>
      <w:r w:rsidRPr="00C778FE">
        <w:rPr>
          <w:b/>
        </w:rPr>
        <w:t>2019</w:t>
      </w:r>
      <w:r w:rsidRPr="00C778FE">
        <w:t xml:space="preserve">, </w:t>
      </w:r>
      <w:r w:rsidRPr="00C778FE">
        <w:rPr>
          <w:i/>
          <w:iCs/>
        </w:rPr>
        <w:t>7</w:t>
      </w:r>
      <w:r w:rsidRPr="00C778FE">
        <w:t>, 12491–12501.</w:t>
      </w:r>
    </w:p>
    <w:p w14:paraId="104828A6" w14:textId="1E1F57CB" w:rsidR="00A24098" w:rsidRPr="00C778FE" w:rsidRDefault="00A24098" w:rsidP="00A24098">
      <w:pPr>
        <w:pStyle w:val="TFReferencesSection"/>
      </w:pPr>
      <w:r w:rsidRPr="00C778FE">
        <w:t>2</w:t>
      </w:r>
      <w:r w:rsidR="0059555E" w:rsidRPr="00C778FE">
        <w:t>8</w:t>
      </w:r>
      <w:r w:rsidRPr="00C778FE">
        <w:tab/>
        <w:t xml:space="preserve">Lewis, C. M.; Flory, J. D.; Moore, T. A.; Moore, A. L.; Rittmann, B. E.; Vermaas, W. F. J.; Torres, C. I.; Fromme, P. Electrochemically Driven Photosynthetic Electron Transport in Cyanobacteria Lacking Photosystem II. </w:t>
      </w:r>
      <w:r w:rsidRPr="00C778FE">
        <w:rPr>
          <w:i/>
        </w:rPr>
        <w:t>J. Am. Chem. Soc.</w:t>
      </w:r>
      <w:r w:rsidRPr="00C778FE">
        <w:t xml:space="preserve"> </w:t>
      </w:r>
      <w:r w:rsidRPr="00C778FE">
        <w:rPr>
          <w:b/>
        </w:rPr>
        <w:t>2022</w:t>
      </w:r>
      <w:r w:rsidRPr="00C778FE">
        <w:t xml:space="preserve">, </w:t>
      </w:r>
      <w:r w:rsidRPr="00C778FE">
        <w:rPr>
          <w:i/>
          <w:iCs/>
        </w:rPr>
        <w:t>144</w:t>
      </w:r>
      <w:r w:rsidRPr="00C778FE">
        <w:t>, 2933–2942.</w:t>
      </w:r>
    </w:p>
    <w:p w14:paraId="3B4C2F0A" w14:textId="5371A8DE" w:rsidR="00A24098" w:rsidRPr="00C778FE" w:rsidRDefault="00A24098" w:rsidP="00A24098">
      <w:pPr>
        <w:pStyle w:val="TFReferencesSection"/>
      </w:pPr>
      <w:r w:rsidRPr="00C778FE">
        <w:t>2</w:t>
      </w:r>
      <w:r w:rsidR="0059555E" w:rsidRPr="00C778FE">
        <w:t>9</w:t>
      </w:r>
      <w:r w:rsidRPr="00C778FE">
        <w:tab/>
        <w:t xml:space="preserve">Mure, M. Tyrosine-Derived Quinone Cofactors. </w:t>
      </w:r>
      <w:r w:rsidRPr="00C778FE">
        <w:rPr>
          <w:i/>
        </w:rPr>
        <w:t>Acc. Chem. Res.</w:t>
      </w:r>
      <w:r w:rsidRPr="00C778FE">
        <w:rPr>
          <w:b/>
        </w:rPr>
        <w:t xml:space="preserve"> 2004</w:t>
      </w:r>
      <w:r w:rsidRPr="00C778FE">
        <w:t xml:space="preserve">, </w:t>
      </w:r>
      <w:r w:rsidRPr="00C778FE">
        <w:rPr>
          <w:i/>
          <w:iCs/>
        </w:rPr>
        <w:t>37</w:t>
      </w:r>
      <w:r w:rsidRPr="00C778FE">
        <w:t xml:space="preserve">, 131–139. </w:t>
      </w:r>
    </w:p>
    <w:p w14:paraId="0AD22664" w14:textId="4020A9FB" w:rsidR="0006678A" w:rsidRPr="00C778FE" w:rsidRDefault="0006678A" w:rsidP="0006678A">
      <w:pPr>
        <w:pStyle w:val="TFReferencesSection"/>
      </w:pPr>
      <w:r w:rsidRPr="00C778FE">
        <w:t>30</w:t>
      </w:r>
      <w:r w:rsidRPr="00C778FE">
        <w:tab/>
      </w:r>
      <w:r w:rsidR="00100FB6" w:rsidRPr="00C778FE">
        <w:t xml:space="preserve">Hanson, K.; Torelli, D. A.; Vannucci, A. K.; Brennaman, M. K.; Luo,H.;  Alibabaei, L.; Song, W.; Ashford, D. L.; Norris, M. R.; Glasson, C. R. K.; Concepcion, J. J.; Meyer, T. J. Self-Assembled Bilayer Films of Ruthenium(II)/Polypyridyl Complexes through Layer-by-Layer Deposition on Nanostructured Metal Oxides, </w:t>
      </w:r>
      <w:r w:rsidR="00100FB6" w:rsidRPr="00C778FE">
        <w:rPr>
          <w:i/>
          <w:iCs/>
        </w:rPr>
        <w:t>Angew. Chem. Int. Ed.</w:t>
      </w:r>
      <w:r w:rsidR="00100FB6" w:rsidRPr="00C778FE">
        <w:t xml:space="preserve"> </w:t>
      </w:r>
      <w:r w:rsidR="00100FB6" w:rsidRPr="00C778FE">
        <w:rPr>
          <w:b/>
          <w:bCs/>
        </w:rPr>
        <w:t>2012</w:t>
      </w:r>
      <w:r w:rsidR="00100FB6" w:rsidRPr="00C778FE">
        <w:t xml:space="preserve">, </w:t>
      </w:r>
      <w:r w:rsidR="00100FB6" w:rsidRPr="00C778FE">
        <w:rPr>
          <w:i/>
          <w:iCs/>
        </w:rPr>
        <w:t>51</w:t>
      </w:r>
      <w:r w:rsidR="00100FB6" w:rsidRPr="00C778FE">
        <w:t>, 12782–12785.</w:t>
      </w:r>
    </w:p>
    <w:p w14:paraId="4A683ACB" w14:textId="16BCD620" w:rsidR="0006678A" w:rsidRPr="00C778FE" w:rsidRDefault="000C4E94" w:rsidP="000C4E94">
      <w:pPr>
        <w:pStyle w:val="TFReferencesSection"/>
      </w:pPr>
      <w:r w:rsidRPr="00C778FE">
        <w:t>31</w:t>
      </w:r>
      <w:r w:rsidRPr="00C778FE">
        <w:tab/>
        <w:t xml:space="preserve">Shan, B.; Nayak, A.; Brennaman, M. K.; Liu, M.; Marquard, S.; L.; Eberhart, M. S.;Meyer, T. J. Controlling Vertical and Lateral Electron Migration Using a Bifunctional Chromophore Assembly in Dye-Sensitized Photoelectrosynthesis Cells, </w:t>
      </w:r>
      <w:r w:rsidRPr="00C778FE">
        <w:rPr>
          <w:i/>
          <w:iCs/>
        </w:rPr>
        <w:t>J. Am. Chem. Soc.</w:t>
      </w:r>
      <w:r w:rsidRPr="00C778FE">
        <w:t xml:space="preserve"> </w:t>
      </w:r>
      <w:r w:rsidRPr="00C778FE">
        <w:rPr>
          <w:b/>
          <w:bCs/>
        </w:rPr>
        <w:t>2018</w:t>
      </w:r>
      <w:r w:rsidRPr="00C778FE">
        <w:t xml:space="preserve">, </w:t>
      </w:r>
      <w:r w:rsidRPr="00C778FE">
        <w:rPr>
          <w:i/>
          <w:iCs/>
        </w:rPr>
        <w:t>140</w:t>
      </w:r>
      <w:r w:rsidRPr="00C778FE">
        <w:t>, 6493–6500.</w:t>
      </w:r>
    </w:p>
    <w:p w14:paraId="70731357" w14:textId="77777777" w:rsidR="00DD29EF" w:rsidRPr="00C778FE" w:rsidRDefault="000D2D84" w:rsidP="00591AC2">
      <w:pPr>
        <w:pStyle w:val="SNSynopsisTOC"/>
        <w:sectPr w:rsidR="00DD29EF" w:rsidRPr="00C778FE" w:rsidSect="00513318">
          <w:type w:val="continuous"/>
          <w:pgSz w:w="12240" w:h="15840"/>
          <w:pgMar w:top="720" w:right="1094" w:bottom="950" w:left="1094" w:header="720" w:footer="720" w:gutter="0"/>
          <w:cols w:num="2" w:space="461"/>
        </w:sectPr>
      </w:pPr>
      <w:r w:rsidRPr="00C778FE">
        <w:br w:type="page"/>
      </w:r>
    </w:p>
    <w:p w14:paraId="07BCAD81" w14:textId="1A0BCD47" w:rsidR="00A66EDD" w:rsidRPr="00C778FE" w:rsidRDefault="00A66EDD" w:rsidP="00A24098">
      <w:pPr>
        <w:pBdr>
          <w:top w:val="single" w:sz="4" w:space="1" w:color="auto"/>
          <w:bottom w:val="single" w:sz="4" w:space="1" w:color="auto"/>
        </w:pBdr>
        <w:spacing w:after="240"/>
        <w:jc w:val="center"/>
        <w:rPr>
          <w:rFonts w:ascii="Arno Pro" w:hAnsi="Arno Pro"/>
        </w:rPr>
      </w:pPr>
      <w:r w:rsidRPr="00C778FE">
        <w:rPr>
          <w:rFonts w:ascii="Arno Pro" w:hAnsi="Arno Pro"/>
        </w:rPr>
        <w:lastRenderedPageBreak/>
        <w:t xml:space="preserve">Table of Contents </w:t>
      </w:r>
      <w:r w:rsidR="00A24098" w:rsidRPr="00C778FE">
        <w:rPr>
          <w:rFonts w:ascii="Arno Pro" w:hAnsi="Arno Pro"/>
        </w:rPr>
        <w:t>Graphic</w:t>
      </w:r>
    </w:p>
    <w:p w14:paraId="32EC6758" w14:textId="1EC0854E" w:rsidR="00A24098" w:rsidRPr="00C45E7B" w:rsidRDefault="00FE79BB" w:rsidP="00A24098">
      <w:pPr>
        <w:pBdr>
          <w:top w:val="single" w:sz="4" w:space="1" w:color="auto"/>
          <w:bottom w:val="single" w:sz="4" w:space="1" w:color="auto"/>
        </w:pBdr>
        <w:spacing w:after="240"/>
        <w:jc w:val="center"/>
        <w:rPr>
          <w:rFonts w:ascii="Arno Pro" w:hAnsi="Arno Pro"/>
        </w:rPr>
      </w:pPr>
      <w:r w:rsidRPr="00C778FE">
        <w:rPr>
          <w:rFonts w:ascii="Arno Pro" w:hAnsi="Arno Pro"/>
          <w:noProof/>
        </w:rPr>
        <w:drawing>
          <wp:inline distT="0" distB="0" distL="0" distR="0" wp14:anchorId="5AC6B6B0" wp14:editId="31A6152B">
            <wp:extent cx="2880360" cy="1560576"/>
            <wp:effectExtent l="0" t="0" r="0" b="190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360" cy="1560576"/>
                    </a:xfrm>
                    <a:prstGeom prst="rect">
                      <a:avLst/>
                    </a:prstGeom>
                  </pic:spPr>
                </pic:pic>
              </a:graphicData>
            </a:graphic>
          </wp:inline>
        </w:drawing>
      </w:r>
    </w:p>
    <w:sectPr w:rsidR="00A24098" w:rsidRPr="00C45E7B" w:rsidSect="00513318">
      <w:headerReference w:type="even" r:id="rId13"/>
      <w:footerReference w:type="even" r:id="rId14"/>
      <w:footerReference w:type="default" r:id="rId15"/>
      <w:type w:val="continuous"/>
      <w:pgSz w:w="12240" w:h="15840"/>
      <w:pgMar w:top="720" w:right="1094" w:bottom="950" w:left="1094" w:header="0" w:footer="0" w:gutter="0"/>
      <w:cols w:space="47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0069A" w14:textId="77777777" w:rsidR="00BD1144" w:rsidRDefault="00BD1144">
      <w:r>
        <w:separator/>
      </w:r>
    </w:p>
    <w:p w14:paraId="161A0E00" w14:textId="77777777" w:rsidR="00BD1144" w:rsidRDefault="00BD1144"/>
  </w:endnote>
  <w:endnote w:type="continuationSeparator" w:id="0">
    <w:p w14:paraId="5C32A6CF" w14:textId="77777777" w:rsidR="00BD1144" w:rsidRDefault="00BD1144">
      <w:r>
        <w:continuationSeparator/>
      </w:r>
    </w:p>
    <w:p w14:paraId="1E362938" w14:textId="77777777" w:rsidR="00BD1144" w:rsidRDefault="00BD11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panose1 w:val="02040503060506020304"/>
    <w:charset w:val="4D"/>
    <w:family w:val="roman"/>
    <w:notTrueType/>
    <w:pitch w:val="variable"/>
    <w:sig w:usb0="00000003" w:usb1="00000000" w:usb2="0000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embedRegular r:id="rId1" w:subsetted="1" w:fontKey="{7FBB07F2-BC12-41E0-B644-E556D7D71C8F}"/>
  </w:font>
  <w:font w:name="Myriad Pro Light">
    <w:altName w:val="Segoe UI Light"/>
    <w:charset w:val="00"/>
    <w:family w:val="auto"/>
    <w:pitch w:val="default"/>
  </w:font>
  <w:font w:name="Arial">
    <w:panose1 w:val="020B0604020202020204"/>
    <w:charset w:val="00"/>
    <w:family w:val="swiss"/>
    <w:pitch w:val="variable"/>
    <w:sig w:usb0="E0002EFF" w:usb1="C000785B" w:usb2="00000009" w:usb3="00000000" w:csb0="000001FF" w:csb1="00000000"/>
  </w:font>
  <w:font w:name="Arno Pro">
    <w:altName w:val="Cambria"/>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E49BF" w14:textId="77777777" w:rsidR="00A41D61" w:rsidRDefault="00A41D61">
    <w:pPr>
      <w:framePr w:wrap="around" w:vAnchor="text" w:hAnchor="margin" w:xAlign="right" w:y="1"/>
      <w:rPr>
        <w:rStyle w:val="a8"/>
      </w:rPr>
    </w:pPr>
    <w:r>
      <w:rPr>
        <w:rStyle w:val="a8"/>
      </w:rPr>
      <w:t xml:space="preserve">PAGE  </w:t>
    </w:r>
    <w:r>
      <w:rPr>
        <w:rStyle w:val="a8"/>
        <w:noProof/>
      </w:rPr>
      <w:t>2</w:t>
    </w:r>
  </w:p>
  <w:p w14:paraId="1ADFDF0F" w14:textId="77777777" w:rsidR="00A41D61" w:rsidRDefault="00A41D61">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DE7E5" w14:textId="77777777" w:rsidR="00A41D61" w:rsidRDefault="00A41D61">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BBBA9" w14:textId="77777777" w:rsidR="00A41D61" w:rsidRDefault="00A41D61">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1</w:t>
    </w:r>
    <w:r>
      <w:rPr>
        <w:rStyle w:val="a8"/>
      </w:rPr>
      <w:fldChar w:fldCharType="end"/>
    </w:r>
  </w:p>
  <w:p w14:paraId="1B4AEE28" w14:textId="77777777" w:rsidR="00A41D61" w:rsidRDefault="00A41D61">
    <w:pPr>
      <w:pStyle w:val="a7"/>
      <w:ind w:right="360"/>
    </w:pPr>
  </w:p>
  <w:p w14:paraId="249F2B02" w14:textId="77777777" w:rsidR="00A41D61" w:rsidRDefault="00A41D6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2FC12" w14:textId="77777777" w:rsidR="00A41D61" w:rsidRDefault="00A41D61">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4</w:t>
    </w:r>
    <w:r>
      <w:rPr>
        <w:rStyle w:val="a8"/>
      </w:rPr>
      <w:fldChar w:fldCharType="end"/>
    </w:r>
  </w:p>
  <w:p w14:paraId="7A1D1BBF" w14:textId="77777777" w:rsidR="00A41D61" w:rsidRDefault="00A41D61">
    <w:pPr>
      <w:pStyle w:val="a7"/>
      <w:ind w:right="360"/>
    </w:pPr>
  </w:p>
  <w:p w14:paraId="49BE6D17" w14:textId="77777777" w:rsidR="00A41D61" w:rsidRDefault="00A41D6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228DB1" w14:textId="77777777" w:rsidR="00BD1144" w:rsidRDefault="00BD1144">
      <w:r>
        <w:separator/>
      </w:r>
    </w:p>
    <w:p w14:paraId="25A265D1" w14:textId="77777777" w:rsidR="00BD1144" w:rsidRDefault="00BD1144"/>
  </w:footnote>
  <w:footnote w:type="continuationSeparator" w:id="0">
    <w:p w14:paraId="51011289" w14:textId="77777777" w:rsidR="00BD1144" w:rsidRDefault="00BD1144">
      <w:r>
        <w:continuationSeparator/>
      </w:r>
    </w:p>
    <w:p w14:paraId="3130FA85" w14:textId="77777777" w:rsidR="00BD1144" w:rsidRDefault="00BD114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E388C" w14:textId="77777777" w:rsidR="00A41D61" w:rsidRDefault="00A41D6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2"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4"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5"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6" w15:restartNumberingAfterBreak="0">
    <w:nsid w:val="762B1CBF"/>
    <w:multiLevelType w:val="hybridMultilevel"/>
    <w:tmpl w:val="0D747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CF638C3"/>
    <w:multiLevelType w:val="multilevel"/>
    <w:tmpl w:val="7B98ED2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16cid:durableId="1561403727">
    <w:abstractNumId w:val="4"/>
  </w:num>
  <w:num w:numId="2" w16cid:durableId="1372144040">
    <w:abstractNumId w:val="2"/>
  </w:num>
  <w:num w:numId="3" w16cid:durableId="2077626695">
    <w:abstractNumId w:val="5"/>
  </w:num>
  <w:num w:numId="4" w16cid:durableId="1284463474">
    <w:abstractNumId w:val="3"/>
  </w:num>
  <w:num w:numId="5" w16cid:durableId="1601910665">
    <w:abstractNumId w:val="1"/>
  </w:num>
  <w:num w:numId="6" w16cid:durableId="490372702">
    <w:abstractNumId w:val="0"/>
  </w:num>
  <w:num w:numId="7" w16cid:durableId="1126433285">
    <w:abstractNumId w:val="7"/>
  </w:num>
  <w:num w:numId="8" w16cid:durableId="71539496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removeDateAndTime/>
  <w:displayBackgroundShape/>
  <w:embedTrueTypeFonts/>
  <w:saveSubsetFonts/>
  <w:bordersDoNotSurroundHeader/>
  <w:bordersDoNotSurroundFooter/>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4098"/>
    <w:rsid w:val="000074FC"/>
    <w:rsid w:val="000201D0"/>
    <w:rsid w:val="00022FD0"/>
    <w:rsid w:val="0003046A"/>
    <w:rsid w:val="00046572"/>
    <w:rsid w:val="0004795C"/>
    <w:rsid w:val="0006678A"/>
    <w:rsid w:val="0008480D"/>
    <w:rsid w:val="000A2C81"/>
    <w:rsid w:val="000A65BB"/>
    <w:rsid w:val="000A7F9A"/>
    <w:rsid w:val="000C4E94"/>
    <w:rsid w:val="000C6AAE"/>
    <w:rsid w:val="000D2D84"/>
    <w:rsid w:val="000D36BC"/>
    <w:rsid w:val="000D4904"/>
    <w:rsid w:val="000E75E3"/>
    <w:rsid w:val="00100FB6"/>
    <w:rsid w:val="00101D1F"/>
    <w:rsid w:val="00113C26"/>
    <w:rsid w:val="00123D0E"/>
    <w:rsid w:val="00133E37"/>
    <w:rsid w:val="001379DD"/>
    <w:rsid w:val="00141659"/>
    <w:rsid w:val="00146055"/>
    <w:rsid w:val="0015109A"/>
    <w:rsid w:val="001552FE"/>
    <w:rsid w:val="00157E12"/>
    <w:rsid w:val="0017705C"/>
    <w:rsid w:val="0018099F"/>
    <w:rsid w:val="00190944"/>
    <w:rsid w:val="001A2464"/>
    <w:rsid w:val="001E0400"/>
    <w:rsid w:val="001E6AB1"/>
    <w:rsid w:val="001F407C"/>
    <w:rsid w:val="002031A2"/>
    <w:rsid w:val="002225CC"/>
    <w:rsid w:val="00226342"/>
    <w:rsid w:val="00231F9B"/>
    <w:rsid w:val="0024409A"/>
    <w:rsid w:val="002644CA"/>
    <w:rsid w:val="002729FB"/>
    <w:rsid w:val="00282F38"/>
    <w:rsid w:val="0028782E"/>
    <w:rsid w:val="00291F8A"/>
    <w:rsid w:val="002A033B"/>
    <w:rsid w:val="002A15A6"/>
    <w:rsid w:val="002A7098"/>
    <w:rsid w:val="002A7D96"/>
    <w:rsid w:val="002C3431"/>
    <w:rsid w:val="002D0F28"/>
    <w:rsid w:val="002D21D7"/>
    <w:rsid w:val="00310911"/>
    <w:rsid w:val="0032017B"/>
    <w:rsid w:val="00333D2F"/>
    <w:rsid w:val="0035002E"/>
    <w:rsid w:val="003547B0"/>
    <w:rsid w:val="003679A1"/>
    <w:rsid w:val="0038505B"/>
    <w:rsid w:val="00385DEC"/>
    <w:rsid w:val="00393CED"/>
    <w:rsid w:val="003A0F5F"/>
    <w:rsid w:val="003B4AF3"/>
    <w:rsid w:val="003B7CF0"/>
    <w:rsid w:val="003E5207"/>
    <w:rsid w:val="003F6ADE"/>
    <w:rsid w:val="0041079D"/>
    <w:rsid w:val="00412AA1"/>
    <w:rsid w:val="00421082"/>
    <w:rsid w:val="00422950"/>
    <w:rsid w:val="00423E7D"/>
    <w:rsid w:val="004242E2"/>
    <w:rsid w:val="00427112"/>
    <w:rsid w:val="004564CF"/>
    <w:rsid w:val="004564DD"/>
    <w:rsid w:val="004805AA"/>
    <w:rsid w:val="00482484"/>
    <w:rsid w:val="00496B72"/>
    <w:rsid w:val="0049789A"/>
    <w:rsid w:val="004A742B"/>
    <w:rsid w:val="004B1240"/>
    <w:rsid w:val="004C383A"/>
    <w:rsid w:val="004D3145"/>
    <w:rsid w:val="004D5F3A"/>
    <w:rsid w:val="004E2484"/>
    <w:rsid w:val="004F264E"/>
    <w:rsid w:val="00511299"/>
    <w:rsid w:val="00513318"/>
    <w:rsid w:val="005327A4"/>
    <w:rsid w:val="00533B31"/>
    <w:rsid w:val="005344F0"/>
    <w:rsid w:val="0053485D"/>
    <w:rsid w:val="005473C9"/>
    <w:rsid w:val="00551789"/>
    <w:rsid w:val="00552A07"/>
    <w:rsid w:val="0056517F"/>
    <w:rsid w:val="00565BC0"/>
    <w:rsid w:val="005721AA"/>
    <w:rsid w:val="005754B8"/>
    <w:rsid w:val="00575965"/>
    <w:rsid w:val="0059195D"/>
    <w:rsid w:val="00591A57"/>
    <w:rsid w:val="00591AC2"/>
    <w:rsid w:val="0059535F"/>
    <w:rsid w:val="0059555E"/>
    <w:rsid w:val="005B57D6"/>
    <w:rsid w:val="005C6C44"/>
    <w:rsid w:val="005D0C10"/>
    <w:rsid w:val="005D2065"/>
    <w:rsid w:val="005E3C33"/>
    <w:rsid w:val="005E4794"/>
    <w:rsid w:val="005E71E3"/>
    <w:rsid w:val="005F5C5C"/>
    <w:rsid w:val="005F7CFB"/>
    <w:rsid w:val="00604E00"/>
    <w:rsid w:val="00604F23"/>
    <w:rsid w:val="00611147"/>
    <w:rsid w:val="00611EDC"/>
    <w:rsid w:val="00614F2E"/>
    <w:rsid w:val="00616D68"/>
    <w:rsid w:val="00617427"/>
    <w:rsid w:val="00631B3F"/>
    <w:rsid w:val="00631E32"/>
    <w:rsid w:val="0063566F"/>
    <w:rsid w:val="00641EC8"/>
    <w:rsid w:val="006532A9"/>
    <w:rsid w:val="0066338D"/>
    <w:rsid w:val="0066798C"/>
    <w:rsid w:val="00670939"/>
    <w:rsid w:val="0068442F"/>
    <w:rsid w:val="00691A92"/>
    <w:rsid w:val="006A3746"/>
    <w:rsid w:val="006A784B"/>
    <w:rsid w:val="006B2581"/>
    <w:rsid w:val="006F268D"/>
    <w:rsid w:val="007005E1"/>
    <w:rsid w:val="007009DA"/>
    <w:rsid w:val="0071182A"/>
    <w:rsid w:val="007130C0"/>
    <w:rsid w:val="00713C65"/>
    <w:rsid w:val="007175B1"/>
    <w:rsid w:val="007179F0"/>
    <w:rsid w:val="00725A59"/>
    <w:rsid w:val="00725E67"/>
    <w:rsid w:val="007331FF"/>
    <w:rsid w:val="00733C5A"/>
    <w:rsid w:val="00736089"/>
    <w:rsid w:val="007629D3"/>
    <w:rsid w:val="007739C8"/>
    <w:rsid w:val="00792385"/>
    <w:rsid w:val="007A4DDD"/>
    <w:rsid w:val="007B479C"/>
    <w:rsid w:val="007C1383"/>
    <w:rsid w:val="007C1E5E"/>
    <w:rsid w:val="007D5786"/>
    <w:rsid w:val="007E19EA"/>
    <w:rsid w:val="007F6792"/>
    <w:rsid w:val="007F73A8"/>
    <w:rsid w:val="00803489"/>
    <w:rsid w:val="00806477"/>
    <w:rsid w:val="00820344"/>
    <w:rsid w:val="008348A2"/>
    <w:rsid w:val="00835CBD"/>
    <w:rsid w:val="00856C75"/>
    <w:rsid w:val="00865421"/>
    <w:rsid w:val="00865479"/>
    <w:rsid w:val="008655C0"/>
    <w:rsid w:val="00886D9F"/>
    <w:rsid w:val="008901E4"/>
    <w:rsid w:val="008A4400"/>
    <w:rsid w:val="008B1E7E"/>
    <w:rsid w:val="008D2DFE"/>
    <w:rsid w:val="008D3D15"/>
    <w:rsid w:val="008D567C"/>
    <w:rsid w:val="008D5F40"/>
    <w:rsid w:val="008E7C1B"/>
    <w:rsid w:val="008F779A"/>
    <w:rsid w:val="0092037A"/>
    <w:rsid w:val="009246AD"/>
    <w:rsid w:val="00927CDC"/>
    <w:rsid w:val="00942500"/>
    <w:rsid w:val="00957C0B"/>
    <w:rsid w:val="00967927"/>
    <w:rsid w:val="00984F9E"/>
    <w:rsid w:val="009968AF"/>
    <w:rsid w:val="009A65BB"/>
    <w:rsid w:val="009B2F54"/>
    <w:rsid w:val="009B377A"/>
    <w:rsid w:val="009B5BC7"/>
    <w:rsid w:val="009C735D"/>
    <w:rsid w:val="009E1A7C"/>
    <w:rsid w:val="009F6374"/>
    <w:rsid w:val="00A01470"/>
    <w:rsid w:val="00A02D62"/>
    <w:rsid w:val="00A1701C"/>
    <w:rsid w:val="00A24098"/>
    <w:rsid w:val="00A269C9"/>
    <w:rsid w:val="00A35E65"/>
    <w:rsid w:val="00A41D61"/>
    <w:rsid w:val="00A444E1"/>
    <w:rsid w:val="00A44673"/>
    <w:rsid w:val="00A460B5"/>
    <w:rsid w:val="00A46C91"/>
    <w:rsid w:val="00A640B8"/>
    <w:rsid w:val="00A66999"/>
    <w:rsid w:val="00A66EDD"/>
    <w:rsid w:val="00A71C00"/>
    <w:rsid w:val="00A80473"/>
    <w:rsid w:val="00AA4828"/>
    <w:rsid w:val="00AB6A10"/>
    <w:rsid w:val="00AC1839"/>
    <w:rsid w:val="00AC3521"/>
    <w:rsid w:val="00AC5F97"/>
    <w:rsid w:val="00AC6438"/>
    <w:rsid w:val="00AD57E3"/>
    <w:rsid w:val="00AE4B97"/>
    <w:rsid w:val="00AF2AD1"/>
    <w:rsid w:val="00B32F4E"/>
    <w:rsid w:val="00B36891"/>
    <w:rsid w:val="00B42C29"/>
    <w:rsid w:val="00B52D1C"/>
    <w:rsid w:val="00B563D9"/>
    <w:rsid w:val="00B631C3"/>
    <w:rsid w:val="00B71491"/>
    <w:rsid w:val="00B7496D"/>
    <w:rsid w:val="00B7618D"/>
    <w:rsid w:val="00B80297"/>
    <w:rsid w:val="00B875D7"/>
    <w:rsid w:val="00B97259"/>
    <w:rsid w:val="00BB1134"/>
    <w:rsid w:val="00BC0766"/>
    <w:rsid w:val="00BC3E2A"/>
    <w:rsid w:val="00BD0668"/>
    <w:rsid w:val="00BD1144"/>
    <w:rsid w:val="00BD5122"/>
    <w:rsid w:val="00BE10EB"/>
    <w:rsid w:val="00BE533F"/>
    <w:rsid w:val="00BF0A04"/>
    <w:rsid w:val="00C06CFC"/>
    <w:rsid w:val="00C14E5D"/>
    <w:rsid w:val="00C23F13"/>
    <w:rsid w:val="00C30403"/>
    <w:rsid w:val="00C456D0"/>
    <w:rsid w:val="00C45E7B"/>
    <w:rsid w:val="00C72D78"/>
    <w:rsid w:val="00C77856"/>
    <w:rsid w:val="00C778FE"/>
    <w:rsid w:val="00C9140C"/>
    <w:rsid w:val="00C95C09"/>
    <w:rsid w:val="00CA0DD8"/>
    <w:rsid w:val="00CA15CA"/>
    <w:rsid w:val="00CD4635"/>
    <w:rsid w:val="00CE1C3F"/>
    <w:rsid w:val="00CF62F9"/>
    <w:rsid w:val="00D21109"/>
    <w:rsid w:val="00D444D5"/>
    <w:rsid w:val="00D53582"/>
    <w:rsid w:val="00D61DBF"/>
    <w:rsid w:val="00D66756"/>
    <w:rsid w:val="00D7282F"/>
    <w:rsid w:val="00D86677"/>
    <w:rsid w:val="00D928D2"/>
    <w:rsid w:val="00DD1EEC"/>
    <w:rsid w:val="00DD29EF"/>
    <w:rsid w:val="00DD604A"/>
    <w:rsid w:val="00DE78D2"/>
    <w:rsid w:val="00DF59F4"/>
    <w:rsid w:val="00DF7F17"/>
    <w:rsid w:val="00E074F2"/>
    <w:rsid w:val="00E2340D"/>
    <w:rsid w:val="00E32A18"/>
    <w:rsid w:val="00E46BD3"/>
    <w:rsid w:val="00E63260"/>
    <w:rsid w:val="00E65825"/>
    <w:rsid w:val="00E75388"/>
    <w:rsid w:val="00E84CB9"/>
    <w:rsid w:val="00E85EBE"/>
    <w:rsid w:val="00E86161"/>
    <w:rsid w:val="00E939AA"/>
    <w:rsid w:val="00E96302"/>
    <w:rsid w:val="00EC784E"/>
    <w:rsid w:val="00ED4943"/>
    <w:rsid w:val="00ED5950"/>
    <w:rsid w:val="00EE44EF"/>
    <w:rsid w:val="00F03659"/>
    <w:rsid w:val="00F05662"/>
    <w:rsid w:val="00F103D7"/>
    <w:rsid w:val="00F56D0B"/>
    <w:rsid w:val="00F73100"/>
    <w:rsid w:val="00F8537A"/>
    <w:rsid w:val="00F87278"/>
    <w:rsid w:val="00F960B1"/>
    <w:rsid w:val="00F97782"/>
    <w:rsid w:val="00FA7FC5"/>
    <w:rsid w:val="00FC4EEE"/>
    <w:rsid w:val="00FD4742"/>
    <w:rsid w:val="00FE79BB"/>
    <w:rsid w:val="00FF50F7"/>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3866D5CC"/>
  <w15:docId w15:val="{1482C556-B2CE-4086-9BD6-9994A8A66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heme="minorEastAsia"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after="200"/>
      <w:jc w:val="both"/>
    </w:pPr>
    <w:rPr>
      <w:rFonts w:ascii="Times" w:hAnsi="Times"/>
      <w:sz w:val="24"/>
    </w:rPr>
  </w:style>
  <w:style w:type="paragraph" w:styleId="1">
    <w:name w:val="heading 1"/>
    <w:basedOn w:val="a"/>
    <w:next w:val="a"/>
    <w:qFormat/>
    <w:rsid w:val="00865479"/>
    <w:pPr>
      <w:keepNext/>
      <w:spacing w:before="180" w:after="60"/>
      <w:ind w:left="480" w:hanging="240"/>
      <w:outlineLvl w:val="0"/>
    </w:pPr>
    <w:rPr>
      <w:rFonts w:ascii="Myriad Pro Light" w:hAnsi="Myriad Pro Light" w:cs="Arial"/>
      <w:b/>
      <w:bCs/>
      <w:kern w:val="32"/>
      <w:sz w:val="22"/>
      <w:szCs w:val="32"/>
    </w:rPr>
  </w:style>
  <w:style w:type="paragraph" w:styleId="2">
    <w:name w:val="heading 2"/>
    <w:basedOn w:val="a"/>
    <w:next w:val="a"/>
    <w:qFormat/>
    <w:rsid w:val="00865479"/>
    <w:pPr>
      <w:keepNext/>
      <w:spacing w:before="60" w:after="60"/>
      <w:outlineLvl w:val="1"/>
    </w:pPr>
    <w:rPr>
      <w:rFonts w:ascii="Myriad Pro Light" w:hAnsi="Myriad Pro Light" w:cs="Arial"/>
      <w:b/>
      <w:bCs/>
      <w:iCs/>
      <w:sz w:val="20"/>
      <w:szCs w:val="28"/>
    </w:rPr>
  </w:style>
  <w:style w:type="paragraph" w:styleId="3">
    <w:name w:val="heading 3"/>
    <w:basedOn w:val="a"/>
    <w:next w:val="a"/>
    <w:qFormat/>
    <w:rsid w:val="00865479"/>
    <w:pPr>
      <w:keepNext/>
      <w:spacing w:before="60" w:after="60"/>
      <w:ind w:left="180"/>
      <w:outlineLvl w:val="2"/>
    </w:pPr>
    <w:rPr>
      <w:rFonts w:ascii="Myriad Pro Light" w:hAnsi="Myriad Pro Light" w:cs="Arial"/>
      <w:b/>
      <w:bCs/>
      <w:sz w:val="20"/>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rPr>
      <w:color w:val="800080"/>
      <w:u w:val="single"/>
    </w:rPr>
  </w:style>
  <w:style w:type="paragraph" w:styleId="a4">
    <w:name w:val="Body Text"/>
    <w:basedOn w:val="a"/>
    <w:pPr>
      <w:jc w:val="center"/>
    </w:pPr>
    <w:rPr>
      <w:b/>
      <w:sz w:val="40"/>
    </w:rPr>
  </w:style>
  <w:style w:type="paragraph" w:styleId="a5">
    <w:name w:val="footnote text"/>
    <w:basedOn w:val="a"/>
    <w:next w:val="TFReferencesSection"/>
    <w:semiHidden/>
  </w:style>
  <w:style w:type="paragraph" w:customStyle="1" w:styleId="TFReferencesSection">
    <w:name w:val="TF_References_Section"/>
    <w:basedOn w:val="a"/>
    <w:next w:val="a"/>
    <w:autoRedefine/>
    <w:rsid w:val="00591AC2"/>
    <w:pPr>
      <w:spacing w:after="0"/>
      <w:ind w:firstLine="187"/>
    </w:pPr>
    <w:rPr>
      <w:rFonts w:ascii="Arno Pro" w:hAnsi="Arno Pro"/>
      <w:kern w:val="19"/>
      <w:sz w:val="16"/>
      <w:szCs w:val="14"/>
    </w:rPr>
  </w:style>
  <w:style w:type="paragraph" w:customStyle="1" w:styleId="TAMainText">
    <w:name w:val="TA_Main_Text"/>
    <w:basedOn w:val="a"/>
    <w:autoRedefine/>
    <w:rsid w:val="00FA7FC5"/>
    <w:pPr>
      <w:spacing w:after="60"/>
      <w:ind w:firstLine="180"/>
    </w:pPr>
    <w:rPr>
      <w:rFonts w:ascii="Arno Pro" w:hAnsi="Arno Pro"/>
      <w:kern w:val="21"/>
      <w:sz w:val="18"/>
    </w:rPr>
  </w:style>
  <w:style w:type="paragraph" w:customStyle="1" w:styleId="BATitle">
    <w:name w:val="BA_Title"/>
    <w:basedOn w:val="a"/>
    <w:next w:val="BBAuthorName"/>
    <w:autoRedefine/>
    <w:rsid w:val="00333D2F"/>
    <w:pPr>
      <w:spacing w:before="1400" w:after="180"/>
      <w:jc w:val="left"/>
    </w:pPr>
    <w:rPr>
      <w:rFonts w:ascii="Myriad Pro Light" w:hAnsi="Myriad Pro Light"/>
      <w:b/>
      <w:kern w:val="36"/>
      <w:sz w:val="34"/>
    </w:rPr>
  </w:style>
  <w:style w:type="paragraph" w:customStyle="1" w:styleId="BBAuthorName">
    <w:name w:val="BB_Author_Name"/>
    <w:basedOn w:val="a"/>
    <w:next w:val="BCAuthorAddress"/>
    <w:autoRedefine/>
    <w:rsid w:val="00820344"/>
    <w:pPr>
      <w:spacing w:after="180"/>
      <w:jc w:val="left"/>
    </w:pPr>
    <w:rPr>
      <w:rFonts w:ascii="Arno Pro" w:hAnsi="Arno Pro"/>
      <w:kern w:val="26"/>
    </w:rPr>
  </w:style>
  <w:style w:type="paragraph" w:customStyle="1" w:styleId="BCAuthorAddress">
    <w:name w:val="BC_Author_Address"/>
    <w:basedOn w:val="a"/>
    <w:next w:val="BIEmailAddress"/>
    <w:autoRedefine/>
    <w:rsid w:val="00AC5F97"/>
    <w:pPr>
      <w:spacing w:after="60"/>
      <w:jc w:val="left"/>
    </w:pPr>
    <w:rPr>
      <w:rFonts w:ascii="Arno Pro" w:hAnsi="Arno Pro"/>
      <w:kern w:val="22"/>
      <w:sz w:val="20"/>
    </w:rPr>
  </w:style>
  <w:style w:type="paragraph" w:customStyle="1" w:styleId="BIEmailAddress">
    <w:name w:val="BI_Email_Address"/>
    <w:basedOn w:val="a"/>
    <w:next w:val="AIReceivedDate"/>
    <w:autoRedefine/>
    <w:rsid w:val="003A0F5F"/>
    <w:pPr>
      <w:spacing w:after="100"/>
      <w:jc w:val="left"/>
    </w:pPr>
    <w:rPr>
      <w:rFonts w:ascii="Arno Pro" w:hAnsi="Arno Pro"/>
      <w:sz w:val="18"/>
    </w:rPr>
  </w:style>
  <w:style w:type="paragraph" w:customStyle="1" w:styleId="AIReceivedDate">
    <w:name w:val="AI_Received_Date"/>
    <w:basedOn w:val="a"/>
    <w:next w:val="a"/>
    <w:autoRedefine/>
    <w:rsid w:val="00A444E1"/>
    <w:pPr>
      <w:spacing w:after="100"/>
      <w:jc w:val="left"/>
    </w:pPr>
    <w:rPr>
      <w:rFonts w:ascii="Arno Pro" w:hAnsi="Arno Pro"/>
      <w:sz w:val="18"/>
    </w:rPr>
  </w:style>
  <w:style w:type="paragraph" w:customStyle="1" w:styleId="BDAbstract">
    <w:name w:val="BD_Abstract"/>
    <w:basedOn w:val="a"/>
    <w:next w:val="TAMainText"/>
    <w:link w:val="BDAbstractChar"/>
    <w:autoRedefine/>
    <w:rsid w:val="00F56D0B"/>
    <w:pPr>
      <w:pBdr>
        <w:top w:val="single" w:sz="4" w:space="1" w:color="auto"/>
        <w:bottom w:val="single" w:sz="4" w:space="1" w:color="auto"/>
      </w:pBdr>
      <w:spacing w:before="100" w:after="600"/>
    </w:pPr>
    <w:rPr>
      <w:rFonts w:ascii="Arno Pro" w:hAnsi="Arno Pro"/>
      <w:kern w:val="21"/>
      <w:sz w:val="18"/>
    </w:rPr>
  </w:style>
  <w:style w:type="paragraph" w:customStyle="1" w:styleId="SectionContent">
    <w:name w:val="Section_Content"/>
    <w:basedOn w:val="StyleFACorrespondingAuthorFootnote"/>
    <w:next w:val="a"/>
    <w:autoRedefine/>
    <w:rsid w:val="00591AC2"/>
    <w:pPr>
      <w:jc w:val="both"/>
    </w:pPr>
  </w:style>
  <w:style w:type="paragraph" w:customStyle="1" w:styleId="VCSchemeTitle">
    <w:name w:val="VC_Scheme_Title"/>
    <w:basedOn w:val="a"/>
    <w:next w:val="a"/>
    <w:autoRedefine/>
    <w:rsid w:val="00427112"/>
    <w:pPr>
      <w:spacing w:after="180"/>
    </w:pPr>
    <w:rPr>
      <w:rFonts w:ascii="Arno Pro" w:hAnsi="Arno Pro"/>
      <w:b/>
      <w:kern w:val="21"/>
      <w:sz w:val="19"/>
    </w:rPr>
  </w:style>
  <w:style w:type="paragraph" w:customStyle="1" w:styleId="VDTableTitle">
    <w:name w:val="VD_Table_Title"/>
    <w:basedOn w:val="a"/>
    <w:next w:val="a"/>
    <w:autoRedefine/>
    <w:rsid w:val="00D444D5"/>
    <w:pPr>
      <w:spacing w:after="180"/>
    </w:pPr>
    <w:rPr>
      <w:rFonts w:ascii="Arno Pro" w:hAnsi="Arno Pro"/>
      <w:bCs/>
      <w:kern w:val="21"/>
      <w:sz w:val="18"/>
      <w:szCs w:val="18"/>
    </w:rPr>
  </w:style>
  <w:style w:type="paragraph" w:customStyle="1" w:styleId="VAFigureCaption">
    <w:name w:val="VA_Figure_Caption"/>
    <w:basedOn w:val="a"/>
    <w:next w:val="a"/>
    <w:autoRedefine/>
    <w:rsid w:val="000E75E3"/>
    <w:pPr>
      <w:spacing w:before="200" w:after="120"/>
    </w:pPr>
    <w:rPr>
      <w:rFonts w:ascii="Arno Pro" w:hAnsi="Arno Pro"/>
      <w:kern w:val="20"/>
      <w:sz w:val="18"/>
    </w:rPr>
  </w:style>
  <w:style w:type="paragraph" w:customStyle="1" w:styleId="VBChartTitle">
    <w:name w:val="VB_Chart_Title"/>
    <w:basedOn w:val="a"/>
    <w:next w:val="a"/>
    <w:autoRedefine/>
    <w:rsid w:val="00427112"/>
    <w:pPr>
      <w:spacing w:after="180"/>
    </w:pPr>
    <w:rPr>
      <w:rFonts w:ascii="Arno Pro" w:hAnsi="Arno Pro"/>
      <w:b/>
      <w:kern w:val="21"/>
      <w:sz w:val="19"/>
    </w:rPr>
  </w:style>
  <w:style w:type="paragraph" w:customStyle="1" w:styleId="FETableFootnote">
    <w:name w:val="FE_Table_Footnote"/>
    <w:basedOn w:val="a"/>
    <w:next w:val="a"/>
    <w:autoRedefine/>
    <w:rsid w:val="000E75E3"/>
    <w:pPr>
      <w:spacing w:before="60" w:after="120"/>
      <w:ind w:firstLine="187"/>
    </w:pPr>
    <w:rPr>
      <w:rFonts w:ascii="Arno Pro" w:hAnsi="Arno Pro"/>
      <w:sz w:val="18"/>
    </w:rPr>
  </w:style>
  <w:style w:type="paragraph" w:customStyle="1" w:styleId="FCChartFootnote">
    <w:name w:val="FC_Chart_Footnote"/>
    <w:basedOn w:val="a"/>
    <w:next w:val="a"/>
    <w:autoRedefine/>
    <w:rsid w:val="00157E12"/>
    <w:pPr>
      <w:spacing w:before="60" w:after="120"/>
      <w:ind w:firstLine="187"/>
    </w:pPr>
    <w:rPr>
      <w:rFonts w:ascii="Arno Pro" w:hAnsi="Arno Pro"/>
      <w:sz w:val="18"/>
    </w:rPr>
  </w:style>
  <w:style w:type="paragraph" w:customStyle="1" w:styleId="FDSchemeFootnote">
    <w:name w:val="FD_Scheme_Footnote"/>
    <w:basedOn w:val="a"/>
    <w:next w:val="a"/>
    <w:autoRedefine/>
    <w:rsid w:val="00157E12"/>
    <w:pPr>
      <w:spacing w:before="60" w:after="120"/>
      <w:ind w:firstLine="187"/>
    </w:pPr>
    <w:rPr>
      <w:rFonts w:ascii="Arno Pro" w:hAnsi="Arno Pro"/>
      <w:sz w:val="18"/>
    </w:rPr>
  </w:style>
  <w:style w:type="paragraph" w:customStyle="1" w:styleId="TCTableBody">
    <w:name w:val="TC_Table_Body"/>
    <w:basedOn w:val="a"/>
    <w:next w:val="a"/>
    <w:link w:val="TCTableBodyChar"/>
    <w:autoRedefine/>
    <w:rsid w:val="00FE79BB"/>
    <w:pPr>
      <w:spacing w:before="20" w:after="60"/>
    </w:pPr>
    <w:rPr>
      <w:rFonts w:ascii="Arno Pro" w:hAnsi="Arno Pro"/>
      <w:kern w:val="20"/>
      <w:sz w:val="18"/>
    </w:rPr>
  </w:style>
  <w:style w:type="paragraph" w:customStyle="1" w:styleId="StyleFACorrespondingAuthorFootnote">
    <w:name w:val="Style FA_Corresponding_Author_Footnote"/>
    <w:basedOn w:val="a"/>
    <w:next w:val="BGKeywords"/>
    <w:link w:val="StyleFACorrespondingAuthorFootnoteChar"/>
    <w:autoRedefine/>
    <w:rsid w:val="000D2D84"/>
    <w:pPr>
      <w:spacing w:after="0"/>
      <w:jc w:val="left"/>
    </w:pPr>
    <w:rPr>
      <w:rFonts w:ascii="Arno Pro" w:hAnsi="Arno Pro"/>
      <w:kern w:val="20"/>
      <w:sz w:val="18"/>
    </w:rPr>
  </w:style>
  <w:style w:type="paragraph" w:customStyle="1" w:styleId="BEAuthorBiography">
    <w:name w:val="BE_Author_Biography"/>
    <w:basedOn w:val="a"/>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a"/>
    <w:next w:val="a"/>
    <w:autoRedefine/>
    <w:rsid w:val="000E75E3"/>
    <w:pPr>
      <w:spacing w:after="60"/>
    </w:pPr>
    <w:rPr>
      <w:rFonts w:ascii="Arno Pro" w:hAnsi="Arno Pro"/>
      <w:kern w:val="22"/>
      <w:sz w:val="20"/>
    </w:rPr>
  </w:style>
  <w:style w:type="character" w:styleId="a6">
    <w:name w:val="Hyperlink"/>
    <w:rPr>
      <w:color w:val="0000FF"/>
      <w:u w:val="single"/>
    </w:rPr>
  </w:style>
  <w:style w:type="paragraph" w:styleId="a7">
    <w:name w:val="footer"/>
    <w:basedOn w:val="a"/>
    <w:pPr>
      <w:tabs>
        <w:tab w:val="center" w:pos="4320"/>
        <w:tab w:val="right" w:pos="8640"/>
      </w:tabs>
    </w:pPr>
  </w:style>
  <w:style w:type="paragraph" w:customStyle="1" w:styleId="BGKeywords">
    <w:name w:val="BG_Keywords"/>
    <w:basedOn w:val="a"/>
    <w:next w:val="BHBriefs"/>
    <w:autoRedefine/>
    <w:rsid w:val="00AC5F97"/>
    <w:pPr>
      <w:spacing w:after="220"/>
      <w:jc w:val="left"/>
    </w:pPr>
    <w:rPr>
      <w:rFonts w:ascii="Arno Pro" w:hAnsi="Arno Pro"/>
      <w:i/>
      <w:kern w:val="22"/>
      <w:sz w:val="20"/>
    </w:rPr>
  </w:style>
  <w:style w:type="paragraph" w:customStyle="1" w:styleId="BHBriefs">
    <w:name w:val="BH_Briefs"/>
    <w:basedOn w:val="a"/>
    <w:next w:val="BDAbstract"/>
    <w:autoRedefine/>
    <w:rsid w:val="000E75E3"/>
    <w:pPr>
      <w:spacing w:before="180" w:after="60"/>
      <w:jc w:val="left"/>
    </w:pPr>
    <w:rPr>
      <w:rFonts w:ascii="Arno Pro" w:hAnsi="Arno Pro"/>
      <w:kern w:val="22"/>
      <w:sz w:val="20"/>
    </w:rPr>
  </w:style>
  <w:style w:type="character" w:styleId="a8">
    <w:name w:val="page number"/>
    <w:basedOn w:val="a0"/>
  </w:style>
  <w:style w:type="paragraph" w:styleId="a9">
    <w:name w:val="Balloon Text"/>
    <w:basedOn w:val="a"/>
    <w:semiHidden/>
    <w:rsid w:val="00E96302"/>
    <w:rPr>
      <w:rFonts w:ascii="Tahoma" w:hAnsi="Tahoma" w:cs="Tahoma"/>
      <w:sz w:val="16"/>
      <w:szCs w:val="16"/>
    </w:rPr>
  </w:style>
  <w:style w:type="character" w:styleId="aa">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Char">
    <w:name w:val="Style FA_Corresponding_Author_Footnote Char"/>
    <w:link w:val="StyleFACorrespondingAuthorFootnote"/>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F56D0B"/>
    <w:rPr>
      <w:rFonts w:ascii="Arno Pro" w:hAnsi="Arno Pro"/>
      <w:kern w:val="21"/>
      <w:sz w:val="18"/>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SectionTitle">
    <w:name w:val="Section_Title"/>
    <w:basedOn w:val="SectionContent"/>
    <w:autoRedefine/>
    <w:rsid w:val="00942500"/>
    <w:pPr>
      <w:spacing w:before="180" w:after="120"/>
    </w:pPr>
    <w:rPr>
      <w:rFonts w:ascii="Myriad Pro Light" w:hAnsi="Myriad Pro Light"/>
      <w:b/>
      <w:sz w:val="21"/>
      <w:szCs w:val="18"/>
    </w:rPr>
  </w:style>
  <w:style w:type="paragraph" w:customStyle="1" w:styleId="SectionSubtitle">
    <w:name w:val="Section_Subtitle"/>
    <w:basedOn w:val="a"/>
    <w:link w:val="SectionSubtitleChar"/>
    <w:autoRedefine/>
    <w:rsid w:val="00591AC2"/>
    <w:pPr>
      <w:spacing w:before="120" w:after="60"/>
    </w:pPr>
    <w:rPr>
      <w:rFonts w:ascii="Myriad Pro Light" w:hAnsi="Myriad Pro Light"/>
      <w:b/>
      <w:kern w:val="21"/>
      <w:sz w:val="19"/>
      <w:szCs w:val="14"/>
    </w:rPr>
  </w:style>
  <w:style w:type="character" w:customStyle="1" w:styleId="SectionSubtitleChar">
    <w:name w:val="Section_Subtitle Char"/>
    <w:link w:val="SectionSubtitle"/>
    <w:rsid w:val="00591AC2"/>
    <w:rPr>
      <w:rFonts w:ascii="Myriad Pro Light" w:hAnsi="Myriad Pro Light"/>
      <w:b/>
      <w:kern w:val="21"/>
      <w:sz w:val="19"/>
      <w:szCs w:val="14"/>
    </w:rPr>
  </w:style>
  <w:style w:type="character" w:customStyle="1" w:styleId="TCTableBodyChar">
    <w:name w:val="TC_Table_Body Char"/>
    <w:link w:val="TCTableBody"/>
    <w:rsid w:val="00FE79BB"/>
    <w:rPr>
      <w:rFonts w:ascii="Arno Pro" w:hAnsi="Arno Pro"/>
      <w:kern w:val="20"/>
      <w:sz w:val="18"/>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character" w:styleId="ab">
    <w:name w:val="annotation reference"/>
    <w:basedOn w:val="a0"/>
    <w:rsid w:val="00A24098"/>
    <w:rPr>
      <w:sz w:val="18"/>
    </w:rPr>
  </w:style>
  <w:style w:type="paragraph" w:styleId="ac">
    <w:name w:val="annotation text"/>
    <w:basedOn w:val="a"/>
    <w:link w:val="ad"/>
    <w:uiPriority w:val="99"/>
    <w:unhideWhenUsed/>
    <w:qFormat/>
    <w:rsid w:val="00A24098"/>
    <w:rPr>
      <w:sz w:val="20"/>
    </w:rPr>
  </w:style>
  <w:style w:type="character" w:customStyle="1" w:styleId="ad">
    <w:name w:val="コメント文字列 (文字)"/>
    <w:basedOn w:val="a0"/>
    <w:link w:val="ac"/>
    <w:uiPriority w:val="99"/>
    <w:qFormat/>
    <w:rsid w:val="00A24098"/>
    <w:rPr>
      <w:rFonts w:ascii="Times" w:hAnsi="Times"/>
    </w:rPr>
  </w:style>
  <w:style w:type="paragraph" w:styleId="ae">
    <w:name w:val="annotation subject"/>
    <w:basedOn w:val="ac"/>
    <w:next w:val="ac"/>
    <w:link w:val="af"/>
    <w:semiHidden/>
    <w:unhideWhenUsed/>
    <w:rsid w:val="00A24098"/>
    <w:rPr>
      <w:b/>
      <w:bCs/>
    </w:rPr>
  </w:style>
  <w:style w:type="character" w:customStyle="1" w:styleId="af">
    <w:name w:val="コメント内容 (文字)"/>
    <w:basedOn w:val="ad"/>
    <w:link w:val="ae"/>
    <w:semiHidden/>
    <w:rsid w:val="00A24098"/>
    <w:rPr>
      <w:rFonts w:ascii="Times" w:hAnsi="Times"/>
      <w:b/>
      <w:bCs/>
    </w:rPr>
  </w:style>
  <w:style w:type="table" w:styleId="af0">
    <w:name w:val="Table Grid"/>
    <w:basedOn w:val="a1"/>
    <w:rsid w:val="00A240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Unresolved Mention"/>
    <w:basedOn w:val="a0"/>
    <w:uiPriority w:val="99"/>
    <w:semiHidden/>
    <w:unhideWhenUsed/>
    <w:rsid w:val="00A24098"/>
    <w:rPr>
      <w:color w:val="605E5C"/>
      <w:shd w:val="clear" w:color="auto" w:fill="E1DFDD"/>
    </w:rPr>
  </w:style>
  <w:style w:type="paragraph" w:styleId="af2">
    <w:name w:val="Revision"/>
    <w:hidden/>
    <w:uiPriority w:val="99"/>
    <w:semiHidden/>
    <w:rsid w:val="00133E37"/>
    <w:rPr>
      <w:rFonts w:ascii="Times" w:hAnsi="Times"/>
      <w:sz w:val="24"/>
    </w:rPr>
  </w:style>
  <w:style w:type="character" w:styleId="af3">
    <w:name w:val="Strong"/>
    <w:basedOn w:val="a0"/>
    <w:qFormat/>
    <w:rsid w:val="001552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6725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tif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koba@sci.hokudai.ac.jp" TargetMode="Externa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image" Target="media/image2.tif"/><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yl\Documents\Cactus\12%20December\TSOBA_50_22716_1670592816\acscolumnwide_msw2010_jacscomm_p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acscolumnwide_msw2010_jacscomm_pc.dotx</Template>
  <TotalTime>600</TotalTime>
  <Pages>5</Pages>
  <Words>3255</Words>
  <Characters>18559</Characters>
  <Application>Microsoft Office Word</Application>
  <DocSecurity>0</DocSecurity>
  <Lines>154</Lines>
  <Paragraphs>43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Template for Electronic Submission to ACS Journals</vt:lpstr>
      <vt:lpstr>Template for Electronic Submission to ACS Journals</vt:lpstr>
    </vt:vector>
  </TitlesOfParts>
  <Manager/>
  <Company/>
  <LinksUpToDate>false</LinksUpToDate>
  <CharactersWithSpaces>21771</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吉村 修隆</dc:creator>
  <cp:keywords/>
  <cp:lastModifiedBy>小林厚志</cp:lastModifiedBy>
  <cp:revision>13</cp:revision>
  <cp:lastPrinted>2011-04-15T21:20:00Z</cp:lastPrinted>
  <dcterms:created xsi:type="dcterms:W3CDTF">2022-12-21T08:02:00Z</dcterms:created>
  <dcterms:modified xsi:type="dcterms:W3CDTF">2023-02-20T12:15:00Z</dcterms:modified>
</cp:coreProperties>
</file>