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5080" w14:textId="525C7586" w:rsidR="0090747C" w:rsidRPr="00F421C5" w:rsidRDefault="0090747C" w:rsidP="009074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80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1120"/>
        <w:gridCol w:w="1062"/>
      </w:tblGrid>
      <w:tr w:rsidR="00C47240" w:rsidRPr="00064501" w14:paraId="01F4B64D" w14:textId="77777777" w:rsidTr="00064501">
        <w:trPr>
          <w:trHeight w:val="270"/>
        </w:trPr>
        <w:tc>
          <w:tcPr>
            <w:tcW w:w="13041" w:type="dxa"/>
            <w:gridSpan w:val="1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C610B21" w14:textId="673AB5C7" w:rsidR="00C47240" w:rsidRPr="006B6B5B" w:rsidRDefault="00C47240" w:rsidP="00C4724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Supplementary Table </w:t>
            </w:r>
            <w:proofErr w:type="gramStart"/>
            <w:r w:rsidRPr="00C47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1C5">
              <w:rPr>
                <w:rFonts w:ascii="Times New Roman" w:hAnsi="Times New Roman" w:cs="Times New Roman"/>
                <w:sz w:val="24"/>
                <w:szCs w:val="24"/>
              </w:rPr>
              <w:t xml:space="preserve"> Annual</w:t>
            </w:r>
            <w:proofErr w:type="gramEnd"/>
            <w:r w:rsidRPr="00F421C5">
              <w:rPr>
                <w:rFonts w:ascii="Times New Roman" w:hAnsi="Times New Roman" w:cs="Times New Roman"/>
                <w:sz w:val="24"/>
                <w:szCs w:val="24"/>
              </w:rPr>
              <w:t xml:space="preserve"> use of broad-spectrum antibiotics, 2013-2021</w:t>
            </w:r>
          </w:p>
        </w:tc>
      </w:tr>
      <w:tr w:rsidR="006B6B5B" w:rsidRPr="006B6B5B" w14:paraId="197DAAB8" w14:textId="77777777" w:rsidTr="00064501">
        <w:trPr>
          <w:trHeight w:val="270"/>
        </w:trPr>
        <w:tc>
          <w:tcPr>
            <w:tcW w:w="3280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1ABC73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Antibiotic agent</w:t>
            </w:r>
          </w:p>
        </w:tc>
        <w:tc>
          <w:tcPr>
            <w:tcW w:w="9761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BC7267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Antibiotic use by year</w:t>
            </w:r>
          </w:p>
        </w:tc>
      </w:tr>
      <w:tr w:rsidR="006B6B5B" w:rsidRPr="006B6B5B" w14:paraId="7A8380DC" w14:textId="77777777" w:rsidTr="00CF6B90">
        <w:trPr>
          <w:trHeight w:val="270"/>
        </w:trPr>
        <w:tc>
          <w:tcPr>
            <w:tcW w:w="328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0B0B65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C0DE29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1794C6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B34D84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B195C6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CB9815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963E97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EBDBFA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62FDB5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ABDFBF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B377CE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ρ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07F660" w14:textId="7EA33299" w:rsidR="006B6B5B" w:rsidRPr="006B6B5B" w:rsidRDefault="00064501" w:rsidP="00064501">
            <w:pPr>
              <w:widowControl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  <w:r w:rsidR="006B6B5B" w:rsidRPr="006B6B5B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C47240" w:rsidRPr="006B6B5B" w14:paraId="77F79AB4" w14:textId="77777777" w:rsidTr="00CF6B90">
        <w:trPr>
          <w:trHeight w:val="270"/>
        </w:trPr>
        <w:tc>
          <w:tcPr>
            <w:tcW w:w="328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F37CC6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AUD (DDDs/100 patient-days)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066D5B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9E0317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E96AAF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AEB9E6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1EB658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464FAB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6B3D24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158F1A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1FD08D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90B805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F068F7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7240" w:rsidRPr="006B6B5B" w14:paraId="48EE0165" w14:textId="77777777" w:rsidTr="00CF6B90">
        <w:trPr>
          <w:trHeight w:val="270"/>
        </w:trPr>
        <w:tc>
          <w:tcPr>
            <w:tcW w:w="32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F6D676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Piperacillin/tazobactam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8E5C6F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1.15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7CFA00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1.39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8F8627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1.34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1A49D4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1.71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8F24AE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1.97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7EF8D0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2.31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1BEFA0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2.31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C4791C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2.65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66F28C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2.33</w:t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73DAB9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0.962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9ABA69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  <w:t>&lt;0.001***</w:t>
            </w:r>
          </w:p>
        </w:tc>
      </w:tr>
      <w:tr w:rsidR="00C47240" w:rsidRPr="006B6B5B" w14:paraId="7FF02D2C" w14:textId="77777777" w:rsidTr="00CF6B90">
        <w:trPr>
          <w:trHeight w:val="270"/>
        </w:trPr>
        <w:tc>
          <w:tcPr>
            <w:tcW w:w="32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B862D2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proofErr w:type="gramStart"/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Third-generation</w:t>
            </w:r>
            <w:proofErr w:type="gramEnd"/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cephalosporins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B3F80A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4.33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3F8B3F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3.77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CDD424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3.67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50446B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2.53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5D8075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2.37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15DC34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2.17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AD663F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2.29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3850EE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2.39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85B6B2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2.39</w:t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BE8448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-0.733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E5B226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  <w:t>0.025*</w:t>
            </w:r>
          </w:p>
        </w:tc>
      </w:tr>
      <w:tr w:rsidR="00C47240" w:rsidRPr="006B6B5B" w14:paraId="36B91A0B" w14:textId="77777777" w:rsidTr="00CF6B90">
        <w:trPr>
          <w:trHeight w:val="270"/>
        </w:trPr>
        <w:tc>
          <w:tcPr>
            <w:tcW w:w="32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01FB3A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proofErr w:type="gramStart"/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Fourth-generation</w:t>
            </w:r>
            <w:proofErr w:type="gramEnd"/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cephalosporins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0FBEDB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0.98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19A8C7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6CD69A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0.94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71929C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0.87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123B25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0.96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73D76D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1.25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1C5A65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1.26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C4C0D1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1.22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25C999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1.23</w:t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B3CAD8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0.683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79BFA0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  <w:t>0.042*</w:t>
            </w:r>
          </w:p>
        </w:tc>
      </w:tr>
      <w:tr w:rsidR="00C47240" w:rsidRPr="006B6B5B" w14:paraId="40F4CCF9" w14:textId="77777777" w:rsidTr="00CF6B90">
        <w:trPr>
          <w:trHeight w:val="270"/>
        </w:trPr>
        <w:tc>
          <w:tcPr>
            <w:tcW w:w="32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28E552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Carbapenems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F2717A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2.16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F82460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981C31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2.28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7E48CF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2.96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BC1234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3.11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13290A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2.28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1A176E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2.09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01DD02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886DEB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2.17</w:t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EDA232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-0.05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741921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0.898</w:t>
            </w:r>
          </w:p>
        </w:tc>
      </w:tr>
      <w:tr w:rsidR="00C47240" w:rsidRPr="006B6B5B" w14:paraId="08124201" w14:textId="77777777" w:rsidTr="0037665E">
        <w:trPr>
          <w:trHeight w:val="270"/>
        </w:trPr>
        <w:tc>
          <w:tcPr>
            <w:tcW w:w="32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6838F6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Aminoglycosides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5DFA4D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583A02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B636FE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688711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0.33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125404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0.41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2E0A2C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492955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C35236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359B2A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8E77EA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-0.817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9B4E28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  <w:t>0.007**</w:t>
            </w:r>
          </w:p>
        </w:tc>
      </w:tr>
      <w:tr w:rsidR="00C47240" w:rsidRPr="006B6B5B" w14:paraId="729555DA" w14:textId="77777777" w:rsidTr="0037665E">
        <w:trPr>
          <w:trHeight w:val="270"/>
        </w:trPr>
        <w:tc>
          <w:tcPr>
            <w:tcW w:w="32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7AE24D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Quinolones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4877D1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297095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3.43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D0CDEF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792070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3.63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DE67FD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3.51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484620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4.22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B72525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18EF61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3.39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A44E80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6484DB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497EE0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0.898</w:t>
            </w:r>
          </w:p>
        </w:tc>
      </w:tr>
      <w:tr w:rsidR="00C47240" w:rsidRPr="006B6B5B" w14:paraId="1068A150" w14:textId="77777777" w:rsidTr="0037665E">
        <w:trPr>
          <w:trHeight w:val="270"/>
        </w:trPr>
        <w:tc>
          <w:tcPr>
            <w:tcW w:w="32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F0A067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DOT (DOTs/100 patient-days)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465AE0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18F37A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4180AF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F2B2F4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C844BC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01B125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F5B1E8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B6E67B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B49DF5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1C65FE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81AA22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7240" w:rsidRPr="006B6B5B" w14:paraId="29245115" w14:textId="77777777" w:rsidTr="00CF6B90">
        <w:trPr>
          <w:trHeight w:val="270"/>
        </w:trPr>
        <w:tc>
          <w:tcPr>
            <w:tcW w:w="32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012E11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Piperacillin/tazobactam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50F7E6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1.75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431577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2.06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9B20B7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1.98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42E5F3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2.26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7C4A1B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2.48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33DBCE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843A30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3.01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B920CC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3.37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2C1862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3.01</w:t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B0657A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0.933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31FF84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  <w:t>&lt;0.001***</w:t>
            </w:r>
          </w:p>
        </w:tc>
      </w:tr>
      <w:tr w:rsidR="00C47240" w:rsidRPr="006B6B5B" w14:paraId="64A38141" w14:textId="77777777" w:rsidTr="00CF6B90">
        <w:trPr>
          <w:trHeight w:val="270"/>
        </w:trPr>
        <w:tc>
          <w:tcPr>
            <w:tcW w:w="32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475C35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proofErr w:type="gramStart"/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Third-generation</w:t>
            </w:r>
            <w:proofErr w:type="gramEnd"/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cephalosporins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A94554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7.04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D58CE5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6.12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8AFDD1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5.79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37FF7C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3.95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51199B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5015D0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3.52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61C9D8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3.33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8931EC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3.38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4CE508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3.57</w:t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FB2386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-0.883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8E92D3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  <w:t>0.002**</w:t>
            </w:r>
          </w:p>
        </w:tc>
      </w:tr>
      <w:tr w:rsidR="00C47240" w:rsidRPr="006B6B5B" w14:paraId="3E4939EF" w14:textId="77777777" w:rsidTr="00CF6B90">
        <w:trPr>
          <w:trHeight w:val="270"/>
        </w:trPr>
        <w:tc>
          <w:tcPr>
            <w:tcW w:w="32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A27F9D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proofErr w:type="gramStart"/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Fourth-generation</w:t>
            </w:r>
            <w:proofErr w:type="gramEnd"/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cephalosporins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06A48B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1.41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E341BC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1.09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5DAFF3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1.27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33D146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1.15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F035A8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1.27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4755F5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1.64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B96F5E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1.65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F26168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1.54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8FC113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1.57</w:t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EEDE20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0.683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CC64F0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  <w:t>0.042*</w:t>
            </w:r>
          </w:p>
        </w:tc>
      </w:tr>
      <w:tr w:rsidR="00C47240" w:rsidRPr="006B6B5B" w14:paraId="0FB11E38" w14:textId="77777777" w:rsidTr="00CF6B90">
        <w:trPr>
          <w:trHeight w:val="270"/>
        </w:trPr>
        <w:tc>
          <w:tcPr>
            <w:tcW w:w="32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404B49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Carbapenems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94F19C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3.32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05A918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2.83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34B2C4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2.97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BAFA20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3.55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1A54B3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3.64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301DE8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3.01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F8470A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2.66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CA2AEB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2.58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DD3C82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67177A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-0.55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FC6B67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0.125</w:t>
            </w:r>
          </w:p>
        </w:tc>
      </w:tr>
      <w:tr w:rsidR="00C47240" w:rsidRPr="006B6B5B" w14:paraId="0A7BE366" w14:textId="77777777" w:rsidTr="00855AA8">
        <w:trPr>
          <w:trHeight w:val="270"/>
        </w:trPr>
        <w:tc>
          <w:tcPr>
            <w:tcW w:w="32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E10EFB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Aminoglycosides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087559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8A99B9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37FF23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43ACA5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0.62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4301FF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0.62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B05520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BE7D07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0.37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CF2532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D2DD17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787162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-0.917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A26EA7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  <w:t>&lt;0.001***</w:t>
            </w:r>
          </w:p>
        </w:tc>
      </w:tr>
      <w:tr w:rsidR="00C47240" w:rsidRPr="006B6B5B" w14:paraId="5E82E38E" w14:textId="77777777" w:rsidTr="00855AA8">
        <w:trPr>
          <w:trHeight w:val="270"/>
        </w:trPr>
        <w:tc>
          <w:tcPr>
            <w:tcW w:w="32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CF74BB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Quinolones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BDF803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4.14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E048E8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3.58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59C080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3.51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3ACEA1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3.69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15F86A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3.57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E7D325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4.41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9C2E12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4.02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A05D80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3.72</w:t>
            </w:r>
          </w:p>
        </w:tc>
        <w:tc>
          <w:tcPr>
            <w:tcW w:w="8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2FE62C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4.13</w:t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9DE467" w14:textId="77777777" w:rsidR="006B6B5B" w:rsidRPr="006B6B5B" w:rsidRDefault="006B6B5B" w:rsidP="006B6B5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0.283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5002A8" w14:textId="77777777" w:rsidR="006B6B5B" w:rsidRPr="006B6B5B" w:rsidRDefault="006B6B5B" w:rsidP="006B6B5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B6B5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0.46</w:t>
            </w:r>
          </w:p>
        </w:tc>
      </w:tr>
      <w:tr w:rsidR="00C47240" w:rsidRPr="006B6B5B" w14:paraId="14179F8C" w14:textId="77777777" w:rsidTr="00855AA8">
        <w:trPr>
          <w:trHeight w:val="270"/>
        </w:trPr>
        <w:tc>
          <w:tcPr>
            <w:tcW w:w="13041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53FCA47" w14:textId="77777777" w:rsidR="00C47240" w:rsidRPr="006E216B" w:rsidRDefault="00C47240" w:rsidP="00C47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6B">
              <w:rPr>
                <w:rFonts w:ascii="Times New Roman" w:hAnsi="Times New Roman" w:cs="Times New Roman"/>
                <w:sz w:val="20"/>
                <w:szCs w:val="20"/>
              </w:rPr>
              <w:t>Abbreviations: AUD, antibiotic use density; DDDs, defined daily doses; DOT, day of therapy.</w:t>
            </w:r>
          </w:p>
          <w:p w14:paraId="4B3FC3D5" w14:textId="6BC7C0F6" w:rsidR="00C47240" w:rsidRPr="006E216B" w:rsidRDefault="00C47240" w:rsidP="00C47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6B">
              <w:rPr>
                <w:rFonts w:ascii="Times New Roman" w:hAnsi="Times New Roman" w:cs="Times New Roman"/>
                <w:sz w:val="20"/>
                <w:szCs w:val="20"/>
              </w:rPr>
              <w:t>ρ indicates Spearman’s correlation coefficient</w:t>
            </w:r>
            <w:r w:rsidR="00501A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ABD503" w14:textId="46E847A2" w:rsidR="00C47240" w:rsidRPr="00C47240" w:rsidRDefault="00C47240" w:rsidP="00C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6B">
              <w:rPr>
                <w:rFonts w:ascii="Times New Roman" w:hAnsi="Times New Roman" w:cs="Times New Roman"/>
                <w:sz w:val="20"/>
                <w:szCs w:val="20"/>
              </w:rPr>
              <w:t>*, **, and *** indicate statistically significant correlations (P &lt; 0.05, P &lt; 0.01, and P &lt; 0.001, respectively).</w:t>
            </w:r>
          </w:p>
        </w:tc>
      </w:tr>
    </w:tbl>
    <w:p w14:paraId="20DF405D" w14:textId="3778E939" w:rsidR="004F3E10" w:rsidRPr="00F421C5" w:rsidRDefault="004F3E10" w:rsidP="009074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F3E10" w:rsidRPr="00F421C5" w:rsidSect="001A0796">
      <w:pgSz w:w="16838" w:h="11906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F7C8" w14:textId="77777777" w:rsidR="00380D01" w:rsidRDefault="00380D01" w:rsidP="0090747C">
      <w:r>
        <w:separator/>
      </w:r>
    </w:p>
  </w:endnote>
  <w:endnote w:type="continuationSeparator" w:id="0">
    <w:p w14:paraId="74211E60" w14:textId="77777777" w:rsidR="00380D01" w:rsidRDefault="00380D01" w:rsidP="0090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563E" w14:textId="77777777" w:rsidR="00380D01" w:rsidRDefault="00380D01" w:rsidP="0090747C">
      <w:r>
        <w:separator/>
      </w:r>
    </w:p>
  </w:footnote>
  <w:footnote w:type="continuationSeparator" w:id="0">
    <w:p w14:paraId="29F067C3" w14:textId="77777777" w:rsidR="00380D01" w:rsidRDefault="00380D01" w:rsidP="00907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796"/>
    <w:rsid w:val="00064501"/>
    <w:rsid w:val="000D3B2C"/>
    <w:rsid w:val="001A0796"/>
    <w:rsid w:val="002F7BC1"/>
    <w:rsid w:val="0037665E"/>
    <w:rsid w:val="00380D01"/>
    <w:rsid w:val="004F3E10"/>
    <w:rsid w:val="00501A7E"/>
    <w:rsid w:val="00553524"/>
    <w:rsid w:val="005F2876"/>
    <w:rsid w:val="006007F9"/>
    <w:rsid w:val="006B6B5B"/>
    <w:rsid w:val="006E216B"/>
    <w:rsid w:val="00714832"/>
    <w:rsid w:val="00765B10"/>
    <w:rsid w:val="00855AA8"/>
    <w:rsid w:val="00901AC7"/>
    <w:rsid w:val="0090747C"/>
    <w:rsid w:val="009618BE"/>
    <w:rsid w:val="00A11B94"/>
    <w:rsid w:val="00A12CA9"/>
    <w:rsid w:val="00AF3A67"/>
    <w:rsid w:val="00B621C3"/>
    <w:rsid w:val="00BA7644"/>
    <w:rsid w:val="00BC3E8D"/>
    <w:rsid w:val="00BE3CC6"/>
    <w:rsid w:val="00C47240"/>
    <w:rsid w:val="00CF6B90"/>
    <w:rsid w:val="00D85E32"/>
    <w:rsid w:val="00DE4747"/>
    <w:rsid w:val="00E33A0F"/>
    <w:rsid w:val="00F4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12545"/>
  <w15:docId w15:val="{0BAEDB42-8335-46CF-BAA8-E4483CB2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47C"/>
  </w:style>
  <w:style w:type="paragraph" w:styleId="a5">
    <w:name w:val="footer"/>
    <w:basedOn w:val="a"/>
    <w:link w:val="a6"/>
    <w:uiPriority w:val="99"/>
    <w:unhideWhenUsed/>
    <w:rsid w:val="00907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Keisuke Kagami</dc:creator>
  <cp:lastModifiedBy>鏡　圭介</cp:lastModifiedBy>
  <cp:revision>18</cp:revision>
  <cp:lastPrinted>2023-06-17T05:08:00Z</cp:lastPrinted>
  <dcterms:created xsi:type="dcterms:W3CDTF">2023-05-15T15:15:00Z</dcterms:created>
  <dcterms:modified xsi:type="dcterms:W3CDTF">2023-06-17T10:45:00Z</dcterms:modified>
</cp:coreProperties>
</file>