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D75DAD" w14:textId="77777777" w:rsidR="00751081" w:rsidRPr="008132DB" w:rsidRDefault="007D3609">
      <w:pPr>
        <w:pStyle w:val="20"/>
      </w:pPr>
      <w:r w:rsidRPr="008132DB">
        <w:t>SUPPLEMENTARY METHODS</w:t>
      </w:r>
    </w:p>
    <w:p w14:paraId="2B318A4B" w14:textId="77777777" w:rsidR="00751081" w:rsidRPr="008132DB" w:rsidRDefault="007D3609">
      <w:pPr>
        <w:pStyle w:val="20"/>
      </w:pPr>
      <w:r w:rsidRPr="008132DB">
        <w:t>Cells</w:t>
      </w:r>
    </w:p>
    <w:p w14:paraId="26932DEC" w14:textId="77777777" w:rsidR="00751081" w:rsidRPr="008132DB" w:rsidRDefault="007D3609">
      <w:pPr>
        <w:pStyle w:val="20"/>
        <w:ind w:firstLine="840"/>
        <w:rPr>
          <w:b w:val="0"/>
        </w:rPr>
      </w:pPr>
      <w:r w:rsidRPr="008132DB">
        <w:rPr>
          <w:b w:val="0"/>
        </w:rPr>
        <w:t>FS-L3 cells were grown in Eagle’s Minimum Essential Medium (EMEM; Nissui Pharmaceutical) supplemented with NaHCO</w:t>
      </w:r>
      <w:r w:rsidRPr="008132DB">
        <w:rPr>
          <w:b w:val="0"/>
          <w:vertAlign w:val="subscript"/>
        </w:rPr>
        <w:t>3</w:t>
      </w:r>
      <w:r w:rsidRPr="008132DB">
        <w:rPr>
          <w:b w:val="0"/>
        </w:rPr>
        <w:t xml:space="preserve"> and 1% anti-BVDV-antibody free f</w:t>
      </w:r>
      <w:r w:rsidRPr="008132DB">
        <w:rPr>
          <w:b w:val="0"/>
          <w:szCs w:val="24"/>
          <w:lang w:val="en-GB"/>
        </w:rPr>
        <w:t>o</w:t>
      </w:r>
      <w:r w:rsidRPr="008132DB">
        <w:rPr>
          <w:b w:val="0"/>
        </w:rPr>
        <w:t>etal bovine serum (Japan Bio Serum). SK-L cells were propagated in EMEM supplemented with 0.295% TPB, 10 mM BES, and 10% horse serum. SK-6 cells were propagated in EMEM supplemented with 0.295% TPB and 7% horse serum.</w:t>
      </w:r>
    </w:p>
    <w:p w14:paraId="775585EE" w14:textId="77777777" w:rsidR="00751081" w:rsidRPr="008132DB" w:rsidRDefault="00751081"/>
    <w:p w14:paraId="26FFFB71" w14:textId="77777777" w:rsidR="00751081" w:rsidRPr="008132DB" w:rsidRDefault="007D3609">
      <w:pPr>
        <w:rPr>
          <w:b/>
        </w:rPr>
      </w:pPr>
      <w:r w:rsidRPr="008132DB">
        <w:rPr>
          <w:rFonts w:cs="Times New Roman"/>
          <w:b/>
          <w:sz w:val="24"/>
          <w:szCs w:val="24"/>
        </w:rPr>
        <w:t xml:space="preserve">Western </w:t>
      </w:r>
      <w:r w:rsidRPr="008132DB">
        <w:rPr>
          <w:b/>
          <w:sz w:val="24"/>
        </w:rPr>
        <w:t>blotting</w:t>
      </w:r>
      <w:r w:rsidRPr="008132DB">
        <w:rPr>
          <w:rFonts w:cs="Times New Roman"/>
          <w:b/>
          <w:sz w:val="24"/>
          <w:szCs w:val="24"/>
        </w:rPr>
        <w:t xml:space="preserve"> analysis</w:t>
      </w:r>
    </w:p>
    <w:p w14:paraId="455DDAD1" w14:textId="77777777" w:rsidR="00751081" w:rsidRPr="008132DB" w:rsidRDefault="007D3609">
      <w:pPr>
        <w:ind w:firstLine="840"/>
      </w:pPr>
      <w:r w:rsidRPr="008132DB">
        <w:rPr>
          <w:sz w:val="24"/>
        </w:rPr>
        <w:t xml:space="preserve">After treatment with Immobilon Western Detection Reagents (Merck), protein signals were detected by WSE-6100H LuminoGraph I (ATTO) and </w:t>
      </w:r>
      <w:r w:rsidRPr="008132DB">
        <w:rPr>
          <w:rFonts w:cs="Times New Roman"/>
          <w:sz w:val="24"/>
          <w:szCs w:val="24"/>
        </w:rPr>
        <w:t xml:space="preserve">analysed using the </w:t>
      </w:r>
      <w:r w:rsidRPr="008132DB">
        <w:rPr>
          <w:sz w:val="24"/>
        </w:rPr>
        <w:t>CS Analyzer 4 (ATTO) or ImageJ</w:t>
      </w:r>
      <w:r w:rsidRPr="008132DB">
        <w:rPr>
          <w:rFonts w:cs="Times New Roman"/>
          <w:sz w:val="24"/>
          <w:szCs w:val="24"/>
        </w:rPr>
        <w:t xml:space="preserve"> software</w:t>
      </w:r>
      <w:r w:rsidRPr="008132DB">
        <w:rPr>
          <w:sz w:val="24"/>
        </w:rPr>
        <w:t xml:space="preserve"> (National Institutes of Health).</w:t>
      </w:r>
    </w:p>
    <w:p w14:paraId="3CA069AE" w14:textId="77777777" w:rsidR="00751081" w:rsidRPr="008132DB" w:rsidRDefault="00751081">
      <w:pPr>
        <w:pStyle w:val="20"/>
      </w:pPr>
    </w:p>
    <w:p w14:paraId="7103054F" w14:textId="77777777" w:rsidR="00751081" w:rsidRPr="008132DB" w:rsidRDefault="007D3609">
      <w:pPr>
        <w:pStyle w:val="20"/>
      </w:pPr>
      <w:r w:rsidRPr="008132DB">
        <w:t>RNA extraction and reverse transcriptase quantitative polymerase chain reaction (RT-qPCR)</w:t>
      </w:r>
    </w:p>
    <w:p w14:paraId="1BEFA462" w14:textId="77777777" w:rsidR="00751081" w:rsidRPr="008132DB" w:rsidRDefault="007D3609">
      <w:pPr>
        <w:spacing w:after="0"/>
        <w:ind w:firstLine="840"/>
        <w:rPr>
          <w:sz w:val="24"/>
        </w:rPr>
      </w:pPr>
      <w:r w:rsidRPr="008132DB">
        <w:rPr>
          <w:sz w:val="24"/>
        </w:rPr>
        <w:t>RNA was extracted from infected cells with TRIzol Reagent (Thermo Fisher Scientific) and chloroform at various time</w:t>
      </w:r>
      <w:r w:rsidRPr="008132DB">
        <w:rPr>
          <w:rFonts w:cs="Times New Roman"/>
          <w:sz w:val="24"/>
          <w:szCs w:val="24"/>
        </w:rPr>
        <w:t>s</w:t>
      </w:r>
      <w:r w:rsidRPr="008132DB">
        <w:rPr>
          <w:sz w:val="24"/>
        </w:rPr>
        <w:t xml:space="preserve"> after infection. </w:t>
      </w:r>
      <w:r w:rsidRPr="008132DB">
        <w:rPr>
          <w:rFonts w:cs="Times New Roman"/>
          <w:sz w:val="24"/>
          <w:szCs w:val="24"/>
        </w:rPr>
        <w:t>Extracted</w:t>
      </w:r>
      <w:r w:rsidRPr="008132DB">
        <w:rPr>
          <w:sz w:val="24"/>
        </w:rPr>
        <w:t xml:space="preserve"> RNA was reverse-transcribed with </w:t>
      </w:r>
      <w:r w:rsidRPr="008132DB">
        <w:rPr>
          <w:sz w:val="24"/>
        </w:rPr>
        <w:lastRenderedPageBreak/>
        <w:t xml:space="preserve">random and Oligo-dT primers by using M-MLV </w:t>
      </w:r>
      <w:r w:rsidRPr="008132DB">
        <w:rPr>
          <w:rFonts w:cs="Times New Roman"/>
          <w:sz w:val="24"/>
          <w:szCs w:val="24"/>
        </w:rPr>
        <w:t>reverse transcriptase</w:t>
      </w:r>
      <w:r w:rsidRPr="008132DB">
        <w:rPr>
          <w:sz w:val="24"/>
        </w:rPr>
        <w:t xml:space="preserve"> (Thermo Fisher Scientific). Then, two microliters of cDNA were subjected to PCR with gene-specific primers (Supplemental </w:t>
      </w:r>
      <w:r w:rsidRPr="008132DB">
        <w:rPr>
          <w:rFonts w:cs="Times New Roman"/>
          <w:sz w:val="24"/>
          <w:szCs w:val="24"/>
        </w:rPr>
        <w:t>T</w:t>
      </w:r>
      <w:r w:rsidRPr="008132DB">
        <w:rPr>
          <w:sz w:val="24"/>
        </w:rPr>
        <w:t>able 1) using KAPA SYBR FAST qPCR Master Mix (2X) Kit (Roche) and Light Cycler 480 II instrument (Roche). To show the relative mRNA amount</w:t>
      </w:r>
      <w:r w:rsidRPr="008132DB">
        <w:rPr>
          <w:rFonts w:cs="Times New Roman"/>
          <w:sz w:val="24"/>
          <w:szCs w:val="24"/>
        </w:rPr>
        <w:t>s</w:t>
      </w:r>
      <w:r w:rsidRPr="008132DB">
        <w:rPr>
          <w:sz w:val="24"/>
        </w:rPr>
        <w:t>, crossing point (Cp) values were normalized to mock-infected cells.</w:t>
      </w:r>
    </w:p>
    <w:p w14:paraId="538200AB" w14:textId="77777777" w:rsidR="006D248C" w:rsidRPr="008132DB" w:rsidRDefault="006D248C" w:rsidP="006D248C">
      <w:pPr>
        <w:spacing w:after="0"/>
        <w:rPr>
          <w:sz w:val="24"/>
        </w:rPr>
      </w:pPr>
    </w:p>
    <w:p w14:paraId="3D607B62" w14:textId="77777777" w:rsidR="006D248C" w:rsidRPr="008132DB" w:rsidRDefault="006D248C" w:rsidP="006D248C">
      <w:pPr>
        <w:pStyle w:val="20"/>
      </w:pPr>
      <w:r w:rsidRPr="008132DB">
        <w:t>Flow cytometry</w:t>
      </w:r>
    </w:p>
    <w:p w14:paraId="396A4195" w14:textId="52E6EEF3" w:rsidR="006D248C" w:rsidRPr="008132DB" w:rsidRDefault="006D248C" w:rsidP="006D248C">
      <w:pPr>
        <w:spacing w:after="0"/>
        <w:ind w:firstLine="840"/>
        <w:rPr>
          <w:rFonts w:cs="Times New Roman"/>
          <w:sz w:val="24"/>
          <w:szCs w:val="24"/>
        </w:rPr>
      </w:pPr>
      <w:r w:rsidRPr="008132DB">
        <w:rPr>
          <w:rFonts w:cs="Times New Roman"/>
          <w:sz w:val="24"/>
        </w:rPr>
        <w:t xml:space="preserve">Three color flow-cytometric analyses were performed on BD </w:t>
      </w:r>
      <w:proofErr w:type="spellStart"/>
      <w:r w:rsidRPr="008132DB">
        <w:rPr>
          <w:rFonts w:cs="Times New Roman"/>
          <w:sz w:val="24"/>
        </w:rPr>
        <w:t>FACSCanto</w:t>
      </w:r>
      <w:r w:rsidRPr="008132DB">
        <w:rPr>
          <w:rFonts w:cs="Times New Roman"/>
          <w:sz w:val="24"/>
          <w:vertAlign w:val="superscript"/>
        </w:rPr>
        <w:t>TM</w:t>
      </w:r>
      <w:proofErr w:type="spellEnd"/>
      <w:r w:rsidRPr="008132DB">
        <w:rPr>
          <w:rFonts w:cs="Times New Roman"/>
          <w:sz w:val="24"/>
        </w:rPr>
        <w:t xml:space="preserve"> Flow Cytometer (</w:t>
      </w:r>
      <w:r w:rsidRPr="008132DB">
        <w:rPr>
          <w:rFonts w:cs="Times New Roman"/>
          <w:sz w:val="24"/>
          <w:szCs w:val="24"/>
        </w:rPr>
        <w:t>Becton, Dickinson and Company</w:t>
      </w:r>
      <w:r w:rsidRPr="008132DB">
        <w:rPr>
          <w:rFonts w:cs="Times New Roman"/>
          <w:sz w:val="24"/>
        </w:rPr>
        <w:t xml:space="preserve">). Cell monolayer was suspended </w:t>
      </w:r>
      <w:r w:rsidRPr="008132DB">
        <w:rPr>
          <w:rFonts w:cs="Times New Roman" w:hint="eastAsia"/>
          <w:sz w:val="24"/>
        </w:rPr>
        <w:t>b</w:t>
      </w:r>
      <w:r w:rsidRPr="008132DB">
        <w:rPr>
          <w:rFonts w:cs="Times New Roman"/>
          <w:sz w:val="24"/>
        </w:rPr>
        <w:t xml:space="preserve">y PBS and stained with </w:t>
      </w:r>
      <w:proofErr w:type="spellStart"/>
      <w:r w:rsidRPr="008132DB">
        <w:rPr>
          <w:rFonts w:cs="Times New Roman"/>
          <w:sz w:val="24"/>
        </w:rPr>
        <w:t>AnnexinV</w:t>
      </w:r>
      <w:proofErr w:type="spellEnd"/>
      <w:r w:rsidRPr="008132DB">
        <w:rPr>
          <w:rFonts w:cs="Times New Roman"/>
          <w:sz w:val="24"/>
        </w:rPr>
        <w:t>/PI kit (</w:t>
      </w:r>
      <w:r w:rsidR="00816C23" w:rsidRPr="008132DB">
        <w:rPr>
          <w:rFonts w:cs="Times New Roman"/>
          <w:sz w:val="24"/>
        </w:rPr>
        <w:t>Medical &amp; Biological Laboratories</w:t>
      </w:r>
      <w:r w:rsidRPr="008132DB">
        <w:rPr>
          <w:rFonts w:cs="Times New Roman"/>
          <w:sz w:val="24"/>
        </w:rPr>
        <w:t xml:space="preserve">) following the manufacturer’s procedure. Then, cells were </w:t>
      </w:r>
      <w:r w:rsidR="00D51A98" w:rsidRPr="008132DB">
        <w:rPr>
          <w:rFonts w:cs="Times New Roman"/>
          <w:sz w:val="24"/>
        </w:rPr>
        <w:t xml:space="preserve">permeabilized by 0.1% trinton-100 in PBS for 10 min and </w:t>
      </w:r>
      <w:r w:rsidRPr="008132DB">
        <w:rPr>
          <w:rFonts w:cs="Times New Roman"/>
          <w:sz w:val="24"/>
        </w:rPr>
        <w:t xml:space="preserve">incubated with anti-NS3 antibody </w:t>
      </w:r>
      <w:r w:rsidRPr="008132DB">
        <w:rPr>
          <w:sz w:val="24"/>
        </w:rPr>
        <w:t>(46/1; [33])</w:t>
      </w:r>
      <w:r w:rsidRPr="008132DB">
        <w:rPr>
          <w:rFonts w:cs="Times New Roman"/>
          <w:sz w:val="24"/>
        </w:rPr>
        <w:t xml:space="preserve"> for 1h at room temperature. After washing step with PBS, cells were treated with APC-conjugated anti-mouse IgG antibody for 1h at room temperature and washed again with PBS. Finally, cells suspended in binding buffer (</w:t>
      </w:r>
      <w:r w:rsidR="00816C23" w:rsidRPr="008132DB">
        <w:rPr>
          <w:rFonts w:cs="Times New Roman"/>
          <w:sz w:val="24"/>
        </w:rPr>
        <w:t>Medical &amp; Biological Laboratories</w:t>
      </w:r>
      <w:r w:rsidRPr="008132DB">
        <w:rPr>
          <w:rFonts w:cs="Times New Roman"/>
          <w:sz w:val="24"/>
        </w:rPr>
        <w:t xml:space="preserve">) were utilized for flow cytometry. Data was analyzed by </w:t>
      </w:r>
      <w:proofErr w:type="spellStart"/>
      <w:r w:rsidRPr="008132DB">
        <w:rPr>
          <w:rFonts w:cs="Times New Roman"/>
          <w:sz w:val="24"/>
        </w:rPr>
        <w:t>FlowJo</w:t>
      </w:r>
      <w:r w:rsidRPr="008132DB">
        <w:rPr>
          <w:rFonts w:cs="Times New Roman"/>
          <w:sz w:val="24"/>
          <w:vertAlign w:val="superscript"/>
        </w:rPr>
        <w:t>TM</w:t>
      </w:r>
      <w:proofErr w:type="spellEnd"/>
      <w:r w:rsidRPr="008132DB">
        <w:rPr>
          <w:rFonts w:cs="Times New Roman"/>
          <w:sz w:val="24"/>
        </w:rPr>
        <w:t xml:space="preserve"> (</w:t>
      </w:r>
      <w:r w:rsidRPr="008132DB">
        <w:rPr>
          <w:rFonts w:cs="Times New Roman"/>
          <w:sz w:val="24"/>
          <w:szCs w:val="24"/>
        </w:rPr>
        <w:t>Becton, Dickinson and Company</w:t>
      </w:r>
      <w:r w:rsidRPr="008132DB">
        <w:rPr>
          <w:rFonts w:cs="Times New Roman"/>
          <w:sz w:val="24"/>
        </w:rPr>
        <w:t>).</w:t>
      </w:r>
      <w:r w:rsidR="00D51A98" w:rsidRPr="008132DB">
        <w:rPr>
          <w:rFonts w:cs="Times New Roman"/>
          <w:sz w:val="24"/>
        </w:rPr>
        <w:t xml:space="preserve"> Annexin V positive means cells with phosphatidylserine and PI positive means cells with disruption of cell membrane.</w:t>
      </w:r>
    </w:p>
    <w:p w14:paraId="3C62C8F2" w14:textId="77777777" w:rsidR="006D248C" w:rsidRPr="008132DB" w:rsidRDefault="006D248C" w:rsidP="006D248C">
      <w:pPr>
        <w:spacing w:after="0"/>
        <w:rPr>
          <w:sz w:val="24"/>
        </w:rPr>
      </w:pPr>
    </w:p>
    <w:p w14:paraId="34C3C142" w14:textId="77777777" w:rsidR="00751081" w:rsidRPr="008132DB" w:rsidRDefault="00751081">
      <w:pPr>
        <w:spacing w:after="0"/>
        <w:ind w:firstLine="840"/>
        <w:rPr>
          <w:sz w:val="24"/>
        </w:rPr>
      </w:pPr>
    </w:p>
    <w:p w14:paraId="54D9D68B" w14:textId="77777777" w:rsidR="00751081" w:rsidRPr="008132DB" w:rsidRDefault="007D3609">
      <w:pPr>
        <w:rPr>
          <w:b/>
          <w:sz w:val="24"/>
        </w:rPr>
      </w:pPr>
      <w:r w:rsidRPr="008132DB">
        <w:rPr>
          <w:rFonts w:cs="Times New Roman"/>
          <w:b/>
          <w:sz w:val="24"/>
          <w:szCs w:val="24"/>
        </w:rPr>
        <w:lastRenderedPageBreak/>
        <w:t xml:space="preserve">SUPPLEMENTARY </w:t>
      </w:r>
      <w:r w:rsidR="00912CDD" w:rsidRPr="008132DB">
        <w:rPr>
          <w:rFonts w:cs="Times New Roman"/>
          <w:b/>
          <w:sz w:val="24"/>
          <w:szCs w:val="24"/>
        </w:rPr>
        <w:t xml:space="preserve">TABLE &amp; </w:t>
      </w:r>
      <w:r w:rsidRPr="008132DB">
        <w:rPr>
          <w:b/>
          <w:sz w:val="24"/>
        </w:rPr>
        <w:t>FIGURES</w:t>
      </w:r>
    </w:p>
    <w:p w14:paraId="44087CF8" w14:textId="77777777" w:rsidR="00751081" w:rsidRPr="008132DB" w:rsidRDefault="00751081">
      <w:pPr>
        <w:sectPr w:rsidR="00751081" w:rsidRPr="008132DB" w:rsidSect="00816C23">
          <w:footerReference w:type="default" r:id="rId9"/>
          <w:pgSz w:w="11906" w:h="16838"/>
          <w:pgMar w:top="1440" w:right="1080" w:bottom="1440" w:left="1080" w:header="851" w:footer="0" w:gutter="567"/>
          <w:cols w:space="425"/>
          <w:docGrid w:type="lines" w:linePitch="360"/>
        </w:sectPr>
      </w:pPr>
    </w:p>
    <w:p w14:paraId="14AF1435" w14:textId="77777777" w:rsidR="00751081" w:rsidRPr="008132DB" w:rsidRDefault="007D3609">
      <w:r w:rsidRPr="008132DB">
        <w:rPr>
          <w:rFonts w:ascii="Arial" w:eastAsia="Arial" w:hAnsi="Arial" w:cs="Arial"/>
          <w:b/>
          <w:sz w:val="18"/>
        </w:rPr>
        <w:t>Table S1. Primers used for RT-qPCR.</w:t>
      </w:r>
    </w:p>
    <w:tbl>
      <w:tblPr>
        <w:tblStyle w:val="TableGrid"/>
        <w:tblW w:w="7615" w:type="dxa"/>
        <w:tblInd w:w="-77" w:type="dxa"/>
        <w:tblCellMar>
          <w:top w:w="60" w:type="dxa"/>
          <w:right w:w="210" w:type="dxa"/>
        </w:tblCellMar>
        <w:tblLook w:val="04A0" w:firstRow="1" w:lastRow="0" w:firstColumn="1" w:lastColumn="0" w:noHBand="0" w:noVBand="1"/>
      </w:tblPr>
      <w:tblGrid>
        <w:gridCol w:w="2192"/>
        <w:gridCol w:w="3931"/>
        <w:gridCol w:w="1492"/>
      </w:tblGrid>
      <w:tr w:rsidR="00751081" w:rsidRPr="008132DB" w14:paraId="49D96DED" w14:textId="77777777">
        <w:trPr>
          <w:trHeight w:val="540"/>
        </w:trPr>
        <w:tc>
          <w:tcPr>
            <w:tcW w:w="21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1BA6EE21" w14:textId="77777777" w:rsidR="00751081" w:rsidRPr="008132DB" w:rsidRDefault="007D3609">
            <w:pPr>
              <w:ind w:left="551"/>
            </w:pPr>
            <w:bookmarkStart w:id="0" w:name="_Hlk534368155"/>
            <w:r w:rsidRPr="008132DB">
              <w:rPr>
                <w:rFonts w:ascii="Arial" w:eastAsia="Arial" w:hAnsi="Arial" w:cs="Arial"/>
                <w:sz w:val="18"/>
              </w:rPr>
              <w:t xml:space="preserve">Gene </w:t>
            </w:r>
          </w:p>
        </w:tc>
        <w:tc>
          <w:tcPr>
            <w:tcW w:w="393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6E0A164B" w14:textId="77777777" w:rsidR="00751081" w:rsidRPr="008132DB" w:rsidRDefault="007D3609">
            <w:pPr>
              <w:ind w:left="494"/>
            </w:pPr>
            <w:r w:rsidRPr="008132DB">
              <w:rPr>
                <w:rFonts w:ascii="Arial" w:eastAsia="Arial" w:hAnsi="Arial" w:cs="Arial"/>
                <w:sz w:val="18"/>
              </w:rPr>
              <w:t>Primer sequences (5’→3’)</w:t>
            </w:r>
          </w:p>
        </w:tc>
        <w:tc>
          <w:tcPr>
            <w:tcW w:w="14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FFFFFF"/>
            </w:tcBorders>
          </w:tcPr>
          <w:p w14:paraId="14061ED4" w14:textId="77777777" w:rsidR="00751081" w:rsidRPr="008132DB" w:rsidRDefault="007D3609">
            <w:pPr>
              <w:ind w:left="168" w:firstLine="98"/>
            </w:pPr>
            <w:r w:rsidRPr="008132DB">
              <w:rPr>
                <w:rFonts w:ascii="Arial" w:eastAsia="Arial" w:hAnsi="Arial" w:cs="Arial"/>
                <w:sz w:val="18"/>
              </w:rPr>
              <w:t>GenBank accession #</w:t>
            </w:r>
          </w:p>
        </w:tc>
      </w:tr>
      <w:tr w:rsidR="00751081" w:rsidRPr="008132DB" w14:paraId="56F08E1F" w14:textId="77777777">
        <w:trPr>
          <w:trHeight w:val="538"/>
        </w:trPr>
        <w:tc>
          <w:tcPr>
            <w:tcW w:w="2192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355AFECE" w14:textId="77777777" w:rsidR="00751081" w:rsidRPr="008132DB" w:rsidRDefault="007D3609">
            <w:pPr>
              <w:ind w:left="498"/>
            </w:pPr>
            <w:r w:rsidRPr="008132DB">
              <w:rPr>
                <w:rFonts w:ascii="Arial" w:eastAsia="Arial" w:hAnsi="Arial" w:cs="Arial"/>
                <w:i/>
                <w:sz w:val="18"/>
              </w:rPr>
              <w:t>β-actin</w:t>
            </w:r>
          </w:p>
        </w:tc>
        <w:tc>
          <w:tcPr>
            <w:tcW w:w="393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EEDF947" w14:textId="77777777" w:rsidR="00751081" w:rsidRPr="008132DB" w:rsidRDefault="007D3609">
            <w:pPr>
              <w:ind w:right="384"/>
              <w:rPr>
                <w:rFonts w:ascii="Arial" w:eastAsia="Arial" w:hAnsi="Arial" w:cs="Arial"/>
                <w:sz w:val="18"/>
              </w:rPr>
            </w:pPr>
            <w:r w:rsidRPr="008132DB">
              <w:rPr>
                <w:rFonts w:ascii="Arial" w:eastAsia="Arial" w:hAnsi="Arial" w:cs="Arial"/>
                <w:sz w:val="18"/>
              </w:rPr>
              <w:t xml:space="preserve">F: CAA GGA CCT CTA CGC CAA CAC </w:t>
            </w:r>
          </w:p>
          <w:p w14:paraId="0A810DD6" w14:textId="77777777" w:rsidR="00751081" w:rsidRPr="008132DB" w:rsidRDefault="007D3609">
            <w:pPr>
              <w:ind w:right="384"/>
            </w:pPr>
            <w:r w:rsidRPr="008132DB">
              <w:rPr>
                <w:rFonts w:ascii="Arial" w:eastAsia="Arial" w:hAnsi="Arial" w:cs="Arial"/>
                <w:sz w:val="18"/>
              </w:rPr>
              <w:t xml:space="preserve">R: TGG AGG CGC GAT </w:t>
            </w:r>
            <w:proofErr w:type="spellStart"/>
            <w:r w:rsidRPr="008132DB">
              <w:rPr>
                <w:rFonts w:ascii="Arial" w:eastAsia="Arial" w:hAnsi="Arial" w:cs="Arial"/>
                <w:sz w:val="18"/>
              </w:rPr>
              <w:t>GAT</w:t>
            </w:r>
            <w:proofErr w:type="spellEnd"/>
            <w:r w:rsidRPr="008132DB">
              <w:rPr>
                <w:rFonts w:ascii="Arial" w:eastAsia="Arial" w:hAnsi="Arial" w:cs="Arial"/>
                <w:sz w:val="18"/>
              </w:rPr>
              <w:t xml:space="preserve"> CTT</w:t>
            </w:r>
          </w:p>
        </w:tc>
        <w:tc>
          <w:tcPr>
            <w:tcW w:w="1492" w:type="dxa"/>
            <w:tcBorders>
              <w:top w:val="single" w:sz="8" w:space="0" w:color="000000"/>
              <w:left w:val="nil"/>
              <w:bottom w:val="nil"/>
              <w:right w:val="single" w:sz="8" w:space="0" w:color="FFFFFF"/>
            </w:tcBorders>
            <w:vAlign w:val="center"/>
          </w:tcPr>
          <w:p w14:paraId="13FC73BB" w14:textId="77777777" w:rsidR="00751081" w:rsidRPr="008132DB" w:rsidRDefault="007D3609">
            <w:pPr>
              <w:ind w:left="206"/>
            </w:pPr>
            <w:r w:rsidRPr="008132DB">
              <w:rPr>
                <w:rFonts w:ascii="Arial" w:eastAsia="Arial" w:hAnsi="Arial" w:cs="Arial"/>
                <w:sz w:val="18"/>
              </w:rPr>
              <w:t>DQ845171</w:t>
            </w:r>
          </w:p>
        </w:tc>
      </w:tr>
      <w:tr w:rsidR="00751081" w:rsidRPr="008132DB" w14:paraId="29C7C618" w14:textId="77777777">
        <w:trPr>
          <w:trHeight w:val="540"/>
        </w:trPr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891626" w14:textId="77777777" w:rsidR="00751081" w:rsidRPr="008132DB" w:rsidRDefault="007D3609">
            <w:pPr>
              <w:ind w:left="333"/>
            </w:pPr>
            <w:r w:rsidRPr="008132DB">
              <w:rPr>
                <w:rFonts w:ascii="Arial" w:eastAsia="Arial" w:hAnsi="Arial" w:cs="Arial"/>
                <w:i/>
                <w:sz w:val="18"/>
              </w:rPr>
              <w:t>Caspase-3</w:t>
            </w:r>
          </w:p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</w:tcPr>
          <w:p w14:paraId="5723964E" w14:textId="77777777" w:rsidR="00751081" w:rsidRPr="008132DB" w:rsidRDefault="007D3609">
            <w:pPr>
              <w:ind w:right="183"/>
              <w:rPr>
                <w:rFonts w:ascii="Arial" w:eastAsia="Arial" w:hAnsi="Arial" w:cs="Arial"/>
                <w:sz w:val="18"/>
              </w:rPr>
            </w:pPr>
            <w:r w:rsidRPr="008132DB">
              <w:rPr>
                <w:rFonts w:ascii="Arial" w:eastAsia="Arial" w:hAnsi="Arial" w:cs="Arial"/>
                <w:sz w:val="18"/>
              </w:rPr>
              <w:t xml:space="preserve">F: AGT GGG ACT GAA GAT GAC ATG G </w:t>
            </w:r>
          </w:p>
          <w:p w14:paraId="0B4A1AC3" w14:textId="77777777" w:rsidR="00751081" w:rsidRPr="008132DB" w:rsidRDefault="007D3609">
            <w:pPr>
              <w:ind w:right="183"/>
            </w:pPr>
            <w:r w:rsidRPr="008132DB">
              <w:rPr>
                <w:rFonts w:ascii="Arial" w:eastAsia="Arial" w:hAnsi="Arial" w:cs="Arial"/>
                <w:sz w:val="18"/>
              </w:rPr>
              <w:t>R: TTT CAG CGC TGC ACA AAG TG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single" w:sz="8" w:space="0" w:color="FFFFFF"/>
            </w:tcBorders>
            <w:vAlign w:val="center"/>
          </w:tcPr>
          <w:p w14:paraId="34F157F3" w14:textId="77777777" w:rsidR="00751081" w:rsidRPr="008132DB" w:rsidRDefault="007D3609">
            <w:pPr>
              <w:ind w:left="151"/>
            </w:pPr>
            <w:r w:rsidRPr="008132DB">
              <w:rPr>
                <w:rFonts w:ascii="Arial" w:eastAsia="Arial" w:hAnsi="Arial" w:cs="Arial"/>
                <w:sz w:val="18"/>
              </w:rPr>
              <w:t>NM_214131</w:t>
            </w:r>
          </w:p>
        </w:tc>
      </w:tr>
      <w:tr w:rsidR="00751081" w:rsidRPr="008132DB" w14:paraId="107EAAEC" w14:textId="77777777">
        <w:trPr>
          <w:trHeight w:val="540"/>
        </w:trPr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73EC3" w14:textId="77777777" w:rsidR="00751081" w:rsidRPr="008132DB" w:rsidRDefault="007D3609">
            <w:pPr>
              <w:ind w:left="333"/>
            </w:pPr>
            <w:r w:rsidRPr="008132DB">
              <w:rPr>
                <w:rFonts w:ascii="Arial" w:eastAsia="Arial" w:hAnsi="Arial" w:cs="Arial"/>
                <w:i/>
                <w:sz w:val="18"/>
              </w:rPr>
              <w:t>Caspase-8</w:t>
            </w:r>
          </w:p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</w:tcPr>
          <w:p w14:paraId="60FFB9F2" w14:textId="77777777" w:rsidR="00751081" w:rsidRPr="008132DB" w:rsidRDefault="007D3609">
            <w:pPr>
              <w:ind w:right="525"/>
              <w:rPr>
                <w:rFonts w:ascii="Arial" w:eastAsia="Arial" w:hAnsi="Arial" w:cs="Arial"/>
                <w:sz w:val="18"/>
              </w:rPr>
            </w:pPr>
            <w:r w:rsidRPr="008132DB">
              <w:rPr>
                <w:rFonts w:ascii="Arial" w:eastAsia="Arial" w:hAnsi="Arial" w:cs="Arial"/>
                <w:sz w:val="18"/>
              </w:rPr>
              <w:t xml:space="preserve">F: AAA TCA ACA AGG CCC TGC TG </w:t>
            </w:r>
          </w:p>
          <w:p w14:paraId="4D8D6389" w14:textId="77777777" w:rsidR="00751081" w:rsidRPr="008132DB" w:rsidRDefault="007D3609">
            <w:pPr>
              <w:ind w:right="525"/>
            </w:pPr>
            <w:r w:rsidRPr="008132DB">
              <w:rPr>
                <w:rFonts w:ascii="Arial" w:eastAsia="Arial" w:hAnsi="Arial" w:cs="Arial"/>
                <w:sz w:val="18"/>
              </w:rPr>
              <w:t>R: ATC CGA AGC ACT TTC AAG GC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single" w:sz="8" w:space="0" w:color="FFFFFF"/>
            </w:tcBorders>
            <w:vAlign w:val="center"/>
          </w:tcPr>
          <w:p w14:paraId="44306AD1" w14:textId="77777777" w:rsidR="00751081" w:rsidRPr="008132DB" w:rsidRDefault="007D3609">
            <w:r w:rsidRPr="008132DB">
              <w:rPr>
                <w:rFonts w:ascii="Arial" w:eastAsia="Arial" w:hAnsi="Arial" w:cs="Arial"/>
                <w:sz w:val="18"/>
              </w:rPr>
              <w:t>NM_001031779</w:t>
            </w:r>
          </w:p>
        </w:tc>
      </w:tr>
      <w:tr w:rsidR="00751081" w:rsidRPr="008132DB" w14:paraId="4A48D503" w14:textId="77777777">
        <w:trPr>
          <w:trHeight w:val="540"/>
        </w:trPr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FCECA" w14:textId="77777777" w:rsidR="00751081" w:rsidRPr="008132DB" w:rsidRDefault="007D3609">
            <w:pPr>
              <w:ind w:left="537"/>
            </w:pPr>
            <w:r w:rsidRPr="008132DB">
              <w:rPr>
                <w:rFonts w:ascii="Arial" w:eastAsia="Arial" w:hAnsi="Arial" w:cs="Arial"/>
                <w:i/>
                <w:sz w:val="18"/>
              </w:rPr>
              <w:t>MLKL</w:t>
            </w:r>
          </w:p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</w:tcPr>
          <w:p w14:paraId="6A5CF7EB" w14:textId="77777777" w:rsidR="00751081" w:rsidRPr="008132DB" w:rsidRDefault="007D3609">
            <w:pPr>
              <w:ind w:right="515"/>
              <w:rPr>
                <w:rFonts w:ascii="Arial" w:eastAsia="Arial" w:hAnsi="Arial" w:cs="Arial"/>
                <w:sz w:val="18"/>
              </w:rPr>
            </w:pPr>
            <w:r w:rsidRPr="008132DB">
              <w:rPr>
                <w:rFonts w:ascii="Arial" w:eastAsia="Arial" w:hAnsi="Arial" w:cs="Arial"/>
                <w:sz w:val="18"/>
              </w:rPr>
              <w:t xml:space="preserve">F: TTT CAA GGG CCA CAG GAA TG </w:t>
            </w:r>
          </w:p>
          <w:p w14:paraId="0B9FD8BA" w14:textId="77777777" w:rsidR="00751081" w:rsidRPr="008132DB" w:rsidRDefault="007D3609">
            <w:pPr>
              <w:ind w:right="515"/>
            </w:pPr>
            <w:r w:rsidRPr="008132DB">
              <w:rPr>
                <w:rFonts w:ascii="Arial" w:eastAsia="Arial" w:hAnsi="Arial" w:cs="Arial"/>
                <w:sz w:val="18"/>
              </w:rPr>
              <w:t>R: TGG TAT TGC TTT GGC TGT GG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single" w:sz="8" w:space="0" w:color="FFFFFF"/>
            </w:tcBorders>
            <w:vAlign w:val="center"/>
          </w:tcPr>
          <w:p w14:paraId="0E4A0FB2" w14:textId="77777777" w:rsidR="00751081" w:rsidRPr="008132DB" w:rsidRDefault="007D3609">
            <w:pPr>
              <w:ind w:left="197"/>
            </w:pPr>
            <w:r w:rsidRPr="008132DB">
              <w:rPr>
                <w:rFonts w:ascii="Arial" w:eastAsia="Arial" w:hAnsi="Arial" w:cs="Arial"/>
                <w:sz w:val="18"/>
              </w:rPr>
              <w:t>MG543991</w:t>
            </w:r>
          </w:p>
        </w:tc>
      </w:tr>
      <w:tr w:rsidR="00751081" w:rsidRPr="008132DB" w14:paraId="564D45DD" w14:textId="77777777">
        <w:trPr>
          <w:trHeight w:val="542"/>
        </w:trPr>
        <w:tc>
          <w:tcPr>
            <w:tcW w:w="2192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6720BA84" w14:textId="77777777" w:rsidR="00751081" w:rsidRPr="008132DB" w:rsidRDefault="007D3609">
            <w:pPr>
              <w:ind w:left="510"/>
            </w:pPr>
            <w:r w:rsidRPr="008132DB">
              <w:rPr>
                <w:rFonts w:ascii="Arial" w:eastAsia="Arial" w:hAnsi="Arial" w:cs="Arial"/>
                <w:i/>
                <w:sz w:val="18"/>
              </w:rPr>
              <w:t>RIPK1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DA03F67" w14:textId="77777777" w:rsidR="00751081" w:rsidRPr="008132DB" w:rsidRDefault="007D3609">
            <w:pPr>
              <w:ind w:right="516"/>
              <w:rPr>
                <w:rFonts w:ascii="Arial" w:eastAsia="Arial" w:hAnsi="Arial" w:cs="Arial"/>
                <w:sz w:val="18"/>
              </w:rPr>
            </w:pPr>
            <w:r w:rsidRPr="008132DB">
              <w:rPr>
                <w:rFonts w:ascii="Arial" w:eastAsia="Arial" w:hAnsi="Arial" w:cs="Arial"/>
                <w:sz w:val="18"/>
              </w:rPr>
              <w:t xml:space="preserve">F: ACC TTT TCG GCA GCC GCA TG </w:t>
            </w:r>
          </w:p>
          <w:p w14:paraId="37AD5060" w14:textId="77777777" w:rsidR="00751081" w:rsidRPr="008132DB" w:rsidRDefault="007D3609">
            <w:pPr>
              <w:ind w:right="516"/>
            </w:pPr>
            <w:r w:rsidRPr="008132DB">
              <w:rPr>
                <w:rFonts w:ascii="Arial" w:eastAsia="Arial" w:hAnsi="Arial" w:cs="Arial"/>
                <w:sz w:val="18"/>
              </w:rPr>
              <w:t>R: TGC TGT GCA AAA GGG TCA TG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000000"/>
              <w:right w:val="single" w:sz="8" w:space="0" w:color="FFFFFF"/>
            </w:tcBorders>
            <w:vAlign w:val="center"/>
          </w:tcPr>
          <w:p w14:paraId="0EF13364" w14:textId="77777777" w:rsidR="00751081" w:rsidRPr="008132DB" w:rsidRDefault="007D3609">
            <w:pPr>
              <w:ind w:left="197"/>
            </w:pPr>
            <w:r w:rsidRPr="008132DB">
              <w:rPr>
                <w:rFonts w:ascii="Arial" w:eastAsia="Arial" w:hAnsi="Arial" w:cs="Arial"/>
                <w:sz w:val="18"/>
              </w:rPr>
              <w:t>MG586799</w:t>
            </w:r>
          </w:p>
        </w:tc>
      </w:tr>
      <w:bookmarkEnd w:id="0"/>
    </w:tbl>
    <w:p w14:paraId="6D7E1483" w14:textId="77777777" w:rsidR="00751081" w:rsidRPr="008132DB" w:rsidRDefault="007D3609">
      <w:r w:rsidRPr="008132DB">
        <w:br w:type="page"/>
      </w:r>
    </w:p>
    <w:p w14:paraId="18E5CEA4" w14:textId="77777777" w:rsidR="00912CDD" w:rsidRPr="008132DB" w:rsidRDefault="007D3609" w:rsidP="00912CDD">
      <w:pPr>
        <w:rPr>
          <w:b/>
          <w:sz w:val="24"/>
        </w:rPr>
        <w:sectPr w:rsidR="00912CDD" w:rsidRPr="008132DB" w:rsidSect="00816C23">
          <w:type w:val="continuous"/>
          <w:pgSz w:w="11906" w:h="16838"/>
          <w:pgMar w:top="1418" w:right="1418" w:bottom="1418" w:left="1418" w:header="851" w:footer="0" w:gutter="567"/>
          <w:cols w:space="425"/>
          <w:docGrid w:type="lines" w:linePitch="360"/>
        </w:sectPr>
      </w:pPr>
      <w:r w:rsidRPr="008132DB">
        <w:rPr>
          <w:b/>
          <w:noProof/>
          <w:sz w:val="24"/>
        </w:rPr>
        <w:lastRenderedPageBreak/>
        <w:drawing>
          <wp:anchor distT="0" distB="0" distL="114300" distR="114300" simplePos="0" relativeHeight="251661312" behindDoc="0" locked="0" layoutInCell="1" allowOverlap="1" wp14:anchorId="72A11023" wp14:editId="27F4FA17">
            <wp:simplePos x="0" y="0"/>
            <wp:positionH relativeFrom="column">
              <wp:posOffset>4121</wp:posOffset>
            </wp:positionH>
            <wp:positionV relativeFrom="paragraph">
              <wp:posOffset>72336</wp:posOffset>
            </wp:positionV>
            <wp:extent cx="5450205" cy="3054350"/>
            <wp:effectExtent l="0" t="0" r="0" b="0"/>
            <wp:wrapTopAndBottom/>
            <wp:docPr id="5404" name="図 5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0205" cy="305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132DB">
        <w:rPr>
          <w:b/>
          <w:sz w:val="24"/>
        </w:rPr>
        <w:t>Fi</w:t>
      </w:r>
      <w:r w:rsidRPr="008132DB">
        <w:rPr>
          <w:rFonts w:cs="Times New Roman"/>
          <w:b/>
          <w:sz w:val="24"/>
          <w:szCs w:val="24"/>
        </w:rPr>
        <w:t>g</w:t>
      </w:r>
      <w:r w:rsidRPr="008132DB">
        <w:rPr>
          <w:b/>
          <w:sz w:val="24"/>
        </w:rPr>
        <w:t xml:space="preserve">. S1. </w:t>
      </w:r>
      <w:r w:rsidRPr="008132DB">
        <w:rPr>
          <w:sz w:val="24"/>
        </w:rPr>
        <w:t xml:space="preserve">Cell viability of various cell lines treated with swIFN-α. Cells were treated with </w:t>
      </w:r>
      <w:proofErr w:type="spellStart"/>
      <w:r w:rsidRPr="008132DB">
        <w:rPr>
          <w:sz w:val="24"/>
        </w:rPr>
        <w:t>swIFN</w:t>
      </w:r>
      <w:proofErr w:type="spellEnd"/>
      <w:r w:rsidRPr="008132DB">
        <w:rPr>
          <w:sz w:val="24"/>
        </w:rPr>
        <w:t>-α at the indicated concentrations. Cell viability was measured with the CCK-8 assay 96 h after the treatment with swIFN-α. The OD</w:t>
      </w:r>
      <w:r w:rsidRPr="008132DB">
        <w:rPr>
          <w:sz w:val="24"/>
          <w:vertAlign w:val="subscript"/>
        </w:rPr>
        <w:t>450</w:t>
      </w:r>
      <w:r w:rsidRPr="008132DB">
        <w:rPr>
          <w:sz w:val="24"/>
        </w:rPr>
        <w:t xml:space="preserve"> values in medium-treated cells were considered as 100% viability. The results are indicated as the mean values of </w:t>
      </w:r>
      <w:r w:rsidRPr="008132DB">
        <w:rPr>
          <w:rFonts w:cs="Times New Roman"/>
          <w:sz w:val="24"/>
          <w:szCs w:val="24"/>
        </w:rPr>
        <w:t>three</w:t>
      </w:r>
      <w:r w:rsidRPr="008132DB">
        <w:rPr>
          <w:sz w:val="24"/>
        </w:rPr>
        <w:t xml:space="preserve"> independent experiments with error bars representing the standard error of the mean.</w:t>
      </w:r>
      <w:r w:rsidRPr="008132DB">
        <w:br w:type="page"/>
      </w:r>
    </w:p>
    <w:p w14:paraId="43353688" w14:textId="77777777" w:rsidR="00751081" w:rsidRPr="008132DB" w:rsidRDefault="0011735C" w:rsidP="00912CDD">
      <w:r w:rsidRPr="008132DB">
        <w:rPr>
          <w:noProof/>
        </w:rPr>
        <w:lastRenderedPageBreak/>
        <w:drawing>
          <wp:anchor distT="0" distB="0" distL="114300" distR="114300" simplePos="0" relativeHeight="251659776" behindDoc="0" locked="0" layoutInCell="1" allowOverlap="1" wp14:anchorId="7C2B0311" wp14:editId="1921A4A8">
            <wp:simplePos x="0" y="0"/>
            <wp:positionH relativeFrom="column">
              <wp:posOffset>-318965</wp:posOffset>
            </wp:positionH>
            <wp:positionV relativeFrom="paragraph">
              <wp:posOffset>81377</wp:posOffset>
            </wp:positionV>
            <wp:extent cx="6083300" cy="5703570"/>
            <wp:effectExtent l="0" t="0" r="0" b="0"/>
            <wp:wrapTopAndBottom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83300" cy="5703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32DB">
        <w:rPr>
          <w:sz w:val="24"/>
        </w:rPr>
        <w:t xml:space="preserve">Fig. S2. Relative expression of cell-death-related proteins in CPK-NS and CPK cells. Expression signals were quantified by using ImageJ (National Institutes of Health) and </w:t>
      </w:r>
      <w:r w:rsidR="007D3609" w:rsidRPr="008132DB">
        <w:rPr>
          <w:sz w:val="24"/>
        </w:rPr>
        <w:t>described as the relative expression level of target protein/GAPDH ratio. The ratio for mock-infected or mock-treated cells was set to a value of 1. (A) CPK-NS cells. (B) CPK cells.</w:t>
      </w:r>
      <w:r w:rsidR="007D3609" w:rsidRPr="008132DB">
        <w:br w:type="page"/>
      </w:r>
    </w:p>
    <w:p w14:paraId="6B79C7C9" w14:textId="77777777" w:rsidR="00751081" w:rsidRPr="008132DB" w:rsidRDefault="0011735C">
      <w:r w:rsidRPr="008132DB">
        <w:rPr>
          <w:noProof/>
        </w:rPr>
        <w:lastRenderedPageBreak/>
        <w:drawing>
          <wp:anchor distT="0" distB="0" distL="114300" distR="114300" simplePos="0" relativeHeight="251662848" behindDoc="0" locked="0" layoutInCell="1" allowOverlap="1" wp14:anchorId="3AB66FB6" wp14:editId="03E8792E">
            <wp:simplePos x="0" y="0"/>
            <wp:positionH relativeFrom="column">
              <wp:posOffset>-317500</wp:posOffset>
            </wp:positionH>
            <wp:positionV relativeFrom="paragraph">
              <wp:posOffset>109220</wp:posOffset>
            </wp:positionV>
            <wp:extent cx="5932805" cy="5414645"/>
            <wp:effectExtent l="0" t="0" r="0" b="0"/>
            <wp:wrapTopAndBottom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32805" cy="5414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3609" w:rsidRPr="008132DB">
        <w:rPr>
          <w:b/>
          <w:sz w:val="24"/>
        </w:rPr>
        <w:t>Fig. S3.</w:t>
      </w:r>
      <w:r w:rsidR="007D3609" w:rsidRPr="008132DB">
        <w:rPr>
          <w:sz w:val="24"/>
        </w:rPr>
        <w:t xml:space="preserve"> mRNA expression of cell-death-related proteins in CPK-NS cells. CPK-NS cells were inoculated with the indicated CSFV</w:t>
      </w:r>
      <w:r w:rsidRPr="008132DB">
        <w:rPr>
          <w:sz w:val="24"/>
        </w:rPr>
        <w:t xml:space="preserve"> clone</w:t>
      </w:r>
      <w:r w:rsidR="007D3609" w:rsidRPr="008132DB">
        <w:rPr>
          <w:sz w:val="24"/>
        </w:rPr>
        <w:t>s at MOI=1.0 TCID50/cell or treated with 2×10</w:t>
      </w:r>
      <w:r w:rsidR="007D3609" w:rsidRPr="008132DB">
        <w:rPr>
          <w:sz w:val="24"/>
          <w:vertAlign w:val="superscript"/>
        </w:rPr>
        <w:t>5</w:t>
      </w:r>
      <w:r w:rsidR="007D3609" w:rsidRPr="008132DB">
        <w:rPr>
          <w:sz w:val="24"/>
        </w:rPr>
        <w:t xml:space="preserve"> unit/cell of </w:t>
      </w:r>
      <w:proofErr w:type="spellStart"/>
      <w:r w:rsidR="007D3609" w:rsidRPr="008132DB">
        <w:rPr>
          <w:sz w:val="24"/>
        </w:rPr>
        <w:t>swIFN</w:t>
      </w:r>
      <w:proofErr w:type="spellEnd"/>
      <w:r w:rsidR="007D3609" w:rsidRPr="008132DB">
        <w:rPr>
          <w:sz w:val="24"/>
        </w:rPr>
        <w:t>-α or 50 µM of cisplatin. RNA was extracted at the indicated time points and assessed by RT-qPCR. Target gene/β-actin ratio for untreated cells was set to a value of 1. The results are mean values of three independent experiments with error bars representing the standard error of the mean.</w:t>
      </w:r>
      <w:r w:rsidR="007D3609" w:rsidRPr="008132DB">
        <w:br w:type="page"/>
      </w:r>
    </w:p>
    <w:p w14:paraId="39F255B1" w14:textId="77777777" w:rsidR="00751081" w:rsidRPr="008132DB" w:rsidRDefault="0011735C">
      <w:pPr>
        <w:sectPr w:rsidR="00751081" w:rsidRPr="008132DB" w:rsidSect="00816C23">
          <w:type w:val="continuous"/>
          <w:pgSz w:w="11906" w:h="16838"/>
          <w:pgMar w:top="1418" w:right="1418" w:bottom="1418" w:left="1418" w:header="851" w:footer="0" w:gutter="567"/>
          <w:cols w:space="425"/>
          <w:docGrid w:type="lines" w:linePitch="360"/>
        </w:sectPr>
      </w:pPr>
      <w:r w:rsidRPr="008132DB"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087D87F2" wp14:editId="52D50529">
            <wp:simplePos x="0" y="0"/>
            <wp:positionH relativeFrom="column">
              <wp:posOffset>-184150</wp:posOffset>
            </wp:positionH>
            <wp:positionV relativeFrom="paragraph">
              <wp:posOffset>13970</wp:posOffset>
            </wp:positionV>
            <wp:extent cx="3361055" cy="4683125"/>
            <wp:effectExtent l="0" t="0" r="4445" b="3175"/>
            <wp:wrapTopAndBottom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61055" cy="4683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CE41E4" w14:textId="77777777" w:rsidR="00751081" w:rsidRPr="008132DB" w:rsidRDefault="00751081">
      <w:pPr>
        <w:sectPr w:rsidR="00751081" w:rsidRPr="008132DB" w:rsidSect="00816C23">
          <w:type w:val="continuous"/>
          <w:pgSz w:w="11906" w:h="16838"/>
          <w:pgMar w:top="1418" w:right="1418" w:bottom="1418" w:left="1418" w:header="851" w:footer="0" w:gutter="567"/>
          <w:cols w:space="425"/>
          <w:docGrid w:type="lines" w:linePitch="360"/>
        </w:sectPr>
      </w:pPr>
    </w:p>
    <w:p w14:paraId="23C29275" w14:textId="77777777" w:rsidR="00751081" w:rsidRPr="008132DB" w:rsidRDefault="007D3609">
      <w:pPr>
        <w:spacing w:after="7416"/>
        <w:ind w:left="-163"/>
        <w:rPr>
          <w:sz w:val="24"/>
        </w:rPr>
      </w:pPr>
      <w:r w:rsidRPr="008132DB">
        <w:rPr>
          <w:b/>
          <w:sz w:val="24"/>
        </w:rPr>
        <w:t>Fig. S4.</w:t>
      </w:r>
      <w:r w:rsidRPr="008132DB">
        <w:rPr>
          <w:sz w:val="24"/>
        </w:rPr>
        <w:t xml:space="preserve"> mRNA expression of cell-death-related proteins in CPK cells. CPK cells were inoculated with indicated CSFVs at MOI=1.0 TCID50/cell or treated with 2×10</w:t>
      </w:r>
      <w:r w:rsidRPr="008132DB">
        <w:rPr>
          <w:sz w:val="24"/>
          <w:vertAlign w:val="superscript"/>
        </w:rPr>
        <w:t>5</w:t>
      </w:r>
      <w:r w:rsidRPr="008132DB">
        <w:rPr>
          <w:sz w:val="24"/>
        </w:rPr>
        <w:t xml:space="preserve"> unit/cell of </w:t>
      </w:r>
      <w:proofErr w:type="spellStart"/>
      <w:r w:rsidRPr="008132DB">
        <w:rPr>
          <w:sz w:val="24"/>
        </w:rPr>
        <w:t>swIFN</w:t>
      </w:r>
      <w:proofErr w:type="spellEnd"/>
      <w:r w:rsidRPr="008132DB">
        <w:rPr>
          <w:sz w:val="24"/>
        </w:rPr>
        <w:t>-α. RNA was extracted at the indicated time points and assessed by RT-qPCR. Target gene/β-actin ratio for untreated cells was set to a value of 1. The results are mean values of three independent experiments with error bars representing the standard error of the mean.</w:t>
      </w:r>
    </w:p>
    <w:p w14:paraId="7A79690B" w14:textId="77777777" w:rsidR="006D248C" w:rsidRPr="008132DB" w:rsidRDefault="006D248C" w:rsidP="006D248C">
      <w:pPr>
        <w:rPr>
          <w:b/>
          <w:sz w:val="24"/>
        </w:rPr>
      </w:pPr>
      <w:r w:rsidRPr="008132DB">
        <w:rPr>
          <w:rFonts w:ascii="Arial" w:eastAsia="ＭＳ ゴシック" w:hAnsi="Arial" w:cs="Arial"/>
          <w:noProof/>
        </w:rPr>
        <w:lastRenderedPageBreak/>
        <w:drawing>
          <wp:inline distT="0" distB="0" distL="0" distR="0" wp14:anchorId="5133E337" wp14:editId="4EA08F58">
            <wp:extent cx="4882515" cy="6680200"/>
            <wp:effectExtent l="0" t="0" r="0" b="635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acs.tiff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80"/>
                    <a:stretch/>
                  </pic:blipFill>
                  <pic:spPr bwMode="auto">
                    <a:xfrm>
                      <a:off x="0" y="0"/>
                      <a:ext cx="4900111" cy="6704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E35F2E" w14:textId="49A66426" w:rsidR="000713A5" w:rsidRDefault="006D248C" w:rsidP="006D248C">
      <w:pPr>
        <w:rPr>
          <w:sz w:val="24"/>
        </w:rPr>
      </w:pPr>
      <w:r w:rsidRPr="008132DB">
        <w:rPr>
          <w:b/>
          <w:sz w:val="24"/>
        </w:rPr>
        <w:t xml:space="preserve">Fig. S5. </w:t>
      </w:r>
      <w:r w:rsidRPr="008132DB">
        <w:rPr>
          <w:bCs/>
          <w:sz w:val="24"/>
        </w:rPr>
        <w:t xml:space="preserve">Analysis of relationship between CSFV infection and cell death. </w:t>
      </w:r>
      <w:r w:rsidRPr="008132DB">
        <w:rPr>
          <w:sz w:val="24"/>
        </w:rPr>
        <w:t>CPK-NS cells were inoculated with CSFV clones at MOI=1.0 TCID</w:t>
      </w:r>
      <w:r w:rsidRPr="008132DB">
        <w:rPr>
          <w:sz w:val="24"/>
          <w:vertAlign w:val="subscript"/>
        </w:rPr>
        <w:t>50</w:t>
      </w:r>
      <w:r w:rsidRPr="008132DB">
        <w:rPr>
          <w:sz w:val="24"/>
        </w:rPr>
        <w:t xml:space="preserve">/cell. Cells were </w:t>
      </w:r>
      <w:r w:rsidR="00D51A98" w:rsidRPr="008132DB">
        <w:rPr>
          <w:sz w:val="24"/>
        </w:rPr>
        <w:t xml:space="preserve">fixed with 10% formaldehyde and then </w:t>
      </w:r>
      <w:r w:rsidRPr="008132DB">
        <w:rPr>
          <w:sz w:val="24"/>
        </w:rPr>
        <w:t xml:space="preserve">stained with annexin V, PI and anti-NS3 antibody followed by APC-conjugated secondary antibody. </w:t>
      </w:r>
      <w:r w:rsidR="0081039D" w:rsidRPr="008132DB">
        <w:rPr>
          <w:sz w:val="24"/>
        </w:rPr>
        <w:t xml:space="preserve">The </w:t>
      </w:r>
      <w:r w:rsidRPr="008132DB">
        <w:rPr>
          <w:sz w:val="24"/>
        </w:rPr>
        <w:t>10</w:t>
      </w:r>
      <w:r w:rsidRPr="008132DB">
        <w:rPr>
          <w:sz w:val="24"/>
          <w:vertAlign w:val="superscript"/>
        </w:rPr>
        <w:t>4</w:t>
      </w:r>
      <w:r w:rsidRPr="008132DB">
        <w:rPr>
          <w:sz w:val="24"/>
        </w:rPr>
        <w:t xml:space="preserve"> cells were counted by </w:t>
      </w:r>
      <w:r w:rsidRPr="008132DB">
        <w:rPr>
          <w:rFonts w:cs="Times New Roman"/>
          <w:sz w:val="24"/>
        </w:rPr>
        <w:t xml:space="preserve">BD </w:t>
      </w:r>
      <w:proofErr w:type="spellStart"/>
      <w:r w:rsidRPr="008132DB">
        <w:rPr>
          <w:rFonts w:cs="Times New Roman"/>
          <w:sz w:val="24"/>
        </w:rPr>
        <w:t>FACSCanto</w:t>
      </w:r>
      <w:proofErr w:type="spellEnd"/>
      <w:r w:rsidRPr="008132DB">
        <w:rPr>
          <w:rFonts w:cs="Times New Roman"/>
          <w:sz w:val="24"/>
        </w:rPr>
        <w:t xml:space="preserve"> </w:t>
      </w:r>
      <w:r w:rsidRPr="008132DB">
        <w:rPr>
          <w:rFonts w:cs="Times New Roman"/>
          <w:sz w:val="24"/>
        </w:rPr>
        <w:lastRenderedPageBreak/>
        <w:t xml:space="preserve">Flow Cytometer </w:t>
      </w:r>
      <w:r w:rsidRPr="008132DB">
        <w:rPr>
          <w:sz w:val="24"/>
        </w:rPr>
        <w:t xml:space="preserve">and data was analyzed by </w:t>
      </w:r>
      <w:proofErr w:type="spellStart"/>
      <w:r w:rsidRPr="008132DB">
        <w:rPr>
          <w:sz w:val="24"/>
        </w:rPr>
        <w:t>FlowJo</w:t>
      </w:r>
      <w:proofErr w:type="spellEnd"/>
      <w:r w:rsidRPr="008132DB">
        <w:rPr>
          <w:sz w:val="24"/>
        </w:rPr>
        <w:t xml:space="preserve">. </w:t>
      </w:r>
      <w:r w:rsidR="00D51A98" w:rsidRPr="008132DB">
        <w:rPr>
          <w:sz w:val="24"/>
        </w:rPr>
        <w:t xml:space="preserve">All cells were plotted by </w:t>
      </w:r>
      <w:r w:rsidRPr="008132DB">
        <w:rPr>
          <w:sz w:val="24"/>
        </w:rPr>
        <w:t xml:space="preserve">(A) Annexin V </w:t>
      </w:r>
      <w:r w:rsidR="00D51A98" w:rsidRPr="008132DB">
        <w:rPr>
          <w:sz w:val="24"/>
        </w:rPr>
        <w:t>(Y-axis)</w:t>
      </w:r>
      <w:r w:rsidRPr="008132DB">
        <w:rPr>
          <w:sz w:val="24"/>
        </w:rPr>
        <w:t>, NS3</w:t>
      </w:r>
      <w:r w:rsidR="00D51A98" w:rsidRPr="008132DB">
        <w:rPr>
          <w:sz w:val="24"/>
        </w:rPr>
        <w:t xml:space="preserve"> (X-axis),</w:t>
      </w:r>
      <w:r w:rsidRPr="008132DB">
        <w:rPr>
          <w:sz w:val="24"/>
        </w:rPr>
        <w:t xml:space="preserve"> (B) PI </w:t>
      </w:r>
      <w:r w:rsidR="00D51A98" w:rsidRPr="008132DB">
        <w:rPr>
          <w:sz w:val="24"/>
        </w:rPr>
        <w:t>(Y-axis)</w:t>
      </w:r>
      <w:r w:rsidRPr="008132DB">
        <w:rPr>
          <w:sz w:val="24"/>
        </w:rPr>
        <w:t>, NS3</w:t>
      </w:r>
      <w:r w:rsidR="00D51A98" w:rsidRPr="008132DB">
        <w:rPr>
          <w:sz w:val="24"/>
        </w:rPr>
        <w:t xml:space="preserve"> (X-axis), and </w:t>
      </w:r>
      <w:r w:rsidRPr="008132DB">
        <w:rPr>
          <w:sz w:val="24"/>
        </w:rPr>
        <w:t>(C) Annexin V</w:t>
      </w:r>
      <w:r w:rsidR="00D51A98" w:rsidRPr="008132DB">
        <w:rPr>
          <w:sz w:val="24"/>
        </w:rPr>
        <w:t xml:space="preserve"> (Y-axis)</w:t>
      </w:r>
      <w:r w:rsidRPr="008132DB">
        <w:rPr>
          <w:sz w:val="24"/>
        </w:rPr>
        <w:t>, PI</w:t>
      </w:r>
      <w:r w:rsidR="00D51A98" w:rsidRPr="008132DB">
        <w:rPr>
          <w:sz w:val="24"/>
        </w:rPr>
        <w:t xml:space="preserve"> (X-axis)</w:t>
      </w:r>
      <w:r w:rsidRPr="008132DB">
        <w:rPr>
          <w:sz w:val="24"/>
        </w:rPr>
        <w:t xml:space="preserve">. Fig. </w:t>
      </w:r>
      <w:r w:rsidR="00816C23" w:rsidRPr="008132DB">
        <w:rPr>
          <w:sz w:val="24"/>
        </w:rPr>
        <w:t>S5</w:t>
      </w:r>
      <w:r w:rsidRPr="008132DB">
        <w:rPr>
          <w:sz w:val="24"/>
        </w:rPr>
        <w:t xml:space="preserve">A and </w:t>
      </w:r>
      <w:r w:rsidR="00816C23" w:rsidRPr="008132DB">
        <w:rPr>
          <w:sz w:val="24"/>
        </w:rPr>
        <w:t>S5</w:t>
      </w:r>
      <w:r w:rsidRPr="008132DB">
        <w:rPr>
          <w:sz w:val="24"/>
        </w:rPr>
        <w:t xml:space="preserve">B </w:t>
      </w:r>
      <w:r w:rsidR="00D51A98" w:rsidRPr="008132DB">
        <w:rPr>
          <w:sz w:val="24"/>
        </w:rPr>
        <w:t>are</w:t>
      </w:r>
      <w:r w:rsidRPr="008132DB">
        <w:rPr>
          <w:sz w:val="24"/>
        </w:rPr>
        <w:t xml:space="preserve"> shown as bar graphs</w:t>
      </w:r>
      <w:r w:rsidR="00D51A98" w:rsidRPr="008132DB">
        <w:rPr>
          <w:sz w:val="24"/>
        </w:rPr>
        <w:t xml:space="preserve"> in Fig</w:t>
      </w:r>
      <w:r w:rsidRPr="008132DB">
        <w:rPr>
          <w:sz w:val="24"/>
        </w:rPr>
        <w:t>.</w:t>
      </w:r>
      <w:r w:rsidR="00D51A98" w:rsidRPr="008132DB">
        <w:rPr>
          <w:sz w:val="24"/>
        </w:rPr>
        <w:t>S5D.</w:t>
      </w:r>
      <w:r w:rsidR="000713A5" w:rsidRPr="008132DB">
        <w:rPr>
          <w:sz w:val="24"/>
        </w:rPr>
        <w:t xml:space="preserve"> Although </w:t>
      </w:r>
      <w:r w:rsidR="00D51A98" w:rsidRPr="008132DB">
        <w:rPr>
          <w:sz w:val="24"/>
        </w:rPr>
        <w:t>A</w:t>
      </w:r>
      <w:r w:rsidR="000713A5" w:rsidRPr="008132DB">
        <w:rPr>
          <w:sz w:val="24"/>
        </w:rPr>
        <w:t>nnexin V was barely detected, it was as least confirmed that both infected and non-infected cells were going through cell death with membrane disruption (PI+)</w:t>
      </w:r>
      <w:r w:rsidR="00D51A98" w:rsidRPr="008132DB">
        <w:rPr>
          <w:sz w:val="24"/>
        </w:rPr>
        <w:t xml:space="preserve"> since 48 </w:t>
      </w:r>
      <w:proofErr w:type="spellStart"/>
      <w:r w:rsidR="00D51A98" w:rsidRPr="008132DB">
        <w:rPr>
          <w:sz w:val="24"/>
        </w:rPr>
        <w:t>hpi</w:t>
      </w:r>
      <w:proofErr w:type="spellEnd"/>
      <w:r w:rsidR="000713A5" w:rsidRPr="008132DB">
        <w:rPr>
          <w:sz w:val="24"/>
        </w:rPr>
        <w:t>, and that apoptosis is triggered in infected cells at early stage of infection (PI-/Annexin+)</w:t>
      </w:r>
      <w:r w:rsidR="00D51A98" w:rsidRPr="008132DB">
        <w:rPr>
          <w:sz w:val="24"/>
        </w:rPr>
        <w:t xml:space="preserve"> at 24 </w:t>
      </w:r>
      <w:proofErr w:type="spellStart"/>
      <w:r w:rsidR="00D51A98" w:rsidRPr="008132DB">
        <w:rPr>
          <w:sz w:val="24"/>
        </w:rPr>
        <w:t>hpi</w:t>
      </w:r>
      <w:proofErr w:type="spellEnd"/>
      <w:r w:rsidR="000713A5" w:rsidRPr="008132DB">
        <w:rPr>
          <w:sz w:val="24"/>
        </w:rPr>
        <w:t>. Combining with the cell-death inhibition test and Western blotting analysis, this experiment yields that infected cells underwent apoptosis and non-infected cells followed the fate to necroptosis.</w:t>
      </w:r>
      <w:bookmarkStart w:id="1" w:name="_GoBack"/>
      <w:bookmarkEnd w:id="1"/>
    </w:p>
    <w:p w14:paraId="3DB562EE" w14:textId="77777777" w:rsidR="006D248C" w:rsidRPr="006D248C" w:rsidRDefault="006D248C">
      <w:pPr>
        <w:spacing w:after="7416"/>
        <w:ind w:left="-163"/>
        <w:rPr>
          <w:sz w:val="24"/>
        </w:rPr>
      </w:pPr>
    </w:p>
    <w:sectPr w:rsidR="006D248C" w:rsidRPr="006D248C" w:rsidSect="00816C23">
      <w:type w:val="continuous"/>
      <w:pgSz w:w="11906" w:h="16838"/>
      <w:pgMar w:top="1418" w:right="1418" w:bottom="1418" w:left="1418" w:header="851" w:footer="0" w:gutter="56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7C150C" w14:textId="77777777" w:rsidR="00304FD9" w:rsidRDefault="00304FD9">
      <w:pPr>
        <w:spacing w:after="0" w:line="240" w:lineRule="auto"/>
      </w:pPr>
      <w:r>
        <w:separator/>
      </w:r>
    </w:p>
  </w:endnote>
  <w:endnote w:type="continuationSeparator" w:id="0">
    <w:p w14:paraId="2A4BF478" w14:textId="77777777" w:rsidR="00304FD9" w:rsidRDefault="00304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0584138"/>
      <w:docPartObj>
        <w:docPartGallery w:val="Page Numbers (Bottom of Page)"/>
        <w:docPartUnique/>
      </w:docPartObj>
    </w:sdtPr>
    <w:sdtEndPr/>
    <w:sdtContent>
      <w:p w14:paraId="060A7FBB" w14:textId="77777777" w:rsidR="00751081" w:rsidRDefault="007D360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5BD2EA45" w14:textId="77777777" w:rsidR="00751081" w:rsidRDefault="00751081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526ACF" w14:textId="77777777" w:rsidR="00304FD9" w:rsidRDefault="00304FD9">
      <w:pPr>
        <w:spacing w:after="0" w:line="240" w:lineRule="auto"/>
      </w:pPr>
      <w:r>
        <w:separator/>
      </w:r>
    </w:p>
  </w:footnote>
  <w:footnote w:type="continuationSeparator" w:id="0">
    <w:p w14:paraId="1D853D92" w14:textId="77777777" w:rsidR="00304FD9" w:rsidRDefault="00304F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64104A"/>
    <w:multiLevelType w:val="hybridMultilevel"/>
    <w:tmpl w:val="4AA4E060"/>
    <w:lvl w:ilvl="0" w:tplc="387659BC">
      <w:start w:val="1"/>
      <w:numFmt w:val="upperRoman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EF20601"/>
    <w:multiLevelType w:val="hybridMultilevel"/>
    <w:tmpl w:val="F00480C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2C0780E"/>
    <w:multiLevelType w:val="hybridMultilevel"/>
    <w:tmpl w:val="0FA0E67C"/>
    <w:lvl w:ilvl="0" w:tplc="4D28752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9354DD3"/>
    <w:multiLevelType w:val="hybridMultilevel"/>
    <w:tmpl w:val="B264397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9D07AA4"/>
    <w:multiLevelType w:val="hybridMultilevel"/>
    <w:tmpl w:val="873A66A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3E54118"/>
    <w:multiLevelType w:val="hybridMultilevel"/>
    <w:tmpl w:val="E3FA756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A471405"/>
    <w:multiLevelType w:val="multilevel"/>
    <w:tmpl w:val="085850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1E61247"/>
    <w:multiLevelType w:val="hybridMultilevel"/>
    <w:tmpl w:val="3E580D20"/>
    <w:lvl w:ilvl="0" w:tplc="49440376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4FB33B2"/>
    <w:multiLevelType w:val="hybridMultilevel"/>
    <w:tmpl w:val="80886508"/>
    <w:lvl w:ilvl="0" w:tplc="0DE453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9" w15:restartNumberingAfterBreak="0">
    <w:nsid w:val="38706DFB"/>
    <w:multiLevelType w:val="hybridMultilevel"/>
    <w:tmpl w:val="ED100076"/>
    <w:lvl w:ilvl="0" w:tplc="FB5A66E2">
      <w:start w:val="1"/>
      <w:numFmt w:val="decimal"/>
      <w:pStyle w:val="2"/>
      <w:lvlText w:val="%1."/>
      <w:lvlJc w:val="left"/>
      <w:pPr>
        <w:ind w:left="562" w:hanging="420"/>
      </w:pPr>
      <w:rPr>
        <w:rFonts w:hint="eastAsia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625" w:hanging="420"/>
      </w:pPr>
    </w:lvl>
    <w:lvl w:ilvl="2" w:tplc="04090011" w:tentative="1">
      <w:start w:val="1"/>
      <w:numFmt w:val="decimalEnclosedCircle"/>
      <w:lvlText w:val="%3"/>
      <w:lvlJc w:val="left"/>
      <w:pPr>
        <w:ind w:left="1045" w:hanging="420"/>
      </w:pPr>
    </w:lvl>
    <w:lvl w:ilvl="3" w:tplc="0409000F" w:tentative="1">
      <w:start w:val="1"/>
      <w:numFmt w:val="decimal"/>
      <w:lvlText w:val="%4."/>
      <w:lvlJc w:val="left"/>
      <w:pPr>
        <w:ind w:left="1465" w:hanging="420"/>
      </w:pPr>
    </w:lvl>
    <w:lvl w:ilvl="4" w:tplc="04090017" w:tentative="1">
      <w:start w:val="1"/>
      <w:numFmt w:val="aiueoFullWidth"/>
      <w:lvlText w:val="(%5)"/>
      <w:lvlJc w:val="left"/>
      <w:pPr>
        <w:ind w:left="1885" w:hanging="420"/>
      </w:pPr>
    </w:lvl>
    <w:lvl w:ilvl="5" w:tplc="04090011" w:tentative="1">
      <w:start w:val="1"/>
      <w:numFmt w:val="decimalEnclosedCircle"/>
      <w:lvlText w:val="%6"/>
      <w:lvlJc w:val="left"/>
      <w:pPr>
        <w:ind w:left="2305" w:hanging="420"/>
      </w:pPr>
    </w:lvl>
    <w:lvl w:ilvl="6" w:tplc="0409000F" w:tentative="1">
      <w:start w:val="1"/>
      <w:numFmt w:val="decimal"/>
      <w:lvlText w:val="%7."/>
      <w:lvlJc w:val="left"/>
      <w:pPr>
        <w:ind w:left="2725" w:hanging="420"/>
      </w:pPr>
    </w:lvl>
    <w:lvl w:ilvl="7" w:tplc="04090017" w:tentative="1">
      <w:start w:val="1"/>
      <w:numFmt w:val="aiueoFullWidth"/>
      <w:lvlText w:val="(%8)"/>
      <w:lvlJc w:val="left"/>
      <w:pPr>
        <w:ind w:left="3145" w:hanging="420"/>
      </w:pPr>
    </w:lvl>
    <w:lvl w:ilvl="8" w:tplc="04090011" w:tentative="1">
      <w:start w:val="1"/>
      <w:numFmt w:val="decimalEnclosedCircle"/>
      <w:lvlText w:val="%9"/>
      <w:lvlJc w:val="left"/>
      <w:pPr>
        <w:ind w:left="3565" w:hanging="420"/>
      </w:pPr>
    </w:lvl>
  </w:abstractNum>
  <w:abstractNum w:abstractNumId="10" w15:restartNumberingAfterBreak="0">
    <w:nsid w:val="39AC3F04"/>
    <w:multiLevelType w:val="hybridMultilevel"/>
    <w:tmpl w:val="6D70D88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E1A3E1C"/>
    <w:multiLevelType w:val="hybridMultilevel"/>
    <w:tmpl w:val="F57AEBAA"/>
    <w:lvl w:ilvl="0" w:tplc="CE0AE5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2" w15:restartNumberingAfterBreak="0">
    <w:nsid w:val="4319556B"/>
    <w:multiLevelType w:val="hybridMultilevel"/>
    <w:tmpl w:val="F6F0173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4A36993"/>
    <w:multiLevelType w:val="hybridMultilevel"/>
    <w:tmpl w:val="13E48EA6"/>
    <w:lvl w:ilvl="0" w:tplc="0409000F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BEDA46F2">
      <w:start w:val="1"/>
      <w:numFmt w:val="decimalEnclosedCircle"/>
      <w:lvlText w:val="%2"/>
      <w:lvlJc w:val="left"/>
      <w:pPr>
        <w:ind w:left="15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4" w15:restartNumberingAfterBreak="0">
    <w:nsid w:val="51C94B37"/>
    <w:multiLevelType w:val="hybridMultilevel"/>
    <w:tmpl w:val="81AE612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91843B8"/>
    <w:multiLevelType w:val="hybridMultilevel"/>
    <w:tmpl w:val="68C6D88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610370A8"/>
    <w:multiLevelType w:val="hybridMultilevel"/>
    <w:tmpl w:val="E9E0D994"/>
    <w:lvl w:ilvl="0" w:tplc="61927F6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61C9217A"/>
    <w:multiLevelType w:val="hybridMultilevel"/>
    <w:tmpl w:val="DE8C2736"/>
    <w:lvl w:ilvl="0" w:tplc="F5401F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63DB0CBA"/>
    <w:multiLevelType w:val="hybridMultilevel"/>
    <w:tmpl w:val="F798391E"/>
    <w:lvl w:ilvl="0" w:tplc="387659B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783F6BC5"/>
    <w:multiLevelType w:val="hybridMultilevel"/>
    <w:tmpl w:val="AD1C7864"/>
    <w:lvl w:ilvl="0" w:tplc="0302B69A">
      <w:start w:val="1"/>
      <w:numFmt w:val="decimal"/>
      <w:lvlText w:val="%1."/>
      <w:lvlJc w:val="left"/>
      <w:pPr>
        <w:ind w:left="421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901" w:hanging="420"/>
      </w:pPr>
    </w:lvl>
    <w:lvl w:ilvl="2" w:tplc="04090011" w:tentative="1">
      <w:start w:val="1"/>
      <w:numFmt w:val="decimalEnclosedCircle"/>
      <w:lvlText w:val="%3"/>
      <w:lvlJc w:val="left"/>
      <w:pPr>
        <w:ind w:left="1321" w:hanging="420"/>
      </w:pPr>
    </w:lvl>
    <w:lvl w:ilvl="3" w:tplc="0409000F" w:tentative="1">
      <w:start w:val="1"/>
      <w:numFmt w:val="decimal"/>
      <w:lvlText w:val="%4."/>
      <w:lvlJc w:val="left"/>
      <w:pPr>
        <w:ind w:left="1741" w:hanging="420"/>
      </w:pPr>
    </w:lvl>
    <w:lvl w:ilvl="4" w:tplc="04090017" w:tentative="1">
      <w:start w:val="1"/>
      <w:numFmt w:val="aiueoFullWidth"/>
      <w:lvlText w:val="(%5)"/>
      <w:lvlJc w:val="left"/>
      <w:pPr>
        <w:ind w:left="2161" w:hanging="420"/>
      </w:pPr>
    </w:lvl>
    <w:lvl w:ilvl="5" w:tplc="04090011" w:tentative="1">
      <w:start w:val="1"/>
      <w:numFmt w:val="decimalEnclosedCircle"/>
      <w:lvlText w:val="%6"/>
      <w:lvlJc w:val="left"/>
      <w:pPr>
        <w:ind w:left="2581" w:hanging="420"/>
      </w:pPr>
    </w:lvl>
    <w:lvl w:ilvl="6" w:tplc="0409000F" w:tentative="1">
      <w:start w:val="1"/>
      <w:numFmt w:val="decimal"/>
      <w:lvlText w:val="%7."/>
      <w:lvlJc w:val="left"/>
      <w:pPr>
        <w:ind w:left="3001" w:hanging="420"/>
      </w:pPr>
    </w:lvl>
    <w:lvl w:ilvl="7" w:tplc="04090017" w:tentative="1">
      <w:start w:val="1"/>
      <w:numFmt w:val="aiueoFullWidth"/>
      <w:lvlText w:val="(%8)"/>
      <w:lvlJc w:val="left"/>
      <w:pPr>
        <w:ind w:left="3421" w:hanging="420"/>
      </w:pPr>
    </w:lvl>
    <w:lvl w:ilvl="8" w:tplc="04090011" w:tentative="1">
      <w:start w:val="1"/>
      <w:numFmt w:val="decimalEnclosedCircle"/>
      <w:lvlText w:val="%9"/>
      <w:lvlJc w:val="left"/>
      <w:pPr>
        <w:ind w:left="3841" w:hanging="420"/>
      </w:pPr>
    </w:lvl>
  </w:abstractNum>
  <w:num w:numId="1">
    <w:abstractNumId w:val="16"/>
  </w:num>
  <w:num w:numId="2">
    <w:abstractNumId w:val="18"/>
  </w:num>
  <w:num w:numId="3">
    <w:abstractNumId w:val="11"/>
  </w:num>
  <w:num w:numId="4">
    <w:abstractNumId w:val="17"/>
  </w:num>
  <w:num w:numId="5">
    <w:abstractNumId w:val="7"/>
  </w:num>
  <w:num w:numId="6">
    <w:abstractNumId w:val="14"/>
  </w:num>
  <w:num w:numId="7">
    <w:abstractNumId w:val="15"/>
  </w:num>
  <w:num w:numId="8">
    <w:abstractNumId w:val="13"/>
  </w:num>
  <w:num w:numId="9">
    <w:abstractNumId w:val="2"/>
  </w:num>
  <w:num w:numId="10">
    <w:abstractNumId w:val="0"/>
  </w:num>
  <w:num w:numId="11">
    <w:abstractNumId w:val="5"/>
  </w:num>
  <w:num w:numId="12">
    <w:abstractNumId w:val="4"/>
  </w:num>
  <w:num w:numId="13">
    <w:abstractNumId w:val="10"/>
  </w:num>
  <w:num w:numId="14">
    <w:abstractNumId w:val="12"/>
  </w:num>
  <w:num w:numId="15">
    <w:abstractNumId w:val="3"/>
  </w:num>
  <w:num w:numId="16">
    <w:abstractNumId w:val="9"/>
  </w:num>
  <w:num w:numId="17">
    <w:abstractNumId w:val="9"/>
    <w:lvlOverride w:ilvl="0">
      <w:startOverride w:val="1"/>
    </w:lvlOverride>
  </w:num>
  <w:num w:numId="18">
    <w:abstractNumId w:val="8"/>
  </w:num>
  <w:num w:numId="19">
    <w:abstractNumId w:val="19"/>
  </w:num>
  <w:num w:numId="20">
    <w:abstractNumId w:val="1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hyphenationZone w:val="425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081"/>
    <w:rsid w:val="000713A5"/>
    <w:rsid w:val="000722A1"/>
    <w:rsid w:val="00101AB2"/>
    <w:rsid w:val="0011735C"/>
    <w:rsid w:val="002C7A49"/>
    <w:rsid w:val="00304FD9"/>
    <w:rsid w:val="003E0869"/>
    <w:rsid w:val="005F06A5"/>
    <w:rsid w:val="00634774"/>
    <w:rsid w:val="006D248C"/>
    <w:rsid w:val="00751081"/>
    <w:rsid w:val="007D3609"/>
    <w:rsid w:val="0081039D"/>
    <w:rsid w:val="008132DB"/>
    <w:rsid w:val="00816C23"/>
    <w:rsid w:val="00912CDD"/>
    <w:rsid w:val="00D51A98"/>
    <w:rsid w:val="00EA5C56"/>
    <w:rsid w:val="00FE2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70BBB14"/>
  <w15:docId w15:val="{55195400-2841-49EF-B09A-7642B67EB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pPr>
      <w:jc w:val="center"/>
      <w:outlineLvl w:val="0"/>
    </w:pPr>
    <w:rPr>
      <w:b/>
    </w:rPr>
  </w:style>
  <w:style w:type="paragraph" w:styleId="20">
    <w:name w:val="heading 2"/>
    <w:basedOn w:val="a0"/>
    <w:next w:val="a"/>
    <w:link w:val="21"/>
    <w:uiPriority w:val="9"/>
    <w:unhideWhenUsed/>
    <w:qFormat/>
    <w:pPr>
      <w:ind w:leftChars="0" w:left="0"/>
      <w:outlineLvl w:val="1"/>
    </w:pPr>
    <w:rPr>
      <w:rFonts w:cs="Times New Roman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line number"/>
    <w:basedOn w:val="a1"/>
    <w:uiPriority w:val="99"/>
    <w:semiHidden/>
    <w:unhideWhenUsed/>
  </w:style>
  <w:style w:type="paragraph" w:styleId="a0">
    <w:name w:val="List Paragraph"/>
    <w:basedOn w:val="a"/>
    <w:uiPriority w:val="34"/>
    <w:qFormat/>
    <w:pPr>
      <w:ind w:leftChars="400" w:left="840"/>
    </w:pPr>
  </w:style>
  <w:style w:type="paragraph" w:styleId="a5">
    <w:name w:val="head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1"/>
    <w:link w:val="a5"/>
    <w:uiPriority w:val="99"/>
  </w:style>
  <w:style w:type="paragraph" w:styleId="a7">
    <w:name w:val="footer"/>
    <w:basedOn w:val="a"/>
    <w:link w:val="a8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1"/>
    <w:link w:val="a7"/>
    <w:uiPriority w:val="99"/>
  </w:style>
  <w:style w:type="character" w:styleId="a9">
    <w:name w:val="annotation reference"/>
    <w:basedOn w:val="a1"/>
    <w:uiPriority w:val="99"/>
    <w:semiHidden/>
    <w:unhideWhenUsed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pPr>
      <w:jc w:val="left"/>
    </w:pPr>
  </w:style>
  <w:style w:type="character" w:customStyle="1" w:styleId="ab">
    <w:name w:val="コメント文字列 (文字)"/>
    <w:basedOn w:val="a1"/>
    <w:link w:val="aa"/>
    <w:uiPriority w:val="99"/>
    <w:semiHidden/>
  </w:style>
  <w:style w:type="paragraph" w:styleId="ac">
    <w:name w:val="annotation subject"/>
    <w:basedOn w:val="aa"/>
    <w:next w:val="aa"/>
    <w:link w:val="ad"/>
    <w:uiPriority w:val="99"/>
    <w:semiHidden/>
    <w:unhideWhenUsed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1"/>
    <w:link w:val="ae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見出し 1 (文字)"/>
    <w:basedOn w:val="a1"/>
    <w:link w:val="1"/>
    <w:uiPriority w:val="9"/>
    <w:rPr>
      <w:b/>
    </w:rPr>
  </w:style>
  <w:style w:type="paragraph" w:styleId="11">
    <w:name w:val="toc 1"/>
    <w:basedOn w:val="a"/>
    <w:next w:val="a"/>
    <w:autoRedefine/>
    <w:uiPriority w:val="39"/>
    <w:unhideWhenUsed/>
    <w:pPr>
      <w:spacing w:line="240" w:lineRule="auto"/>
    </w:pPr>
    <w:rPr>
      <w:rFonts w:eastAsia="Times New Roman"/>
      <w:sz w:val="24"/>
    </w:rPr>
  </w:style>
  <w:style w:type="character" w:customStyle="1" w:styleId="21">
    <w:name w:val="見出し 2 (文字)"/>
    <w:basedOn w:val="a1"/>
    <w:link w:val="20"/>
    <w:uiPriority w:val="9"/>
    <w:rPr>
      <w:rFonts w:ascii="Times New Roman" w:hAnsi="Times New Roman" w:cs="Times New Roman"/>
      <w:b/>
      <w:sz w:val="24"/>
    </w:rPr>
  </w:style>
  <w:style w:type="paragraph" w:styleId="2">
    <w:name w:val="toc 2"/>
    <w:basedOn w:val="a"/>
    <w:next w:val="a"/>
    <w:autoRedefine/>
    <w:uiPriority w:val="39"/>
    <w:unhideWhenUsed/>
    <w:pPr>
      <w:numPr>
        <w:numId w:val="16"/>
      </w:numPr>
      <w:tabs>
        <w:tab w:val="right" w:leader="dot" w:pos="8493"/>
      </w:tabs>
      <w:spacing w:line="240" w:lineRule="auto"/>
    </w:pPr>
    <w:rPr>
      <w:sz w:val="24"/>
    </w:rPr>
  </w:style>
  <w:style w:type="character" w:styleId="af0">
    <w:name w:val="Hyperlink"/>
    <w:basedOn w:val="a1"/>
    <w:uiPriority w:val="99"/>
    <w:unhideWhenUsed/>
    <w:rPr>
      <w:color w:val="0563C1" w:themeColor="hyperlink"/>
      <w:u w:val="single"/>
    </w:rPr>
  </w:style>
  <w:style w:type="paragraph" w:styleId="Web">
    <w:name w:val="Normal (Web)"/>
    <w:basedOn w:val="a"/>
    <w:uiPriority w:val="99"/>
    <w:semiHidden/>
    <w:unhideWhenUsed/>
    <w:pPr>
      <w:widowControl/>
      <w:spacing w:before="100" w:beforeAutospacing="1" w:after="100" w:afterAutospacing="1" w:line="240" w:lineRule="auto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f1">
    <w:name w:val="TOC Heading"/>
    <w:basedOn w:val="1"/>
    <w:next w:val="a"/>
    <w:uiPriority w:val="39"/>
    <w:unhideWhenUsed/>
    <w:qFormat/>
    <w:pPr>
      <w:keepNext/>
      <w:keepLines/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kern w:val="0"/>
      <w:sz w:val="32"/>
      <w:szCs w:val="32"/>
    </w:rPr>
  </w:style>
  <w:style w:type="paragraph" w:styleId="3">
    <w:name w:val="toc 3"/>
    <w:basedOn w:val="a"/>
    <w:next w:val="a"/>
    <w:autoRedefine/>
    <w:uiPriority w:val="39"/>
    <w:semiHidden/>
    <w:unhideWhenUsed/>
    <w:pPr>
      <w:ind w:leftChars="200" w:left="420"/>
    </w:pPr>
    <w:rPr>
      <w:sz w:val="24"/>
    </w:rPr>
  </w:style>
  <w:style w:type="paragraph" w:styleId="af2">
    <w:name w:val="Plain Text"/>
    <w:basedOn w:val="a"/>
    <w:link w:val="af3"/>
    <w:uiPriority w:val="99"/>
    <w:unhideWhenUsed/>
    <w:pPr>
      <w:spacing w:after="0" w:line="240" w:lineRule="auto"/>
    </w:pPr>
    <w:rPr>
      <w:rFonts w:ascii="ＭＳ 明朝" w:eastAsia="ＭＳ 明朝" w:hAnsi="Courier New" w:cs="Times New Roman"/>
      <w:kern w:val="0"/>
      <w:sz w:val="20"/>
      <w:lang w:val="x-none" w:eastAsia="x-none"/>
    </w:rPr>
  </w:style>
  <w:style w:type="character" w:customStyle="1" w:styleId="af3">
    <w:name w:val="書式なし (文字)"/>
    <w:basedOn w:val="a1"/>
    <w:link w:val="af2"/>
    <w:uiPriority w:val="99"/>
    <w:rPr>
      <w:rFonts w:ascii="ＭＳ 明朝" w:eastAsia="ＭＳ 明朝" w:hAnsi="Courier New" w:cs="Times New Roman"/>
      <w:kern w:val="0"/>
      <w:sz w:val="20"/>
      <w:lang w:val="x-none" w:eastAsia="x-none"/>
    </w:rPr>
  </w:style>
  <w:style w:type="character" w:customStyle="1" w:styleId="12">
    <w:name w:val="未解決のメンション1"/>
    <w:basedOn w:val="a1"/>
    <w:uiPriority w:val="99"/>
    <w:semiHidden/>
    <w:unhideWhenUsed/>
    <w:rPr>
      <w:color w:val="605E5C"/>
      <w:shd w:val="clear" w:color="auto" w:fill="E1DFDD"/>
    </w:rPr>
  </w:style>
  <w:style w:type="paragraph" w:styleId="af4">
    <w:name w:val="Revision"/>
    <w:hidden/>
    <w:uiPriority w:val="99"/>
    <w:semiHidden/>
    <w:pPr>
      <w:spacing w:after="0" w:line="240" w:lineRule="auto"/>
    </w:pPr>
  </w:style>
  <w:style w:type="character" w:styleId="af5">
    <w:name w:val="Strong"/>
    <w:basedOn w:val="a1"/>
    <w:uiPriority w:val="22"/>
    <w:qFormat/>
    <w:rPr>
      <w:b/>
      <w:bCs/>
    </w:rPr>
  </w:style>
  <w:style w:type="table" w:customStyle="1" w:styleId="TableGrid">
    <w:name w:val="TableGrid"/>
    <w:pPr>
      <w:spacing w:after="0" w:line="240" w:lineRule="auto"/>
    </w:pPr>
    <w:rPr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6">
    <w:name w:val="Unresolved Mention"/>
    <w:basedOn w:val="a1"/>
    <w:uiPriority w:val="99"/>
    <w:semiHidden/>
    <w:unhideWhenUsed/>
    <w:rPr>
      <w:color w:val="605E5C"/>
      <w:shd w:val="clear" w:color="auto" w:fill="E1DFDD"/>
    </w:rPr>
  </w:style>
  <w:style w:type="character" w:styleId="af7">
    <w:name w:val="FollowedHyperlink"/>
    <w:basedOn w:val="a1"/>
    <w:uiPriority w:val="99"/>
    <w:semiHidden/>
    <w:unhideWhenUsed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image" Target="media/image5.tif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A6037A-7A6C-5D4F-A671-084F865FC08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C9AEC1C-4DBC-468D-A47E-C8793C40E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853</Words>
  <Characters>4634</Characters>
  <Application>Microsoft Office Word</Application>
  <DocSecurity>0</DocSecurity>
  <Lines>38</Lines>
  <Paragraphs>10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友香里 板倉</dc:creator>
  <cp:lastModifiedBy>友香里 板倉</cp:lastModifiedBy>
  <cp:revision>3</cp:revision>
  <cp:lastPrinted>2019-10-11T07:43:00Z</cp:lastPrinted>
  <dcterms:created xsi:type="dcterms:W3CDTF">2019-10-26T06:13:00Z</dcterms:created>
  <dcterms:modified xsi:type="dcterms:W3CDTF">2019-11-05T03:49:00Z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1907a38a-bd86-3f59-8bc9-f10cd3f19350</vt:lpwstr>
  </property>
  <property fmtid="{D5CDD505-2E9C-101B-9397-08002B2CF9AE}" pid="24" name="Mendeley Citation Style_1">
    <vt:lpwstr>http://www.zotero.org/styles/vancouver</vt:lpwstr>
  </property>
  <property fmtid="{D5CDD505-2E9C-101B-9397-08002B2CF9AE}" pid="25" name="UniqueFileID">
    <vt:lpwstr>aVpItpv3hCNq</vt:lpwstr>
  </property>
</Properties>
</file>