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5FECFA4" w14:textId="49471CBB" w:rsidR="00E40D4F" w:rsidRPr="004930C2" w:rsidRDefault="00E40D4F" w:rsidP="00330D39">
      <w:pPr>
        <w:spacing w:line="480" w:lineRule="auto"/>
        <w:rPr>
          <w:b/>
          <w:color w:val="000000" w:themeColor="text1"/>
          <w:sz w:val="20"/>
        </w:rPr>
      </w:pPr>
      <w:r w:rsidRPr="004930C2">
        <w:rPr>
          <w:b/>
          <w:color w:val="000000" w:themeColor="text1"/>
          <w:sz w:val="20"/>
        </w:rPr>
        <w:t>Title</w:t>
      </w:r>
    </w:p>
    <w:p w14:paraId="1B7075B6" w14:textId="46A87AAF" w:rsidR="00E40D4F" w:rsidRPr="004930C2" w:rsidRDefault="00E40D4F" w:rsidP="00330D39">
      <w:pPr>
        <w:spacing w:line="480" w:lineRule="auto"/>
        <w:rPr>
          <w:color w:val="000000" w:themeColor="text1"/>
          <w:sz w:val="20"/>
        </w:rPr>
      </w:pPr>
      <w:r w:rsidRPr="004930C2">
        <w:rPr>
          <w:color w:val="000000" w:themeColor="text1"/>
          <w:sz w:val="20"/>
        </w:rPr>
        <w:t xml:space="preserve">Effects of </w:t>
      </w:r>
      <w:r w:rsidR="002C1B1D" w:rsidRPr="004930C2">
        <w:rPr>
          <w:color w:val="000000" w:themeColor="text1"/>
          <w:sz w:val="20"/>
        </w:rPr>
        <w:t xml:space="preserve">different feedstock </w:t>
      </w:r>
      <w:r w:rsidR="002C1B1D" w:rsidRPr="00EC7186">
        <w:rPr>
          <w:rFonts w:eastAsiaTheme="majorEastAsia"/>
          <w:color w:val="000000" w:themeColor="text1"/>
          <w:sz w:val="20"/>
        </w:rPr>
        <w:t>type</w:t>
      </w:r>
      <w:r w:rsidR="002C1B1D" w:rsidRPr="004930C2">
        <w:rPr>
          <w:color w:val="000000" w:themeColor="text1"/>
          <w:sz w:val="20"/>
        </w:rPr>
        <w:t xml:space="preserve"> and carbonization temperature of </w:t>
      </w:r>
      <w:r w:rsidRPr="004930C2">
        <w:rPr>
          <w:color w:val="000000" w:themeColor="text1"/>
          <w:sz w:val="20"/>
        </w:rPr>
        <w:t>biochar</w:t>
      </w:r>
      <w:r w:rsidR="009D119D" w:rsidRPr="004930C2">
        <w:rPr>
          <w:color w:val="000000" w:themeColor="text1"/>
          <w:sz w:val="20"/>
        </w:rPr>
        <w:t xml:space="preserve"> </w:t>
      </w:r>
      <w:r w:rsidR="002C1B1D" w:rsidRPr="004930C2">
        <w:rPr>
          <w:color w:val="000000" w:themeColor="text1"/>
          <w:sz w:val="20"/>
        </w:rPr>
        <w:t xml:space="preserve">on oat growth and nitrogen uptake </w:t>
      </w:r>
      <w:r w:rsidR="00676835" w:rsidRPr="004930C2">
        <w:rPr>
          <w:color w:val="000000" w:themeColor="text1"/>
          <w:sz w:val="20"/>
        </w:rPr>
        <w:t>in</w:t>
      </w:r>
      <w:r w:rsidR="002C1B1D" w:rsidRPr="004930C2">
        <w:rPr>
          <w:color w:val="000000" w:themeColor="text1"/>
          <w:sz w:val="20"/>
        </w:rPr>
        <w:t xml:space="preserve"> </w:t>
      </w:r>
      <w:proofErr w:type="spellStart"/>
      <w:r w:rsidR="00B22C7A" w:rsidRPr="004930C2">
        <w:rPr>
          <w:color w:val="000000" w:themeColor="text1"/>
          <w:sz w:val="20"/>
        </w:rPr>
        <w:t>coapplication</w:t>
      </w:r>
      <w:proofErr w:type="spellEnd"/>
      <w:r w:rsidR="002C1B1D" w:rsidRPr="004930C2">
        <w:rPr>
          <w:color w:val="000000" w:themeColor="text1"/>
          <w:sz w:val="20"/>
        </w:rPr>
        <w:t xml:space="preserve"> with compost</w:t>
      </w:r>
    </w:p>
    <w:p w14:paraId="35827264" w14:textId="77777777" w:rsidR="009454AB" w:rsidRPr="004930C2" w:rsidRDefault="009454AB" w:rsidP="00330D39">
      <w:pPr>
        <w:spacing w:line="480" w:lineRule="auto"/>
        <w:rPr>
          <w:color w:val="000000" w:themeColor="text1"/>
          <w:sz w:val="20"/>
        </w:rPr>
      </w:pPr>
    </w:p>
    <w:p w14:paraId="45BEBA35" w14:textId="77777777" w:rsidR="00E40D4F" w:rsidRPr="004930C2" w:rsidRDefault="00E40D4F" w:rsidP="00330D39">
      <w:pPr>
        <w:spacing w:line="480" w:lineRule="auto"/>
        <w:rPr>
          <w:b/>
          <w:color w:val="000000" w:themeColor="text1"/>
          <w:sz w:val="20"/>
        </w:rPr>
      </w:pPr>
      <w:r w:rsidRPr="004930C2">
        <w:rPr>
          <w:b/>
          <w:color w:val="000000" w:themeColor="text1"/>
          <w:sz w:val="20"/>
        </w:rPr>
        <w:t>Author names and affiliations</w:t>
      </w:r>
    </w:p>
    <w:p w14:paraId="40FA621D" w14:textId="7B345740" w:rsidR="00E40D4F" w:rsidRPr="004930C2" w:rsidRDefault="00E40D4F" w:rsidP="00330D39">
      <w:pPr>
        <w:spacing w:line="480" w:lineRule="auto"/>
        <w:rPr>
          <w:color w:val="000000" w:themeColor="text1"/>
          <w:sz w:val="20"/>
        </w:rPr>
      </w:pPr>
      <w:proofErr w:type="spellStart"/>
      <w:r w:rsidRPr="004930C2">
        <w:rPr>
          <w:color w:val="000000" w:themeColor="text1"/>
          <w:sz w:val="20"/>
        </w:rPr>
        <w:t>Shoki</w:t>
      </w:r>
      <w:proofErr w:type="spellEnd"/>
      <w:r w:rsidRPr="004930C2">
        <w:rPr>
          <w:color w:val="000000" w:themeColor="text1"/>
          <w:sz w:val="20"/>
        </w:rPr>
        <w:t xml:space="preserve"> Ochiai </w:t>
      </w:r>
      <w:r w:rsidRPr="004930C2">
        <w:rPr>
          <w:color w:val="000000" w:themeColor="text1"/>
          <w:sz w:val="20"/>
          <w:vertAlign w:val="superscript"/>
        </w:rPr>
        <w:t>1</w:t>
      </w:r>
      <w:r w:rsidRPr="004930C2">
        <w:rPr>
          <w:color w:val="000000" w:themeColor="text1"/>
          <w:sz w:val="20"/>
        </w:rPr>
        <w:t xml:space="preserve">, Kazunori Iwabuchi </w:t>
      </w:r>
      <w:r w:rsidRPr="004930C2">
        <w:rPr>
          <w:color w:val="000000" w:themeColor="text1"/>
          <w:sz w:val="20"/>
          <w:vertAlign w:val="superscript"/>
        </w:rPr>
        <w:t>2*</w:t>
      </w:r>
      <w:r w:rsidRPr="004930C2">
        <w:rPr>
          <w:color w:val="000000" w:themeColor="text1"/>
          <w:sz w:val="20"/>
        </w:rPr>
        <w:t xml:space="preserve">, </w:t>
      </w:r>
      <w:proofErr w:type="spellStart"/>
      <w:r w:rsidRPr="004930C2">
        <w:rPr>
          <w:color w:val="000000" w:themeColor="text1"/>
          <w:sz w:val="20"/>
        </w:rPr>
        <w:t>Takanori</w:t>
      </w:r>
      <w:proofErr w:type="spellEnd"/>
      <w:r w:rsidRPr="004930C2">
        <w:rPr>
          <w:color w:val="000000" w:themeColor="text1"/>
          <w:sz w:val="20"/>
        </w:rPr>
        <w:t xml:space="preserve"> Itoh </w:t>
      </w:r>
      <w:r w:rsidRPr="004930C2">
        <w:rPr>
          <w:color w:val="000000" w:themeColor="text1"/>
          <w:sz w:val="20"/>
          <w:vertAlign w:val="superscript"/>
        </w:rPr>
        <w:t>2</w:t>
      </w:r>
      <w:r w:rsidRPr="004930C2">
        <w:rPr>
          <w:color w:val="000000" w:themeColor="text1"/>
          <w:sz w:val="20"/>
        </w:rPr>
        <w:t xml:space="preserve">, Toshihiro Watanabe </w:t>
      </w:r>
      <w:r w:rsidRPr="004930C2">
        <w:rPr>
          <w:color w:val="000000" w:themeColor="text1"/>
          <w:sz w:val="20"/>
          <w:vertAlign w:val="superscript"/>
        </w:rPr>
        <w:t>2</w:t>
      </w:r>
      <w:r w:rsidR="00C63F43" w:rsidRPr="004930C2">
        <w:rPr>
          <w:color w:val="000000" w:themeColor="text1"/>
          <w:sz w:val="20"/>
        </w:rPr>
        <w:t>,</w:t>
      </w:r>
      <w:r w:rsidR="00C565B1" w:rsidRPr="004930C2">
        <w:rPr>
          <w:color w:val="000000" w:themeColor="text1"/>
          <w:sz w:val="20"/>
        </w:rPr>
        <w:t xml:space="preserve"> </w:t>
      </w:r>
      <w:r w:rsidR="00BC4ED9" w:rsidRPr="004930C2">
        <w:rPr>
          <w:color w:val="000000" w:themeColor="text1"/>
          <w:sz w:val="20"/>
        </w:rPr>
        <w:t>Mitsuru Osaki</w:t>
      </w:r>
      <w:r w:rsidR="00C63F43" w:rsidRPr="004930C2">
        <w:rPr>
          <w:color w:val="000000" w:themeColor="text1"/>
          <w:sz w:val="20"/>
        </w:rPr>
        <w:t xml:space="preserve"> </w:t>
      </w:r>
      <w:r w:rsidR="00BC4ED9" w:rsidRPr="004930C2">
        <w:rPr>
          <w:color w:val="000000" w:themeColor="text1"/>
          <w:sz w:val="20"/>
          <w:vertAlign w:val="superscript"/>
        </w:rPr>
        <w:t>2</w:t>
      </w:r>
      <w:r w:rsidR="00BC4ED9" w:rsidRPr="004930C2">
        <w:rPr>
          <w:color w:val="000000" w:themeColor="text1"/>
          <w:sz w:val="20"/>
        </w:rPr>
        <w:t xml:space="preserve">, </w:t>
      </w:r>
      <w:proofErr w:type="spellStart"/>
      <w:r w:rsidR="00C63F43" w:rsidRPr="004930C2">
        <w:rPr>
          <w:color w:val="000000" w:themeColor="text1"/>
          <w:sz w:val="20"/>
        </w:rPr>
        <w:t>Kat</w:t>
      </w:r>
      <w:r w:rsidR="00BC4ED9" w:rsidRPr="004930C2">
        <w:rPr>
          <w:color w:val="000000" w:themeColor="text1"/>
          <w:sz w:val="20"/>
        </w:rPr>
        <w:t>s</w:t>
      </w:r>
      <w:r w:rsidR="00C63F43" w:rsidRPr="004930C2">
        <w:rPr>
          <w:color w:val="000000" w:themeColor="text1"/>
          <w:sz w:val="20"/>
        </w:rPr>
        <w:t>umori</w:t>
      </w:r>
      <w:proofErr w:type="spellEnd"/>
      <w:r w:rsidR="00C63F43" w:rsidRPr="004930C2">
        <w:rPr>
          <w:color w:val="000000" w:themeColor="text1"/>
          <w:sz w:val="20"/>
        </w:rPr>
        <w:t xml:space="preserve"> </w:t>
      </w:r>
      <w:proofErr w:type="spellStart"/>
      <w:r w:rsidR="00C63F43" w:rsidRPr="004930C2">
        <w:rPr>
          <w:color w:val="000000" w:themeColor="text1"/>
          <w:sz w:val="20"/>
        </w:rPr>
        <w:t>Taniguro</w:t>
      </w:r>
      <w:proofErr w:type="spellEnd"/>
      <w:r w:rsidR="00C63F43" w:rsidRPr="004930C2">
        <w:rPr>
          <w:color w:val="000000" w:themeColor="text1"/>
          <w:sz w:val="20"/>
        </w:rPr>
        <w:t xml:space="preserve"> </w:t>
      </w:r>
      <w:r w:rsidR="00C63F43" w:rsidRPr="004930C2">
        <w:rPr>
          <w:color w:val="000000" w:themeColor="text1"/>
          <w:sz w:val="20"/>
          <w:vertAlign w:val="superscript"/>
        </w:rPr>
        <w:t>3</w:t>
      </w:r>
    </w:p>
    <w:p w14:paraId="69EC8271" w14:textId="315517F2" w:rsidR="0060148C" w:rsidRPr="004930C2" w:rsidRDefault="0060148C" w:rsidP="00330D39">
      <w:pPr>
        <w:spacing w:line="480" w:lineRule="auto"/>
        <w:rPr>
          <w:color w:val="000000" w:themeColor="text1"/>
          <w:sz w:val="20"/>
        </w:rPr>
      </w:pPr>
    </w:p>
    <w:p w14:paraId="546F2081" w14:textId="37ABB7FA" w:rsidR="00DA4A4E" w:rsidRPr="004930C2" w:rsidRDefault="002B12B2" w:rsidP="00330D39">
      <w:pPr>
        <w:spacing w:line="480" w:lineRule="auto"/>
        <w:rPr>
          <w:color w:val="000000" w:themeColor="text1"/>
          <w:sz w:val="20"/>
        </w:rPr>
      </w:pPr>
      <w:r w:rsidRPr="004930C2">
        <w:rPr>
          <w:color w:val="000000" w:themeColor="text1"/>
          <w:sz w:val="20"/>
          <w:vertAlign w:val="superscript"/>
        </w:rPr>
        <w:t>1</w:t>
      </w:r>
      <w:r w:rsidRPr="004930C2">
        <w:rPr>
          <w:color w:val="000000" w:themeColor="text1"/>
          <w:sz w:val="20"/>
        </w:rPr>
        <w:t xml:space="preserve"> </w:t>
      </w:r>
      <w:r w:rsidR="003D426E" w:rsidRPr="004930C2">
        <w:rPr>
          <w:color w:val="000000" w:themeColor="text1"/>
          <w:sz w:val="20"/>
        </w:rPr>
        <w:t xml:space="preserve">Graduate </w:t>
      </w:r>
      <w:r w:rsidR="00E40D4F" w:rsidRPr="004930C2">
        <w:rPr>
          <w:color w:val="000000" w:themeColor="text1"/>
          <w:sz w:val="20"/>
        </w:rPr>
        <w:t>School of Agriculture, Hokkaido University, Kita-9, Nishi-9, Kita-</w:t>
      </w:r>
      <w:proofErr w:type="spellStart"/>
      <w:r w:rsidR="00E40D4F" w:rsidRPr="004930C2">
        <w:rPr>
          <w:color w:val="000000" w:themeColor="text1"/>
          <w:sz w:val="20"/>
        </w:rPr>
        <w:t>ku</w:t>
      </w:r>
      <w:proofErr w:type="spellEnd"/>
      <w:r w:rsidR="00E40D4F" w:rsidRPr="004930C2">
        <w:rPr>
          <w:color w:val="000000" w:themeColor="text1"/>
          <w:sz w:val="20"/>
        </w:rPr>
        <w:t>, Sapporo, Hokkaido 060</w:t>
      </w:r>
      <w:r w:rsidR="000E6480" w:rsidRPr="004930C2">
        <w:rPr>
          <w:color w:val="000000" w:themeColor="text1"/>
          <w:sz w:val="20"/>
        </w:rPr>
        <w:t>-</w:t>
      </w:r>
      <w:r w:rsidR="00E40D4F" w:rsidRPr="004930C2">
        <w:rPr>
          <w:color w:val="000000" w:themeColor="text1"/>
          <w:sz w:val="20"/>
        </w:rPr>
        <w:t>8589, Japan</w:t>
      </w:r>
    </w:p>
    <w:p w14:paraId="6B8CCAA7" w14:textId="1E951B35" w:rsidR="00E40D4F" w:rsidRPr="004930C2" w:rsidRDefault="00E40D4F" w:rsidP="00330D39">
      <w:pPr>
        <w:spacing w:line="480" w:lineRule="auto"/>
        <w:rPr>
          <w:color w:val="000000" w:themeColor="text1"/>
          <w:sz w:val="20"/>
        </w:rPr>
      </w:pPr>
      <w:r w:rsidRPr="004930C2">
        <w:rPr>
          <w:color w:val="000000" w:themeColor="text1"/>
          <w:sz w:val="20"/>
          <w:vertAlign w:val="superscript"/>
        </w:rPr>
        <w:t>2</w:t>
      </w:r>
      <w:r w:rsidRPr="004930C2">
        <w:rPr>
          <w:color w:val="000000" w:themeColor="text1"/>
          <w:sz w:val="20"/>
        </w:rPr>
        <w:t xml:space="preserve"> Research Faculty of Agriculture, Hokkaido University, Kita-9, Nishi-9, Kita-</w:t>
      </w:r>
      <w:proofErr w:type="spellStart"/>
      <w:r w:rsidRPr="004930C2">
        <w:rPr>
          <w:color w:val="000000" w:themeColor="text1"/>
          <w:sz w:val="20"/>
        </w:rPr>
        <w:t>ku</w:t>
      </w:r>
      <w:proofErr w:type="spellEnd"/>
      <w:r w:rsidRPr="004930C2">
        <w:rPr>
          <w:color w:val="000000" w:themeColor="text1"/>
          <w:sz w:val="20"/>
        </w:rPr>
        <w:t>, Sapporo, Hokkaido 060-8589, Japan</w:t>
      </w:r>
    </w:p>
    <w:p w14:paraId="13475518" w14:textId="09BD3977" w:rsidR="00E40D4F" w:rsidRPr="004930C2" w:rsidRDefault="00C63F43" w:rsidP="00330D39">
      <w:pPr>
        <w:spacing w:line="480" w:lineRule="auto"/>
        <w:rPr>
          <w:color w:val="000000" w:themeColor="text1"/>
          <w:sz w:val="20"/>
        </w:rPr>
      </w:pPr>
      <w:r w:rsidRPr="004930C2">
        <w:rPr>
          <w:color w:val="000000" w:themeColor="text1"/>
          <w:sz w:val="20"/>
          <w:vertAlign w:val="superscript"/>
        </w:rPr>
        <w:t>3</w:t>
      </w:r>
      <w:r w:rsidRPr="004930C2">
        <w:rPr>
          <w:color w:val="000000" w:themeColor="text1"/>
          <w:sz w:val="20"/>
        </w:rPr>
        <w:t xml:space="preserve"> </w:t>
      </w:r>
      <w:proofErr w:type="spellStart"/>
      <w:r w:rsidRPr="004930C2">
        <w:rPr>
          <w:color w:val="000000" w:themeColor="text1"/>
          <w:sz w:val="20"/>
        </w:rPr>
        <w:t>Tanigurogumi</w:t>
      </w:r>
      <w:proofErr w:type="spellEnd"/>
      <w:r w:rsidRPr="004930C2">
        <w:rPr>
          <w:color w:val="000000" w:themeColor="text1"/>
          <w:sz w:val="20"/>
        </w:rPr>
        <w:t xml:space="preserve"> Corporation</w:t>
      </w:r>
      <w:r w:rsidR="000E6480" w:rsidRPr="004930C2">
        <w:rPr>
          <w:color w:val="000000" w:themeColor="text1"/>
          <w:sz w:val="20"/>
        </w:rPr>
        <w:t xml:space="preserve">, </w:t>
      </w:r>
      <w:proofErr w:type="spellStart"/>
      <w:r w:rsidR="000E6480" w:rsidRPr="004930C2">
        <w:rPr>
          <w:color w:val="000000" w:themeColor="text1"/>
          <w:sz w:val="20"/>
        </w:rPr>
        <w:t>Shiobara</w:t>
      </w:r>
      <w:proofErr w:type="spellEnd"/>
      <w:r w:rsidR="000E6480" w:rsidRPr="004930C2">
        <w:rPr>
          <w:color w:val="000000" w:themeColor="text1"/>
          <w:sz w:val="20"/>
        </w:rPr>
        <w:t xml:space="preserve"> 1100, </w:t>
      </w:r>
      <w:proofErr w:type="spellStart"/>
      <w:r w:rsidR="000E6480" w:rsidRPr="004930C2">
        <w:rPr>
          <w:color w:val="000000" w:themeColor="text1"/>
          <w:sz w:val="20"/>
        </w:rPr>
        <w:t>Nasushiobara</w:t>
      </w:r>
      <w:proofErr w:type="spellEnd"/>
      <w:r w:rsidR="000E6480" w:rsidRPr="004930C2">
        <w:rPr>
          <w:color w:val="000000" w:themeColor="text1"/>
          <w:sz w:val="20"/>
        </w:rPr>
        <w:t>, Tochigi 329-2921, Japan</w:t>
      </w:r>
    </w:p>
    <w:p w14:paraId="56D82094" w14:textId="77777777" w:rsidR="00C63F43" w:rsidRPr="004930C2" w:rsidRDefault="00C63F43" w:rsidP="00330D39">
      <w:pPr>
        <w:spacing w:line="480" w:lineRule="auto"/>
        <w:rPr>
          <w:color w:val="000000" w:themeColor="text1"/>
          <w:sz w:val="20"/>
        </w:rPr>
      </w:pPr>
    </w:p>
    <w:p w14:paraId="329826E7" w14:textId="77777777" w:rsidR="00E40D4F" w:rsidRPr="004930C2" w:rsidRDefault="00E40D4F" w:rsidP="00330D39">
      <w:pPr>
        <w:spacing w:line="480" w:lineRule="auto"/>
        <w:rPr>
          <w:color w:val="000000" w:themeColor="text1"/>
          <w:sz w:val="20"/>
        </w:rPr>
      </w:pPr>
      <w:r w:rsidRPr="004930C2">
        <w:rPr>
          <w:b/>
          <w:color w:val="000000" w:themeColor="text1"/>
          <w:sz w:val="20"/>
        </w:rPr>
        <w:t>Corresponding author</w:t>
      </w:r>
    </w:p>
    <w:p w14:paraId="162ADC39" w14:textId="58E2B5AB" w:rsidR="0079222B" w:rsidRPr="004930C2" w:rsidRDefault="00E40D4F" w:rsidP="00330D39">
      <w:pPr>
        <w:spacing w:line="480" w:lineRule="auto"/>
        <w:rPr>
          <w:color w:val="000000" w:themeColor="text1"/>
          <w:sz w:val="20"/>
        </w:rPr>
      </w:pPr>
      <w:r w:rsidRPr="004930C2">
        <w:rPr>
          <w:color w:val="000000" w:themeColor="text1"/>
          <w:sz w:val="20"/>
        </w:rPr>
        <w:t>Kazunori Iwabuchi, Research Faculty of Agriculture, Hokkaido University, Kita-9, Nishi-9, Kita-</w:t>
      </w:r>
      <w:proofErr w:type="spellStart"/>
      <w:r w:rsidRPr="004930C2">
        <w:rPr>
          <w:color w:val="000000" w:themeColor="text1"/>
          <w:sz w:val="20"/>
        </w:rPr>
        <w:t>ku</w:t>
      </w:r>
      <w:proofErr w:type="spellEnd"/>
      <w:r w:rsidRPr="004930C2">
        <w:rPr>
          <w:color w:val="000000" w:themeColor="text1"/>
          <w:sz w:val="20"/>
        </w:rPr>
        <w:t>, Sapporo, Hokkaido 060-8589, Japan, +81-</w:t>
      </w:r>
      <w:r w:rsidR="00E378FB" w:rsidRPr="004930C2">
        <w:rPr>
          <w:color w:val="000000" w:themeColor="text1"/>
          <w:sz w:val="20"/>
        </w:rPr>
        <w:t>[0]</w:t>
      </w:r>
      <w:r w:rsidRPr="004930C2">
        <w:rPr>
          <w:color w:val="000000" w:themeColor="text1"/>
          <w:sz w:val="20"/>
        </w:rPr>
        <w:t>11-706-4171, iwabuchi@bpe.agr.hokudai.ac.jp</w:t>
      </w:r>
    </w:p>
    <w:p w14:paraId="58259865" w14:textId="30CD5605" w:rsidR="0065509F" w:rsidRPr="004930C2" w:rsidRDefault="0065509F" w:rsidP="00330D39">
      <w:pPr>
        <w:spacing w:line="480" w:lineRule="auto"/>
        <w:rPr>
          <w:color w:val="000000" w:themeColor="text1"/>
          <w:sz w:val="20"/>
        </w:rPr>
      </w:pPr>
    </w:p>
    <w:p w14:paraId="7BF70D6B" w14:textId="0A29F846" w:rsidR="008A5A0F" w:rsidRPr="004930C2" w:rsidRDefault="008A5A0F" w:rsidP="00330D39">
      <w:pPr>
        <w:spacing w:line="480" w:lineRule="auto"/>
        <w:rPr>
          <w:b/>
          <w:color w:val="000000" w:themeColor="text1"/>
          <w:sz w:val="20"/>
        </w:rPr>
      </w:pPr>
      <w:r w:rsidRPr="004930C2">
        <w:rPr>
          <w:b/>
          <w:color w:val="000000" w:themeColor="text1"/>
          <w:sz w:val="20"/>
        </w:rPr>
        <w:t>Declarations</w:t>
      </w:r>
    </w:p>
    <w:p w14:paraId="07263A00" w14:textId="43A9AFE2" w:rsidR="008A5A0F" w:rsidRPr="004930C2" w:rsidRDefault="008A5A0F" w:rsidP="00330D39">
      <w:pPr>
        <w:spacing w:line="480" w:lineRule="auto"/>
        <w:rPr>
          <w:color w:val="000000" w:themeColor="text1"/>
          <w:sz w:val="20"/>
        </w:rPr>
      </w:pPr>
      <w:r w:rsidRPr="004930C2">
        <w:rPr>
          <w:rFonts w:hint="eastAsia"/>
          <w:b/>
          <w:color w:val="000000" w:themeColor="text1"/>
          <w:sz w:val="20"/>
        </w:rPr>
        <w:t>F</w:t>
      </w:r>
      <w:r w:rsidRPr="004930C2">
        <w:rPr>
          <w:b/>
          <w:color w:val="000000" w:themeColor="text1"/>
          <w:sz w:val="20"/>
        </w:rPr>
        <w:t>unding</w:t>
      </w:r>
    </w:p>
    <w:p w14:paraId="7F591093" w14:textId="0C603665" w:rsidR="008A5A0F" w:rsidRPr="004930C2" w:rsidRDefault="008A5A0F" w:rsidP="00330D39">
      <w:pPr>
        <w:spacing w:line="480" w:lineRule="auto"/>
        <w:rPr>
          <w:color w:val="000000" w:themeColor="text1"/>
          <w:sz w:val="20"/>
        </w:rPr>
      </w:pPr>
      <w:r w:rsidRPr="004930C2">
        <w:rPr>
          <w:color w:val="000000" w:themeColor="text1"/>
          <w:sz w:val="20"/>
        </w:rPr>
        <w:t>Araya Foundation from Hokkaido Branch of The Japanese Society of Agriculture and Food Engineering</w:t>
      </w:r>
    </w:p>
    <w:p w14:paraId="0CB2A326" w14:textId="77777777" w:rsidR="005A2B76" w:rsidRPr="004930C2" w:rsidRDefault="005A2B76" w:rsidP="00330D39">
      <w:pPr>
        <w:spacing w:line="480" w:lineRule="auto"/>
        <w:rPr>
          <w:color w:val="000000" w:themeColor="text1"/>
          <w:sz w:val="20"/>
        </w:rPr>
      </w:pPr>
    </w:p>
    <w:p w14:paraId="37C6C0EE" w14:textId="2F133A86" w:rsidR="008A5A0F" w:rsidRPr="004930C2" w:rsidRDefault="008A5A0F" w:rsidP="00330D39">
      <w:pPr>
        <w:spacing w:line="480" w:lineRule="auto"/>
        <w:rPr>
          <w:b/>
          <w:color w:val="000000" w:themeColor="text1"/>
          <w:sz w:val="20"/>
        </w:rPr>
      </w:pPr>
      <w:r w:rsidRPr="004930C2">
        <w:rPr>
          <w:rFonts w:hint="eastAsia"/>
          <w:b/>
          <w:color w:val="000000" w:themeColor="text1"/>
          <w:sz w:val="20"/>
        </w:rPr>
        <w:lastRenderedPageBreak/>
        <w:t>C</w:t>
      </w:r>
      <w:r w:rsidRPr="004930C2">
        <w:rPr>
          <w:b/>
          <w:color w:val="000000" w:themeColor="text1"/>
          <w:sz w:val="20"/>
        </w:rPr>
        <w:t>onflicts of interest/</w:t>
      </w:r>
      <w:r w:rsidR="00867F12" w:rsidRPr="004930C2">
        <w:rPr>
          <w:b/>
          <w:color w:val="000000" w:themeColor="text1"/>
          <w:sz w:val="20"/>
        </w:rPr>
        <w:t>Competing interests</w:t>
      </w:r>
    </w:p>
    <w:p w14:paraId="725EEBAE" w14:textId="606C54E9" w:rsidR="00867F12" w:rsidRPr="004930C2" w:rsidRDefault="00867F12" w:rsidP="00330D39">
      <w:pPr>
        <w:spacing w:line="480" w:lineRule="auto"/>
        <w:rPr>
          <w:color w:val="000000" w:themeColor="text1"/>
          <w:sz w:val="20"/>
        </w:rPr>
      </w:pPr>
      <w:r w:rsidRPr="004930C2">
        <w:rPr>
          <w:rFonts w:hint="eastAsia"/>
          <w:color w:val="000000" w:themeColor="text1"/>
          <w:sz w:val="20"/>
        </w:rPr>
        <w:t>N</w:t>
      </w:r>
      <w:r w:rsidRPr="004930C2">
        <w:rPr>
          <w:color w:val="000000" w:themeColor="text1"/>
          <w:sz w:val="20"/>
        </w:rPr>
        <w:t>ot applicable</w:t>
      </w:r>
    </w:p>
    <w:p w14:paraId="370255AC" w14:textId="77777777" w:rsidR="00867F12" w:rsidRPr="004930C2" w:rsidRDefault="00867F12" w:rsidP="00330D39">
      <w:pPr>
        <w:spacing w:line="480" w:lineRule="auto"/>
        <w:rPr>
          <w:color w:val="000000" w:themeColor="text1"/>
          <w:sz w:val="20"/>
        </w:rPr>
      </w:pPr>
    </w:p>
    <w:p w14:paraId="3E84770F" w14:textId="5C0E4CED" w:rsidR="00867F12" w:rsidRPr="004930C2" w:rsidRDefault="00867F12" w:rsidP="00330D39">
      <w:pPr>
        <w:spacing w:line="480" w:lineRule="auto"/>
        <w:rPr>
          <w:b/>
          <w:color w:val="000000" w:themeColor="text1"/>
          <w:sz w:val="20"/>
        </w:rPr>
      </w:pPr>
      <w:r w:rsidRPr="004930C2">
        <w:rPr>
          <w:b/>
          <w:color w:val="000000" w:themeColor="text1"/>
          <w:sz w:val="20"/>
        </w:rPr>
        <w:t>Availability of data and material</w:t>
      </w:r>
    </w:p>
    <w:p w14:paraId="24875580" w14:textId="621368ED" w:rsidR="008A5A0F" w:rsidRPr="004930C2" w:rsidRDefault="00867F12" w:rsidP="00330D39">
      <w:pPr>
        <w:spacing w:line="480" w:lineRule="auto"/>
        <w:rPr>
          <w:color w:val="000000" w:themeColor="text1"/>
          <w:sz w:val="20"/>
        </w:rPr>
      </w:pPr>
      <w:r w:rsidRPr="004930C2">
        <w:rPr>
          <w:color w:val="000000" w:themeColor="text1"/>
          <w:sz w:val="20"/>
        </w:rPr>
        <w:t>The datasets and analy</w:t>
      </w:r>
      <w:r w:rsidR="00211593" w:rsidRPr="004930C2">
        <w:rPr>
          <w:color w:val="000000" w:themeColor="text1"/>
          <w:sz w:val="20"/>
        </w:rPr>
        <w:t>ses</w:t>
      </w:r>
      <w:r w:rsidRPr="004930C2">
        <w:rPr>
          <w:color w:val="000000" w:themeColor="text1"/>
          <w:sz w:val="20"/>
        </w:rPr>
        <w:t xml:space="preserve"> </w:t>
      </w:r>
      <w:r w:rsidR="00B22C7A" w:rsidRPr="004930C2">
        <w:rPr>
          <w:color w:val="000000" w:themeColor="text1"/>
          <w:sz w:val="20"/>
        </w:rPr>
        <w:t>of</w:t>
      </w:r>
      <w:r w:rsidRPr="004930C2">
        <w:rPr>
          <w:color w:val="000000" w:themeColor="text1"/>
          <w:sz w:val="20"/>
        </w:rPr>
        <w:t xml:space="preserve"> the current study</w:t>
      </w:r>
      <w:r w:rsidR="00B22C7A" w:rsidRPr="004930C2">
        <w:rPr>
          <w:color w:val="000000" w:themeColor="text1"/>
          <w:sz w:val="20"/>
        </w:rPr>
        <w:t xml:space="preserve"> are</w:t>
      </w:r>
      <w:r w:rsidRPr="004930C2">
        <w:rPr>
          <w:color w:val="000000" w:themeColor="text1"/>
          <w:sz w:val="20"/>
        </w:rPr>
        <w:t xml:space="preserve"> available from</w:t>
      </w:r>
      <w:r w:rsidRPr="004930C2">
        <w:rPr>
          <w:rFonts w:hint="eastAsia"/>
          <w:color w:val="000000" w:themeColor="text1"/>
          <w:sz w:val="20"/>
        </w:rPr>
        <w:t xml:space="preserve"> </w:t>
      </w:r>
      <w:r w:rsidRPr="004930C2">
        <w:rPr>
          <w:color w:val="000000" w:themeColor="text1"/>
          <w:sz w:val="20"/>
        </w:rPr>
        <w:t>the corresponding author on reasonable request</w:t>
      </w:r>
    </w:p>
    <w:p w14:paraId="6A7A0AED" w14:textId="59547EF6" w:rsidR="00211593" w:rsidRPr="004930C2" w:rsidRDefault="00211593" w:rsidP="00330D39">
      <w:pPr>
        <w:spacing w:line="480" w:lineRule="auto"/>
        <w:rPr>
          <w:color w:val="000000" w:themeColor="text1"/>
          <w:sz w:val="20"/>
        </w:rPr>
      </w:pPr>
    </w:p>
    <w:p w14:paraId="559262F3" w14:textId="6EA242FB" w:rsidR="00211593" w:rsidRPr="004930C2" w:rsidRDefault="00211593" w:rsidP="00330D39">
      <w:pPr>
        <w:spacing w:line="480" w:lineRule="auto"/>
        <w:rPr>
          <w:b/>
          <w:color w:val="000000" w:themeColor="text1"/>
          <w:sz w:val="20"/>
        </w:rPr>
      </w:pPr>
      <w:r w:rsidRPr="004930C2">
        <w:rPr>
          <w:b/>
          <w:color w:val="000000" w:themeColor="text1"/>
          <w:sz w:val="20"/>
        </w:rPr>
        <w:t>Code availability</w:t>
      </w:r>
    </w:p>
    <w:p w14:paraId="19978E98" w14:textId="7FE6B819" w:rsidR="00211593" w:rsidRPr="004930C2" w:rsidRDefault="00211593" w:rsidP="00330D39">
      <w:pPr>
        <w:spacing w:line="480" w:lineRule="auto"/>
        <w:rPr>
          <w:color w:val="000000" w:themeColor="text1"/>
          <w:sz w:val="20"/>
        </w:rPr>
      </w:pPr>
      <w:r w:rsidRPr="004930C2">
        <w:rPr>
          <w:color w:val="000000" w:themeColor="text1"/>
          <w:sz w:val="20"/>
        </w:rPr>
        <w:t>Not applicable</w:t>
      </w:r>
    </w:p>
    <w:p w14:paraId="51318E84" w14:textId="77777777" w:rsidR="00211593" w:rsidRPr="004930C2" w:rsidRDefault="00211593" w:rsidP="00330D39">
      <w:pPr>
        <w:spacing w:line="480" w:lineRule="auto"/>
        <w:rPr>
          <w:color w:val="000000" w:themeColor="text1"/>
          <w:sz w:val="20"/>
        </w:rPr>
      </w:pPr>
    </w:p>
    <w:p w14:paraId="08451B63" w14:textId="6552B62F" w:rsidR="00EB05D2" w:rsidRPr="004930C2" w:rsidRDefault="00EB05D2" w:rsidP="00330D39">
      <w:pPr>
        <w:spacing w:line="480" w:lineRule="auto"/>
        <w:rPr>
          <w:color w:val="000000" w:themeColor="text1"/>
          <w:sz w:val="20"/>
        </w:rPr>
      </w:pPr>
      <w:r w:rsidRPr="004930C2">
        <w:rPr>
          <w:b/>
          <w:color w:val="000000" w:themeColor="text1"/>
          <w:sz w:val="20"/>
        </w:rPr>
        <w:t>Footnote</w:t>
      </w:r>
    </w:p>
    <w:p w14:paraId="5E3864E1" w14:textId="2834B70F" w:rsidR="00EB05D2" w:rsidRPr="004930C2" w:rsidRDefault="00EB05D2" w:rsidP="00330D39">
      <w:pPr>
        <w:spacing w:line="480" w:lineRule="auto"/>
        <w:rPr>
          <w:color w:val="000000" w:themeColor="text1"/>
          <w:sz w:val="20"/>
        </w:rPr>
      </w:pPr>
      <w:proofErr w:type="spellStart"/>
      <w:r w:rsidRPr="004930C2">
        <w:rPr>
          <w:color w:val="000000" w:themeColor="text1"/>
          <w:sz w:val="20"/>
        </w:rPr>
        <w:t>Shoki</w:t>
      </w:r>
      <w:proofErr w:type="spellEnd"/>
      <w:r w:rsidRPr="004930C2">
        <w:rPr>
          <w:color w:val="000000" w:themeColor="text1"/>
          <w:sz w:val="20"/>
        </w:rPr>
        <w:t xml:space="preserve"> </w:t>
      </w:r>
      <w:proofErr w:type="spellStart"/>
      <w:r w:rsidRPr="004930C2">
        <w:rPr>
          <w:color w:val="000000" w:themeColor="text1"/>
          <w:sz w:val="20"/>
        </w:rPr>
        <w:t>Ochiai’s</w:t>
      </w:r>
      <w:proofErr w:type="spellEnd"/>
      <w:r w:rsidRPr="004930C2">
        <w:rPr>
          <w:color w:val="000000" w:themeColor="text1"/>
          <w:sz w:val="20"/>
        </w:rPr>
        <w:t xml:space="preserve"> present affiliation is </w:t>
      </w:r>
      <w:proofErr w:type="spellStart"/>
      <w:r w:rsidRPr="004930C2">
        <w:rPr>
          <w:color w:val="000000" w:themeColor="text1"/>
          <w:sz w:val="20"/>
        </w:rPr>
        <w:t>Miyakonojo</w:t>
      </w:r>
      <w:proofErr w:type="spellEnd"/>
      <w:r w:rsidRPr="004930C2">
        <w:rPr>
          <w:color w:val="000000" w:themeColor="text1"/>
          <w:sz w:val="20"/>
        </w:rPr>
        <w:t xml:space="preserve"> Research Station, Kyushu Okinawa Agricultural Research Center, National Agricultur</w:t>
      </w:r>
      <w:r w:rsidR="007E2F1F">
        <w:rPr>
          <w:color w:val="000000" w:themeColor="text1"/>
          <w:sz w:val="20"/>
        </w:rPr>
        <w:t>e</w:t>
      </w:r>
      <w:r w:rsidRPr="004930C2">
        <w:rPr>
          <w:color w:val="000000" w:themeColor="text1"/>
          <w:sz w:val="20"/>
        </w:rPr>
        <w:t xml:space="preserve"> and Food Research Organization</w:t>
      </w:r>
      <w:r w:rsidR="00794DCF" w:rsidRPr="004930C2">
        <w:rPr>
          <w:color w:val="000000" w:themeColor="text1"/>
          <w:sz w:val="20"/>
        </w:rPr>
        <w:t xml:space="preserve"> (NARO)</w:t>
      </w:r>
      <w:r w:rsidRPr="004930C2">
        <w:rPr>
          <w:color w:val="000000" w:themeColor="text1"/>
          <w:sz w:val="20"/>
        </w:rPr>
        <w:t xml:space="preserve">, </w:t>
      </w:r>
      <w:proofErr w:type="spellStart"/>
      <w:r w:rsidRPr="004930C2">
        <w:rPr>
          <w:color w:val="000000" w:themeColor="text1"/>
          <w:sz w:val="20"/>
        </w:rPr>
        <w:t>Miyakonojo</w:t>
      </w:r>
      <w:proofErr w:type="spellEnd"/>
      <w:r w:rsidRPr="004930C2">
        <w:rPr>
          <w:color w:val="000000" w:themeColor="text1"/>
          <w:sz w:val="20"/>
        </w:rPr>
        <w:t>, Miyazaki 885-0091, Japan</w:t>
      </w:r>
    </w:p>
    <w:p w14:paraId="79CCC344" w14:textId="77777777" w:rsidR="00A25083" w:rsidRPr="004930C2" w:rsidRDefault="00A25083" w:rsidP="00330D39">
      <w:pPr>
        <w:spacing w:line="480" w:lineRule="auto"/>
        <w:rPr>
          <w:color w:val="000000" w:themeColor="text1"/>
          <w:sz w:val="20"/>
        </w:rPr>
      </w:pPr>
    </w:p>
    <w:p w14:paraId="3E49DFE3" w14:textId="77777777" w:rsidR="00A25083" w:rsidRPr="004930C2" w:rsidRDefault="00A25083" w:rsidP="00330D39">
      <w:pPr>
        <w:spacing w:line="480" w:lineRule="auto"/>
        <w:rPr>
          <w:b/>
          <w:color w:val="000000" w:themeColor="text1"/>
          <w:sz w:val="20"/>
        </w:rPr>
      </w:pPr>
      <w:r w:rsidRPr="004930C2">
        <w:rPr>
          <w:b/>
          <w:color w:val="000000" w:themeColor="text1"/>
          <w:sz w:val="20"/>
        </w:rPr>
        <w:t>Acknowledgments</w:t>
      </w:r>
    </w:p>
    <w:p w14:paraId="2ADD3618" w14:textId="7A1E7281" w:rsidR="00375831" w:rsidRPr="004930C2" w:rsidRDefault="00A25083" w:rsidP="00330D39">
      <w:pPr>
        <w:spacing w:line="480" w:lineRule="auto"/>
        <w:rPr>
          <w:color w:val="000000" w:themeColor="text1"/>
          <w:sz w:val="20"/>
        </w:rPr>
      </w:pPr>
      <w:r w:rsidRPr="004930C2">
        <w:rPr>
          <w:color w:val="000000" w:themeColor="text1"/>
          <w:sz w:val="20"/>
        </w:rPr>
        <w:t xml:space="preserve">The authors acknowledge the support of the Araya Foundation from Hokkaido Branch of The Japanese Society of Agriculture and Food Engineering for this work. The analysis of specific surface area and average pore size of biomass feedstocks and biochar was carried out with </w:t>
      </w:r>
      <w:proofErr w:type="spellStart"/>
      <w:r w:rsidRPr="004930C2">
        <w:rPr>
          <w:color w:val="000000" w:themeColor="text1"/>
          <w:sz w:val="20"/>
        </w:rPr>
        <w:t>Quantachrome</w:t>
      </w:r>
      <w:proofErr w:type="spellEnd"/>
      <w:r w:rsidRPr="004930C2">
        <w:rPr>
          <w:color w:val="000000" w:themeColor="text1"/>
          <w:sz w:val="20"/>
        </w:rPr>
        <w:t xml:space="preserve"> Instruments </w:t>
      </w:r>
      <w:proofErr w:type="spellStart"/>
      <w:r w:rsidRPr="004930C2">
        <w:rPr>
          <w:color w:val="000000" w:themeColor="text1"/>
          <w:sz w:val="20"/>
        </w:rPr>
        <w:t>Autosorb</w:t>
      </w:r>
      <w:proofErr w:type="spellEnd"/>
      <w:r w:rsidRPr="004930C2">
        <w:rPr>
          <w:color w:val="000000" w:themeColor="text1"/>
          <w:sz w:val="20"/>
        </w:rPr>
        <w:t xml:space="preserve"> 6AG (Yuasa‐Ionics Co. Ltd., Osaka, Japan; </w:t>
      </w:r>
      <w:proofErr w:type="spellStart"/>
      <w:r w:rsidRPr="004930C2">
        <w:rPr>
          <w:color w:val="000000" w:themeColor="text1"/>
          <w:sz w:val="20"/>
        </w:rPr>
        <w:t>Quantachrome</w:t>
      </w:r>
      <w:proofErr w:type="spellEnd"/>
      <w:r w:rsidRPr="004930C2">
        <w:rPr>
          <w:color w:val="000000" w:themeColor="text1"/>
          <w:sz w:val="20"/>
        </w:rPr>
        <w:t xml:space="preserve"> Co., Boynton Beach, FL, USA) at the Institute for Catalysis, Hokkaido University.</w:t>
      </w:r>
      <w:r w:rsidR="004B4EE1" w:rsidRPr="004930C2">
        <w:rPr>
          <w:rFonts w:hint="eastAsia"/>
          <w:color w:val="000000" w:themeColor="text1"/>
          <w:sz w:val="20"/>
        </w:rPr>
        <w:t xml:space="preserve"> </w:t>
      </w:r>
      <w:r w:rsidR="004B4EE1" w:rsidRPr="004930C2">
        <w:rPr>
          <w:color w:val="000000" w:themeColor="text1"/>
          <w:sz w:val="20"/>
        </w:rPr>
        <w:t>We express our gratitude to</w:t>
      </w:r>
      <w:r w:rsidR="00A7107F" w:rsidRPr="004930C2">
        <w:rPr>
          <w:color w:val="000000" w:themeColor="text1"/>
          <w:sz w:val="20"/>
        </w:rPr>
        <w:t xml:space="preserve"> the</w:t>
      </w:r>
      <w:r w:rsidR="004B4EE1" w:rsidRPr="004930C2">
        <w:rPr>
          <w:color w:val="000000" w:themeColor="text1"/>
          <w:sz w:val="20"/>
        </w:rPr>
        <w:t xml:space="preserve"> Instrumental Analysis Division, Global Facility Center, Creative Research Institution, Hokkaido University for performing elemental analyses using a CE-440 elemental analyzer.</w:t>
      </w:r>
    </w:p>
    <w:p w14:paraId="121933B4" w14:textId="7C98FF5F" w:rsidR="00E4180A" w:rsidRPr="004930C2" w:rsidRDefault="00E4180A" w:rsidP="00330D39">
      <w:pPr>
        <w:spacing w:line="480" w:lineRule="auto"/>
        <w:rPr>
          <w:color w:val="000000" w:themeColor="text1"/>
          <w:sz w:val="20"/>
        </w:rPr>
        <w:sectPr w:rsidR="00E4180A" w:rsidRPr="004930C2" w:rsidSect="00FD4FE8">
          <w:headerReference w:type="even" r:id="rId24"/>
          <w:headerReference w:type="default" r:id="rId25"/>
          <w:footerReference w:type="even" r:id="rId26"/>
          <w:footerReference w:type="default" r:id="rId27"/>
          <w:headerReference w:type="first" r:id="rId28"/>
          <w:footerReference w:type="first" r:id="rId29"/>
          <w:pgSz w:w="11900" w:h="16840"/>
          <w:pgMar w:top="1418" w:right="1418" w:bottom="1418" w:left="1418" w:header="851" w:footer="567" w:gutter="0"/>
          <w:lnNumType w:countBy="1" w:restart="continuous"/>
          <w:cols w:space="720"/>
          <w:docGrid w:type="linesAndChars" w:linePitch="318"/>
        </w:sectPr>
      </w:pPr>
    </w:p>
    <w:p w14:paraId="6BE13450" w14:textId="77777777" w:rsidR="00E40D4F" w:rsidRPr="004930C2" w:rsidRDefault="00E40D4F" w:rsidP="00330D39">
      <w:pPr>
        <w:widowControl w:val="0"/>
        <w:tabs>
          <w:tab w:val="left" w:pos="1715"/>
        </w:tabs>
        <w:spacing w:line="480" w:lineRule="auto"/>
        <w:rPr>
          <w:b/>
          <w:color w:val="000000" w:themeColor="text1"/>
          <w:sz w:val="20"/>
        </w:rPr>
      </w:pPr>
      <w:r w:rsidRPr="004930C2">
        <w:rPr>
          <w:b/>
          <w:color w:val="000000" w:themeColor="text1"/>
          <w:sz w:val="20"/>
        </w:rPr>
        <w:lastRenderedPageBreak/>
        <w:t>Abstract</w:t>
      </w:r>
    </w:p>
    <w:p w14:paraId="2BD09564" w14:textId="06A888A1" w:rsidR="00DB5CE5" w:rsidRPr="004930C2" w:rsidRDefault="002430B7" w:rsidP="00330D39">
      <w:pPr>
        <w:spacing w:line="480" w:lineRule="auto"/>
        <w:rPr>
          <w:color w:val="000000" w:themeColor="text1"/>
          <w:sz w:val="20"/>
        </w:rPr>
      </w:pPr>
      <w:bookmarkStart w:id="0" w:name="_Hlk34207129"/>
      <w:r w:rsidRPr="004930C2">
        <w:rPr>
          <w:i/>
          <w:color w:val="000000" w:themeColor="text1"/>
          <w:sz w:val="20"/>
        </w:rPr>
        <w:t>Purpose:</w:t>
      </w:r>
      <w:r w:rsidRPr="004930C2">
        <w:rPr>
          <w:color w:val="000000" w:themeColor="text1"/>
          <w:sz w:val="20"/>
        </w:rPr>
        <w:t xml:space="preserve"> </w:t>
      </w:r>
      <w:bookmarkStart w:id="1" w:name="_Hlk34247157"/>
      <w:bookmarkEnd w:id="0"/>
      <w:r w:rsidR="00680301" w:rsidRPr="004930C2">
        <w:rPr>
          <w:rFonts w:eastAsiaTheme="majorEastAsia"/>
          <w:color w:val="000000" w:themeColor="text1"/>
          <w:sz w:val="20"/>
        </w:rPr>
        <w:t>We</w:t>
      </w:r>
      <w:r w:rsidR="004958E4" w:rsidRPr="004930C2">
        <w:rPr>
          <w:color w:val="000000" w:themeColor="text1"/>
          <w:sz w:val="20"/>
        </w:rPr>
        <w:t xml:space="preserve"> aimed to </w:t>
      </w:r>
      <w:r w:rsidR="006F1B07" w:rsidRPr="004930C2">
        <w:rPr>
          <w:rFonts w:hint="eastAsia"/>
          <w:color w:val="000000" w:themeColor="text1"/>
          <w:sz w:val="20"/>
        </w:rPr>
        <w:t>v</w:t>
      </w:r>
      <w:r w:rsidR="006F1B07" w:rsidRPr="004930C2">
        <w:rPr>
          <w:color w:val="000000" w:themeColor="text1"/>
          <w:sz w:val="20"/>
        </w:rPr>
        <w:t>erify</w:t>
      </w:r>
      <w:r w:rsidR="00253145" w:rsidRPr="004930C2">
        <w:rPr>
          <w:color w:val="000000" w:themeColor="text1"/>
          <w:sz w:val="20"/>
        </w:rPr>
        <w:t xml:space="preserve"> whether</w:t>
      </w:r>
      <w:r w:rsidR="006F1B07" w:rsidRPr="004930C2">
        <w:rPr>
          <w:color w:val="000000" w:themeColor="text1"/>
          <w:sz w:val="20"/>
        </w:rPr>
        <w:t xml:space="preserve"> (</w:t>
      </w:r>
      <w:proofErr w:type="spellStart"/>
      <w:r w:rsidR="006F1B07" w:rsidRPr="004930C2">
        <w:rPr>
          <w:color w:val="000000" w:themeColor="text1"/>
          <w:sz w:val="20"/>
        </w:rPr>
        <w:t>i</w:t>
      </w:r>
      <w:proofErr w:type="spellEnd"/>
      <w:r w:rsidR="006F1B07" w:rsidRPr="004930C2">
        <w:rPr>
          <w:color w:val="000000" w:themeColor="text1"/>
          <w:sz w:val="20"/>
        </w:rPr>
        <w:t xml:space="preserve">) biochar-compost application improves </w:t>
      </w:r>
      <w:r w:rsidR="00F643B3" w:rsidRPr="004930C2">
        <w:rPr>
          <w:color w:val="000000" w:themeColor="text1"/>
          <w:sz w:val="20"/>
        </w:rPr>
        <w:t xml:space="preserve">plant growth </w:t>
      </w:r>
      <w:r w:rsidR="00253145" w:rsidRPr="004930C2">
        <w:rPr>
          <w:color w:val="000000" w:themeColor="text1"/>
          <w:sz w:val="20"/>
        </w:rPr>
        <w:t>when compared with</w:t>
      </w:r>
      <w:r w:rsidR="006F1B07" w:rsidRPr="004930C2">
        <w:rPr>
          <w:color w:val="000000" w:themeColor="text1"/>
          <w:sz w:val="20"/>
        </w:rPr>
        <w:t xml:space="preserve"> compost application </w:t>
      </w:r>
      <w:r w:rsidR="007547F2" w:rsidRPr="004930C2">
        <w:rPr>
          <w:color w:val="000000" w:themeColor="text1"/>
          <w:sz w:val="20"/>
        </w:rPr>
        <w:t xml:space="preserve">alone </w:t>
      </w:r>
      <w:r w:rsidR="006F1B07" w:rsidRPr="004930C2">
        <w:rPr>
          <w:color w:val="000000" w:themeColor="text1"/>
          <w:sz w:val="20"/>
        </w:rPr>
        <w:t xml:space="preserve">and (ii) a </w:t>
      </w:r>
      <w:r w:rsidR="007B4DBF" w:rsidRPr="004930C2">
        <w:rPr>
          <w:color w:val="000000" w:themeColor="text1"/>
          <w:sz w:val="20"/>
        </w:rPr>
        <w:t>diversity</w:t>
      </w:r>
      <w:r w:rsidR="006F1B07" w:rsidRPr="004930C2">
        <w:rPr>
          <w:color w:val="000000" w:themeColor="text1"/>
          <w:sz w:val="20"/>
        </w:rPr>
        <w:t xml:space="preserve"> of biochar caused by feedstock type and carbonization temperature affects </w:t>
      </w:r>
      <w:r w:rsidR="00255F10">
        <w:rPr>
          <w:color w:val="000000" w:themeColor="text1"/>
          <w:sz w:val="20"/>
        </w:rPr>
        <w:t xml:space="preserve">the extent of </w:t>
      </w:r>
      <w:r w:rsidR="00F643B3" w:rsidRPr="004930C2">
        <w:rPr>
          <w:color w:val="000000" w:themeColor="text1"/>
          <w:sz w:val="20"/>
        </w:rPr>
        <w:t>plant growth</w:t>
      </w:r>
      <w:bookmarkStart w:id="2" w:name="_Hlk34289955"/>
      <w:r w:rsidR="006F1B07" w:rsidRPr="004930C2">
        <w:rPr>
          <w:color w:val="000000" w:themeColor="text1"/>
          <w:sz w:val="20"/>
        </w:rPr>
        <w:t>.</w:t>
      </w:r>
      <w:bookmarkEnd w:id="2"/>
    </w:p>
    <w:bookmarkEnd w:id="1"/>
    <w:p w14:paraId="2085C648" w14:textId="26432D32" w:rsidR="00011773" w:rsidRPr="004930C2" w:rsidRDefault="00110621" w:rsidP="00330D39">
      <w:pPr>
        <w:widowControl w:val="0"/>
        <w:spacing w:line="480" w:lineRule="auto"/>
        <w:rPr>
          <w:color w:val="000000" w:themeColor="text1"/>
          <w:sz w:val="20"/>
        </w:rPr>
      </w:pPr>
      <w:r w:rsidRPr="004930C2">
        <w:rPr>
          <w:i/>
          <w:color w:val="000000" w:themeColor="text1"/>
          <w:sz w:val="20"/>
        </w:rPr>
        <w:t>Methods</w:t>
      </w:r>
      <w:r w:rsidR="00F30B4B" w:rsidRPr="004930C2">
        <w:rPr>
          <w:i/>
          <w:color w:val="000000" w:themeColor="text1"/>
          <w:sz w:val="20"/>
        </w:rPr>
        <w:t>:</w:t>
      </w:r>
      <w:r w:rsidRPr="004930C2">
        <w:rPr>
          <w:color w:val="000000" w:themeColor="text1"/>
          <w:sz w:val="20"/>
        </w:rPr>
        <w:t xml:space="preserve"> </w:t>
      </w:r>
      <w:r w:rsidR="00EC5940" w:rsidRPr="004930C2">
        <w:rPr>
          <w:color w:val="000000" w:themeColor="text1"/>
          <w:sz w:val="20"/>
        </w:rPr>
        <w:t>We prepared s</w:t>
      </w:r>
      <w:r w:rsidR="003C7A26" w:rsidRPr="004930C2">
        <w:rPr>
          <w:color w:val="000000" w:themeColor="text1"/>
          <w:sz w:val="20"/>
        </w:rPr>
        <w:t>ix types of b</w:t>
      </w:r>
      <w:r w:rsidR="00E40D4F" w:rsidRPr="004930C2">
        <w:rPr>
          <w:color w:val="000000" w:themeColor="text1"/>
          <w:sz w:val="20"/>
        </w:rPr>
        <w:t xml:space="preserve">iochar </w:t>
      </w:r>
      <w:r w:rsidR="003C7A26" w:rsidRPr="004930C2">
        <w:rPr>
          <w:color w:val="000000" w:themeColor="text1"/>
          <w:sz w:val="20"/>
        </w:rPr>
        <w:t>from</w:t>
      </w:r>
      <w:r w:rsidR="00BC4ED9" w:rsidRPr="004930C2">
        <w:rPr>
          <w:color w:val="000000" w:themeColor="text1"/>
          <w:sz w:val="20"/>
        </w:rPr>
        <w:t xml:space="preserve"> larch </w:t>
      </w:r>
      <w:r w:rsidR="00E40D4F" w:rsidRPr="004930C2">
        <w:rPr>
          <w:color w:val="000000" w:themeColor="text1"/>
          <w:sz w:val="20"/>
        </w:rPr>
        <w:t>(</w:t>
      </w:r>
      <w:r w:rsidR="00E40D4F" w:rsidRPr="004930C2">
        <w:rPr>
          <w:i/>
          <w:color w:val="000000" w:themeColor="text1"/>
          <w:sz w:val="20"/>
        </w:rPr>
        <w:t xml:space="preserve">Larix </w:t>
      </w:r>
      <w:proofErr w:type="spellStart"/>
      <w:r w:rsidR="00E40D4F" w:rsidRPr="004930C2">
        <w:rPr>
          <w:i/>
          <w:color w:val="000000" w:themeColor="text1"/>
          <w:sz w:val="20"/>
        </w:rPr>
        <w:t>kaempferi</w:t>
      </w:r>
      <w:proofErr w:type="spellEnd"/>
      <w:r w:rsidR="005D56D6" w:rsidRPr="004930C2">
        <w:rPr>
          <w:color w:val="000000" w:themeColor="text1"/>
          <w:sz w:val="20"/>
        </w:rPr>
        <w:t xml:space="preserve"> </w:t>
      </w:r>
      <w:proofErr w:type="spellStart"/>
      <w:r w:rsidR="005D56D6" w:rsidRPr="004930C2">
        <w:rPr>
          <w:color w:val="000000" w:themeColor="text1"/>
          <w:sz w:val="20"/>
        </w:rPr>
        <w:t>Sarg</w:t>
      </w:r>
      <w:proofErr w:type="spellEnd"/>
      <w:r w:rsidR="005D56D6" w:rsidRPr="004930C2">
        <w:rPr>
          <w:color w:val="000000" w:themeColor="text1"/>
          <w:sz w:val="20"/>
        </w:rPr>
        <w:t>.</w:t>
      </w:r>
      <w:r w:rsidR="00E40D4F" w:rsidRPr="004930C2">
        <w:rPr>
          <w:color w:val="000000" w:themeColor="text1"/>
          <w:sz w:val="20"/>
        </w:rPr>
        <w:t>) and dairy manure</w:t>
      </w:r>
      <w:r w:rsidR="005E167C" w:rsidRPr="004930C2">
        <w:rPr>
          <w:color w:val="000000" w:themeColor="text1"/>
          <w:sz w:val="20"/>
        </w:rPr>
        <w:t xml:space="preserve"> </w:t>
      </w:r>
      <w:r w:rsidR="00E40D4F" w:rsidRPr="004930C2">
        <w:rPr>
          <w:color w:val="000000" w:themeColor="text1"/>
          <w:sz w:val="20"/>
        </w:rPr>
        <w:t>at 300</w:t>
      </w:r>
      <w:r w:rsidR="00C31946" w:rsidRPr="004930C2">
        <w:rPr>
          <w:color w:val="000000" w:themeColor="text1"/>
          <w:sz w:val="20"/>
        </w:rPr>
        <w:t>°C</w:t>
      </w:r>
      <w:r w:rsidR="00E40D4F" w:rsidRPr="004930C2">
        <w:rPr>
          <w:color w:val="000000" w:themeColor="text1"/>
          <w:sz w:val="20"/>
        </w:rPr>
        <w:t>, 450</w:t>
      </w:r>
      <w:r w:rsidR="00C31946" w:rsidRPr="004930C2">
        <w:rPr>
          <w:color w:val="000000" w:themeColor="text1"/>
          <w:sz w:val="20"/>
        </w:rPr>
        <w:t>°C</w:t>
      </w:r>
      <w:r w:rsidR="00E40D4F" w:rsidRPr="004930C2">
        <w:rPr>
          <w:color w:val="000000" w:themeColor="text1"/>
          <w:sz w:val="20"/>
        </w:rPr>
        <w:t>, and 600</w:t>
      </w:r>
      <w:bookmarkStart w:id="3" w:name="_Hlk28505968"/>
      <w:r w:rsidR="00E40D4F" w:rsidRPr="004930C2">
        <w:rPr>
          <w:color w:val="000000" w:themeColor="text1"/>
          <w:sz w:val="20"/>
        </w:rPr>
        <w:t xml:space="preserve">°C </w:t>
      </w:r>
      <w:bookmarkEnd w:id="3"/>
      <w:r w:rsidR="00E40D4F" w:rsidRPr="004930C2">
        <w:rPr>
          <w:color w:val="000000" w:themeColor="text1"/>
          <w:sz w:val="20"/>
        </w:rPr>
        <w:t xml:space="preserve">for 1 h. </w:t>
      </w:r>
      <w:r w:rsidR="00910278" w:rsidRPr="004930C2">
        <w:rPr>
          <w:color w:val="000000" w:themeColor="text1"/>
          <w:sz w:val="20"/>
        </w:rPr>
        <w:t>C</w:t>
      </w:r>
      <w:r w:rsidR="00E40D4F" w:rsidRPr="004930C2">
        <w:rPr>
          <w:color w:val="000000" w:themeColor="text1"/>
          <w:sz w:val="20"/>
        </w:rPr>
        <w:t>ompost was applied as control</w:t>
      </w:r>
      <w:r w:rsidR="00202769" w:rsidRPr="004930C2">
        <w:rPr>
          <w:color w:val="000000" w:themeColor="text1"/>
          <w:sz w:val="20"/>
        </w:rPr>
        <w:t>,</w:t>
      </w:r>
      <w:r w:rsidR="00E40D4F" w:rsidRPr="004930C2">
        <w:rPr>
          <w:color w:val="000000" w:themeColor="text1"/>
          <w:sz w:val="20"/>
        </w:rPr>
        <w:t xml:space="preserve"> and</w:t>
      </w:r>
      <w:r w:rsidR="00BC4ED9" w:rsidRPr="004930C2">
        <w:rPr>
          <w:color w:val="000000" w:themeColor="text1"/>
          <w:sz w:val="20"/>
        </w:rPr>
        <w:t xml:space="preserve"> </w:t>
      </w:r>
      <w:r w:rsidR="00FA6596" w:rsidRPr="004930C2">
        <w:rPr>
          <w:color w:val="000000" w:themeColor="text1"/>
          <w:sz w:val="20"/>
        </w:rPr>
        <w:t>each</w:t>
      </w:r>
      <w:r w:rsidR="00BC4ED9" w:rsidRPr="004930C2">
        <w:rPr>
          <w:color w:val="000000" w:themeColor="text1"/>
          <w:sz w:val="20"/>
        </w:rPr>
        <w:t xml:space="preserve"> </w:t>
      </w:r>
      <w:r w:rsidR="00E40D4F" w:rsidRPr="004930C2">
        <w:rPr>
          <w:color w:val="000000" w:themeColor="text1"/>
          <w:sz w:val="20"/>
        </w:rPr>
        <w:t xml:space="preserve">biochar </w:t>
      </w:r>
      <w:r w:rsidR="00794DCF" w:rsidRPr="004930C2">
        <w:rPr>
          <w:color w:val="000000" w:themeColor="text1"/>
          <w:sz w:val="20"/>
        </w:rPr>
        <w:t xml:space="preserve">was </w:t>
      </w:r>
      <w:r w:rsidR="00011773" w:rsidRPr="004930C2">
        <w:rPr>
          <w:color w:val="000000" w:themeColor="text1"/>
          <w:sz w:val="20"/>
        </w:rPr>
        <w:t>co-</w:t>
      </w:r>
      <w:r w:rsidR="00E40D4F" w:rsidRPr="004930C2">
        <w:rPr>
          <w:color w:val="000000" w:themeColor="text1"/>
          <w:sz w:val="20"/>
        </w:rPr>
        <w:t>applied</w:t>
      </w:r>
      <w:r w:rsidR="00FA6596" w:rsidRPr="004930C2">
        <w:rPr>
          <w:color w:val="000000" w:themeColor="text1"/>
          <w:sz w:val="20"/>
        </w:rPr>
        <w:t xml:space="preserve"> with compost</w:t>
      </w:r>
      <w:r w:rsidR="00E40D4F" w:rsidRPr="004930C2">
        <w:rPr>
          <w:color w:val="000000" w:themeColor="text1"/>
          <w:sz w:val="20"/>
        </w:rPr>
        <w:t xml:space="preserve"> to oat plant</w:t>
      </w:r>
      <w:r w:rsidR="00011773" w:rsidRPr="004930C2">
        <w:rPr>
          <w:color w:val="000000" w:themeColor="text1"/>
          <w:sz w:val="20"/>
        </w:rPr>
        <w:t>s</w:t>
      </w:r>
      <w:r w:rsidR="00E40D4F" w:rsidRPr="004930C2">
        <w:rPr>
          <w:color w:val="000000" w:themeColor="text1"/>
          <w:sz w:val="20"/>
        </w:rPr>
        <w:t xml:space="preserve"> (</w:t>
      </w:r>
      <w:proofErr w:type="spellStart"/>
      <w:r w:rsidR="00E40D4F" w:rsidRPr="004930C2">
        <w:rPr>
          <w:i/>
          <w:color w:val="000000" w:themeColor="text1"/>
          <w:sz w:val="20"/>
        </w:rPr>
        <w:t>Avena</w:t>
      </w:r>
      <w:proofErr w:type="spellEnd"/>
      <w:r w:rsidR="00E40D4F" w:rsidRPr="004930C2">
        <w:rPr>
          <w:i/>
          <w:color w:val="000000" w:themeColor="text1"/>
          <w:sz w:val="20"/>
        </w:rPr>
        <w:t xml:space="preserve"> sativa</w:t>
      </w:r>
      <w:r w:rsidR="00E40D4F" w:rsidRPr="004930C2">
        <w:rPr>
          <w:color w:val="000000" w:themeColor="text1"/>
          <w:sz w:val="20"/>
        </w:rPr>
        <w:t xml:space="preserve"> L.). </w:t>
      </w:r>
      <w:bookmarkStart w:id="4" w:name="_Hlk6926657"/>
      <w:r w:rsidR="00964313" w:rsidRPr="004930C2">
        <w:rPr>
          <w:color w:val="000000" w:themeColor="text1"/>
          <w:sz w:val="20"/>
        </w:rPr>
        <w:t>The t</w:t>
      </w:r>
      <w:r w:rsidR="00D06BC6" w:rsidRPr="004930C2">
        <w:rPr>
          <w:color w:val="000000" w:themeColor="text1"/>
          <w:sz w:val="20"/>
        </w:rPr>
        <w:t>otal nitrogen input of a</w:t>
      </w:r>
      <w:r w:rsidR="00816DB4" w:rsidRPr="004930C2">
        <w:rPr>
          <w:color w:val="000000" w:themeColor="text1"/>
          <w:sz w:val="20"/>
        </w:rPr>
        <w:t>ll the</w:t>
      </w:r>
      <w:r w:rsidR="00011773" w:rsidRPr="004930C2">
        <w:rPr>
          <w:color w:val="000000" w:themeColor="text1"/>
          <w:sz w:val="20"/>
        </w:rPr>
        <w:t xml:space="preserve"> </w:t>
      </w:r>
      <w:r w:rsidR="00816DB4" w:rsidRPr="004930C2">
        <w:rPr>
          <w:color w:val="000000" w:themeColor="text1"/>
          <w:sz w:val="20"/>
        </w:rPr>
        <w:t xml:space="preserve">seven </w:t>
      </w:r>
      <w:r w:rsidR="00011773" w:rsidRPr="004930C2">
        <w:rPr>
          <w:color w:val="000000" w:themeColor="text1"/>
          <w:sz w:val="20"/>
        </w:rPr>
        <w:t xml:space="preserve">treatments </w:t>
      </w:r>
      <w:bookmarkEnd w:id="4"/>
      <w:r w:rsidR="00964313" w:rsidRPr="004930C2">
        <w:rPr>
          <w:color w:val="000000" w:themeColor="text1"/>
          <w:sz w:val="20"/>
        </w:rPr>
        <w:t xml:space="preserve">was </w:t>
      </w:r>
      <w:r w:rsidR="00D06BC6" w:rsidRPr="004930C2">
        <w:rPr>
          <w:color w:val="000000" w:themeColor="text1"/>
          <w:sz w:val="20"/>
        </w:rPr>
        <w:t>adjusted</w:t>
      </w:r>
      <w:r w:rsidR="00E40D4F" w:rsidRPr="004930C2">
        <w:rPr>
          <w:color w:val="000000" w:themeColor="text1"/>
          <w:sz w:val="20"/>
        </w:rPr>
        <w:t xml:space="preserve"> </w:t>
      </w:r>
      <w:r w:rsidR="00C950FC" w:rsidRPr="004930C2">
        <w:rPr>
          <w:color w:val="000000" w:themeColor="text1"/>
          <w:sz w:val="20"/>
        </w:rPr>
        <w:t xml:space="preserve">to the same level </w:t>
      </w:r>
      <w:r w:rsidR="00FE2D6C" w:rsidRPr="004930C2">
        <w:rPr>
          <w:color w:val="000000" w:themeColor="text1"/>
          <w:sz w:val="20"/>
        </w:rPr>
        <w:t xml:space="preserve">to </w:t>
      </w:r>
      <w:r w:rsidR="00E40D4F" w:rsidRPr="004930C2">
        <w:rPr>
          <w:color w:val="000000" w:themeColor="text1"/>
          <w:sz w:val="20"/>
        </w:rPr>
        <w:t>assess the</w:t>
      </w:r>
      <w:r w:rsidR="00011773" w:rsidRPr="004930C2">
        <w:rPr>
          <w:color w:val="000000" w:themeColor="text1"/>
          <w:sz w:val="20"/>
        </w:rPr>
        <w:t>ir</w:t>
      </w:r>
      <w:r w:rsidR="00E40D4F" w:rsidRPr="004930C2">
        <w:rPr>
          <w:color w:val="000000" w:themeColor="text1"/>
          <w:sz w:val="20"/>
        </w:rPr>
        <w:t xml:space="preserve"> effect</w:t>
      </w:r>
      <w:r w:rsidR="00011773" w:rsidRPr="004930C2">
        <w:rPr>
          <w:color w:val="000000" w:themeColor="text1"/>
          <w:sz w:val="20"/>
        </w:rPr>
        <w:t>s</w:t>
      </w:r>
      <w:r w:rsidR="00E40D4F" w:rsidRPr="004930C2">
        <w:rPr>
          <w:color w:val="000000" w:themeColor="text1"/>
          <w:sz w:val="20"/>
        </w:rPr>
        <w:t xml:space="preserve"> on plant nitrogen uptake</w:t>
      </w:r>
      <w:r w:rsidR="00865A72" w:rsidRPr="004930C2">
        <w:rPr>
          <w:color w:val="000000" w:themeColor="text1"/>
          <w:sz w:val="20"/>
        </w:rPr>
        <w:t xml:space="preserve"> and nitrogen content</w:t>
      </w:r>
      <w:r w:rsidR="00E40D4F" w:rsidRPr="004930C2">
        <w:rPr>
          <w:color w:val="000000" w:themeColor="text1"/>
          <w:sz w:val="20"/>
        </w:rPr>
        <w:t>.</w:t>
      </w:r>
    </w:p>
    <w:p w14:paraId="3EA4C9ED" w14:textId="711869AD" w:rsidR="00E0313D" w:rsidRPr="004930C2" w:rsidRDefault="00011773" w:rsidP="00330D39">
      <w:pPr>
        <w:widowControl w:val="0"/>
        <w:spacing w:line="480" w:lineRule="auto"/>
        <w:rPr>
          <w:color w:val="000000" w:themeColor="text1"/>
          <w:sz w:val="20"/>
        </w:rPr>
      </w:pPr>
      <w:r w:rsidRPr="004930C2">
        <w:rPr>
          <w:i/>
          <w:color w:val="000000" w:themeColor="text1"/>
          <w:sz w:val="20"/>
        </w:rPr>
        <w:t>Results</w:t>
      </w:r>
      <w:r w:rsidR="00F30B4B" w:rsidRPr="004930C2">
        <w:rPr>
          <w:i/>
          <w:color w:val="000000" w:themeColor="text1"/>
          <w:sz w:val="20"/>
        </w:rPr>
        <w:t>:</w:t>
      </w:r>
      <w:r w:rsidR="00E40D4F" w:rsidRPr="004930C2">
        <w:rPr>
          <w:color w:val="000000" w:themeColor="text1"/>
          <w:sz w:val="20"/>
        </w:rPr>
        <w:t xml:space="preserve"> </w:t>
      </w:r>
      <w:r w:rsidRPr="004930C2">
        <w:rPr>
          <w:color w:val="000000" w:themeColor="text1"/>
          <w:sz w:val="20"/>
        </w:rPr>
        <w:t>Compared with the control, b</w:t>
      </w:r>
      <w:r w:rsidR="00E40D4F" w:rsidRPr="004930C2">
        <w:rPr>
          <w:color w:val="000000" w:themeColor="text1"/>
          <w:sz w:val="20"/>
        </w:rPr>
        <w:t>iomass production increased from 13.1</w:t>
      </w:r>
      <w:r w:rsidR="00867B9E" w:rsidRPr="004930C2">
        <w:rPr>
          <w:color w:val="000000" w:themeColor="text1"/>
          <w:sz w:val="20"/>
        </w:rPr>
        <w:t>%</w:t>
      </w:r>
      <w:r w:rsidR="007E2F1F">
        <w:rPr>
          <w:color w:val="000000" w:themeColor="text1"/>
          <w:sz w:val="20"/>
        </w:rPr>
        <w:t xml:space="preserve"> to </w:t>
      </w:r>
      <w:r w:rsidR="00E40D4F" w:rsidRPr="004930C2">
        <w:rPr>
          <w:color w:val="000000" w:themeColor="text1"/>
          <w:sz w:val="20"/>
        </w:rPr>
        <w:t xml:space="preserve">34.0% with </w:t>
      </w:r>
      <w:r w:rsidR="00964313" w:rsidRPr="004930C2">
        <w:rPr>
          <w:color w:val="000000" w:themeColor="text1"/>
          <w:sz w:val="20"/>
        </w:rPr>
        <w:t xml:space="preserve">the </w:t>
      </w:r>
      <w:r w:rsidR="007002B1" w:rsidRPr="004930C2">
        <w:rPr>
          <w:color w:val="000000" w:themeColor="text1"/>
          <w:sz w:val="20"/>
        </w:rPr>
        <w:t>wood-</w:t>
      </w:r>
      <w:r w:rsidR="00E40D4F" w:rsidRPr="004930C2">
        <w:rPr>
          <w:color w:val="000000" w:themeColor="text1"/>
          <w:sz w:val="20"/>
        </w:rPr>
        <w:t xml:space="preserve">biochar application and </w:t>
      </w:r>
      <w:r w:rsidRPr="004930C2">
        <w:rPr>
          <w:color w:val="000000" w:themeColor="text1"/>
          <w:sz w:val="20"/>
        </w:rPr>
        <w:t xml:space="preserve">from </w:t>
      </w:r>
      <w:r w:rsidR="00E40D4F" w:rsidRPr="004930C2">
        <w:rPr>
          <w:color w:val="000000" w:themeColor="text1"/>
          <w:sz w:val="20"/>
        </w:rPr>
        <w:t>39.7</w:t>
      </w:r>
      <w:r w:rsidR="00867B9E" w:rsidRPr="004930C2">
        <w:rPr>
          <w:color w:val="000000" w:themeColor="text1"/>
          <w:sz w:val="20"/>
        </w:rPr>
        <w:t>%</w:t>
      </w:r>
      <w:r w:rsidR="007E2F1F">
        <w:rPr>
          <w:color w:val="000000" w:themeColor="text1"/>
          <w:sz w:val="20"/>
        </w:rPr>
        <w:t xml:space="preserve"> to </w:t>
      </w:r>
      <w:r w:rsidR="00E40D4F" w:rsidRPr="004930C2">
        <w:rPr>
          <w:color w:val="000000" w:themeColor="text1"/>
          <w:sz w:val="20"/>
        </w:rPr>
        <w:t xml:space="preserve">64.2% with </w:t>
      </w:r>
      <w:r w:rsidR="007002B1" w:rsidRPr="004930C2">
        <w:rPr>
          <w:color w:val="000000" w:themeColor="text1"/>
          <w:sz w:val="20"/>
        </w:rPr>
        <w:t>manure</w:t>
      </w:r>
      <w:r w:rsidR="007E2F1F">
        <w:rPr>
          <w:color w:val="000000" w:themeColor="text1"/>
          <w:sz w:val="20"/>
        </w:rPr>
        <w:t xml:space="preserve"> </w:t>
      </w:r>
      <w:r w:rsidR="00E40D4F" w:rsidRPr="004930C2">
        <w:rPr>
          <w:color w:val="000000" w:themeColor="text1"/>
          <w:sz w:val="20"/>
        </w:rPr>
        <w:t>biochar application</w:t>
      </w:r>
      <w:r w:rsidR="00EC5940" w:rsidRPr="004930C2">
        <w:rPr>
          <w:color w:val="000000" w:themeColor="text1"/>
          <w:sz w:val="20"/>
        </w:rPr>
        <w:t xml:space="preserve"> because of more mineralization of compost and nitrogen fixation through </w:t>
      </w:r>
      <w:r w:rsidR="00AD2618" w:rsidRPr="004930C2">
        <w:rPr>
          <w:color w:val="000000" w:themeColor="text1"/>
          <w:sz w:val="20"/>
        </w:rPr>
        <w:t>rhizobacteria</w:t>
      </w:r>
      <w:r w:rsidR="00434D99" w:rsidRPr="004930C2">
        <w:rPr>
          <w:color w:val="000000" w:themeColor="text1"/>
          <w:sz w:val="20"/>
        </w:rPr>
        <w:t xml:space="preserve"> and/or diazotrophic endophytes</w:t>
      </w:r>
      <w:r w:rsidR="00E40D4F" w:rsidRPr="004930C2">
        <w:rPr>
          <w:color w:val="000000" w:themeColor="text1"/>
          <w:sz w:val="20"/>
        </w:rPr>
        <w:t xml:space="preserve">. </w:t>
      </w:r>
      <w:r w:rsidR="00073D10" w:rsidRPr="004930C2">
        <w:rPr>
          <w:color w:val="000000" w:themeColor="text1"/>
          <w:sz w:val="20"/>
        </w:rPr>
        <w:t>The diversity of biochar caused a difference in the extent of oat growth, and f</w:t>
      </w:r>
      <w:r w:rsidR="00E40D4F" w:rsidRPr="004930C2">
        <w:rPr>
          <w:color w:val="000000" w:themeColor="text1"/>
          <w:sz w:val="20"/>
        </w:rPr>
        <w:t>eedstock type</w:t>
      </w:r>
      <w:r w:rsidR="00554D85" w:rsidRPr="004930C2">
        <w:rPr>
          <w:color w:val="000000" w:themeColor="text1"/>
          <w:sz w:val="20"/>
        </w:rPr>
        <w:t xml:space="preserve"> of biochar</w:t>
      </w:r>
      <w:r w:rsidR="007002B1" w:rsidRPr="004930C2">
        <w:rPr>
          <w:color w:val="000000" w:themeColor="text1"/>
          <w:sz w:val="20"/>
        </w:rPr>
        <w:t xml:space="preserve"> was a more dominant factor than carbonization temperature. Due to the favorable chemical properties of manure-biochar like high pH and more labile-C and -N content, </w:t>
      </w:r>
      <w:r w:rsidR="00964313" w:rsidRPr="004930C2">
        <w:rPr>
          <w:color w:val="000000" w:themeColor="text1"/>
          <w:sz w:val="20"/>
        </w:rPr>
        <w:t xml:space="preserve">the </w:t>
      </w:r>
      <w:r w:rsidR="007002B1" w:rsidRPr="004930C2">
        <w:rPr>
          <w:color w:val="000000" w:themeColor="text1"/>
          <w:sz w:val="20"/>
        </w:rPr>
        <w:t>manure</w:t>
      </w:r>
      <w:r w:rsidR="007E2F1F">
        <w:rPr>
          <w:color w:val="000000" w:themeColor="text1"/>
          <w:sz w:val="20"/>
        </w:rPr>
        <w:t xml:space="preserve"> </w:t>
      </w:r>
      <w:r w:rsidR="00E40D4F" w:rsidRPr="004930C2">
        <w:rPr>
          <w:color w:val="000000" w:themeColor="text1"/>
          <w:sz w:val="20"/>
        </w:rPr>
        <w:t>biochar application</w:t>
      </w:r>
      <w:r w:rsidR="00E0313D" w:rsidRPr="004930C2">
        <w:rPr>
          <w:color w:val="000000" w:themeColor="text1"/>
          <w:sz w:val="20"/>
        </w:rPr>
        <w:t xml:space="preserve"> increased</w:t>
      </w:r>
      <w:r w:rsidR="00E40D4F" w:rsidRPr="004930C2">
        <w:rPr>
          <w:color w:val="000000" w:themeColor="text1"/>
          <w:sz w:val="20"/>
        </w:rPr>
        <w:t xml:space="preserve"> average biomass production</w:t>
      </w:r>
      <w:r w:rsidR="00E0313D" w:rsidRPr="004930C2">
        <w:rPr>
          <w:color w:val="000000" w:themeColor="text1"/>
          <w:sz w:val="20"/>
        </w:rPr>
        <w:t xml:space="preserve"> by 26.0% compared with </w:t>
      </w:r>
      <w:r w:rsidR="00964313" w:rsidRPr="004930C2">
        <w:rPr>
          <w:color w:val="000000" w:themeColor="text1"/>
          <w:sz w:val="20"/>
        </w:rPr>
        <w:t xml:space="preserve">the </w:t>
      </w:r>
      <w:r w:rsidR="007002B1" w:rsidRPr="004930C2">
        <w:rPr>
          <w:color w:val="000000" w:themeColor="text1"/>
          <w:sz w:val="20"/>
        </w:rPr>
        <w:t>wood</w:t>
      </w:r>
      <w:r w:rsidR="007E2F1F">
        <w:rPr>
          <w:color w:val="000000" w:themeColor="text1"/>
          <w:sz w:val="20"/>
        </w:rPr>
        <w:t xml:space="preserve"> </w:t>
      </w:r>
      <w:r w:rsidR="00E40D4F" w:rsidRPr="004930C2">
        <w:rPr>
          <w:color w:val="000000" w:themeColor="text1"/>
          <w:sz w:val="20"/>
        </w:rPr>
        <w:t xml:space="preserve">biochar application. </w:t>
      </w:r>
      <w:r w:rsidR="00300927" w:rsidRPr="004930C2">
        <w:rPr>
          <w:rFonts w:eastAsiaTheme="majorEastAsia"/>
          <w:color w:val="000000" w:themeColor="text1"/>
          <w:sz w:val="20"/>
        </w:rPr>
        <w:t>The</w:t>
      </w:r>
      <w:r w:rsidR="00300927" w:rsidRPr="004930C2">
        <w:rPr>
          <w:color w:val="000000" w:themeColor="text1"/>
          <w:sz w:val="20"/>
        </w:rPr>
        <w:t xml:space="preserve"> </w:t>
      </w:r>
      <w:r w:rsidR="00140178" w:rsidRPr="004930C2">
        <w:rPr>
          <w:color w:val="000000" w:themeColor="text1"/>
          <w:sz w:val="20"/>
        </w:rPr>
        <w:t>carbonization tempe</w:t>
      </w:r>
      <w:r w:rsidR="007B4DBF" w:rsidRPr="004930C2">
        <w:rPr>
          <w:color w:val="000000" w:themeColor="text1"/>
          <w:sz w:val="20"/>
        </w:rPr>
        <w:t>ratu</w:t>
      </w:r>
      <w:r w:rsidR="00140178" w:rsidRPr="004930C2">
        <w:rPr>
          <w:color w:val="000000" w:themeColor="text1"/>
          <w:sz w:val="20"/>
        </w:rPr>
        <w:t xml:space="preserve">re had no significant impact on </w:t>
      </w:r>
      <w:r w:rsidR="00E40D4F" w:rsidRPr="004930C2">
        <w:rPr>
          <w:color w:val="000000" w:themeColor="text1"/>
          <w:sz w:val="20"/>
        </w:rPr>
        <w:t>oat growth</w:t>
      </w:r>
      <w:r w:rsidR="00140178" w:rsidRPr="004930C2">
        <w:rPr>
          <w:color w:val="000000" w:themeColor="text1"/>
          <w:sz w:val="20"/>
        </w:rPr>
        <w:t xml:space="preserve">, </w:t>
      </w:r>
      <w:r w:rsidR="00300927" w:rsidRPr="004930C2">
        <w:rPr>
          <w:rFonts w:eastAsiaTheme="majorEastAsia"/>
          <w:color w:val="000000" w:themeColor="text1"/>
          <w:sz w:val="20"/>
        </w:rPr>
        <w:t>but</w:t>
      </w:r>
      <w:r w:rsidR="00300927" w:rsidRPr="004930C2">
        <w:rPr>
          <w:color w:val="000000" w:themeColor="text1"/>
          <w:sz w:val="20"/>
        </w:rPr>
        <w:t xml:space="preserve"> </w:t>
      </w:r>
      <w:r w:rsidR="00253145" w:rsidRPr="004930C2">
        <w:rPr>
          <w:color w:val="000000" w:themeColor="text1"/>
          <w:sz w:val="20"/>
        </w:rPr>
        <w:t>the</w:t>
      </w:r>
      <w:r w:rsidR="00140178" w:rsidRPr="004930C2">
        <w:rPr>
          <w:color w:val="000000" w:themeColor="text1"/>
          <w:sz w:val="20"/>
        </w:rPr>
        <w:t xml:space="preserve"> optimal </w:t>
      </w:r>
      <w:r w:rsidR="00300927" w:rsidRPr="004930C2">
        <w:rPr>
          <w:color w:val="000000" w:themeColor="text1"/>
          <w:sz w:val="20"/>
        </w:rPr>
        <w:t xml:space="preserve">temperature </w:t>
      </w:r>
      <w:r w:rsidR="00300927" w:rsidRPr="004930C2">
        <w:rPr>
          <w:rFonts w:eastAsiaTheme="majorEastAsia"/>
          <w:color w:val="000000" w:themeColor="text1"/>
          <w:sz w:val="20"/>
        </w:rPr>
        <w:t>was indicated as approximately</w:t>
      </w:r>
      <w:r w:rsidR="00300927" w:rsidRPr="004930C2">
        <w:rPr>
          <w:color w:val="000000" w:themeColor="text1"/>
          <w:sz w:val="20"/>
        </w:rPr>
        <w:t xml:space="preserve"> </w:t>
      </w:r>
      <w:r w:rsidR="00E40D4F" w:rsidRPr="004930C2">
        <w:rPr>
          <w:color w:val="000000" w:themeColor="text1"/>
          <w:sz w:val="20"/>
        </w:rPr>
        <w:t>450</w:t>
      </w:r>
      <w:r w:rsidR="007E2F1F">
        <w:rPr>
          <w:color w:val="000000" w:themeColor="text1"/>
          <w:sz w:val="20"/>
        </w:rPr>
        <w:t xml:space="preserve"> </w:t>
      </w:r>
      <w:r w:rsidR="00E40D4F" w:rsidRPr="004930C2">
        <w:rPr>
          <w:color w:val="000000" w:themeColor="text1"/>
          <w:sz w:val="20"/>
        </w:rPr>
        <w:t>°C.</w:t>
      </w:r>
    </w:p>
    <w:p w14:paraId="4854CDA2" w14:textId="3DDE3D43" w:rsidR="00F3789C" w:rsidRPr="004930C2" w:rsidRDefault="00E0313D" w:rsidP="00330D39">
      <w:pPr>
        <w:widowControl w:val="0"/>
        <w:spacing w:line="480" w:lineRule="auto"/>
        <w:rPr>
          <w:rFonts w:eastAsiaTheme="majorEastAsia"/>
          <w:color w:val="000000" w:themeColor="text1"/>
          <w:sz w:val="20"/>
        </w:rPr>
      </w:pPr>
      <w:r w:rsidRPr="004930C2">
        <w:rPr>
          <w:i/>
          <w:color w:val="000000" w:themeColor="text1"/>
          <w:sz w:val="20"/>
        </w:rPr>
        <w:t>Conclusions:</w:t>
      </w:r>
      <w:r w:rsidR="00E40D4F" w:rsidRPr="004930C2">
        <w:rPr>
          <w:color w:val="000000" w:themeColor="text1"/>
          <w:sz w:val="20"/>
        </w:rPr>
        <w:t xml:space="preserve"> </w:t>
      </w:r>
      <w:r w:rsidR="00300927" w:rsidRPr="004930C2">
        <w:rPr>
          <w:rFonts w:eastAsiaTheme="majorEastAsia"/>
          <w:color w:val="000000" w:themeColor="text1"/>
          <w:sz w:val="20"/>
        </w:rPr>
        <w:t>B</w:t>
      </w:r>
      <w:r w:rsidR="00AC7CFA" w:rsidRPr="004930C2">
        <w:rPr>
          <w:rFonts w:eastAsiaTheme="majorEastAsia"/>
          <w:color w:val="000000" w:themeColor="text1"/>
          <w:sz w:val="20"/>
        </w:rPr>
        <w:t>iochar</w:t>
      </w:r>
      <w:r w:rsidR="00AC7CFA" w:rsidRPr="004930C2">
        <w:rPr>
          <w:color w:val="000000" w:themeColor="text1"/>
          <w:sz w:val="20"/>
        </w:rPr>
        <w:t xml:space="preserve"> </w:t>
      </w:r>
      <w:r w:rsidR="00300927" w:rsidRPr="004930C2">
        <w:rPr>
          <w:color w:val="000000" w:themeColor="text1"/>
          <w:sz w:val="20"/>
        </w:rPr>
        <w:t xml:space="preserve">diversity </w:t>
      </w:r>
      <w:r w:rsidR="00AC7CFA" w:rsidRPr="004930C2">
        <w:rPr>
          <w:color w:val="000000" w:themeColor="text1"/>
          <w:sz w:val="20"/>
        </w:rPr>
        <w:t>causes a difference in plant growth in biochar-compost application and the selection of appropriate biochar, such as manure</w:t>
      </w:r>
      <w:r w:rsidR="007E2F1F">
        <w:rPr>
          <w:color w:val="000000" w:themeColor="text1"/>
          <w:sz w:val="20"/>
        </w:rPr>
        <w:t xml:space="preserve"> </w:t>
      </w:r>
      <w:r w:rsidR="00AC7CFA" w:rsidRPr="004930C2">
        <w:rPr>
          <w:color w:val="000000" w:themeColor="text1"/>
          <w:sz w:val="20"/>
        </w:rPr>
        <w:t>biochar</w:t>
      </w:r>
      <w:r w:rsidR="00773744" w:rsidRPr="004930C2">
        <w:rPr>
          <w:color w:val="000000" w:themeColor="text1"/>
          <w:sz w:val="20"/>
        </w:rPr>
        <w:t xml:space="preserve"> at</w:t>
      </w:r>
      <w:r w:rsidR="00AC7CFA" w:rsidRPr="004930C2">
        <w:rPr>
          <w:color w:val="000000" w:themeColor="text1"/>
          <w:sz w:val="20"/>
        </w:rPr>
        <w:t xml:space="preserve"> 450</w:t>
      </w:r>
      <w:r w:rsidR="007E2F1F">
        <w:rPr>
          <w:color w:val="000000" w:themeColor="text1"/>
          <w:sz w:val="20"/>
        </w:rPr>
        <w:t xml:space="preserve"> </w:t>
      </w:r>
      <w:r w:rsidR="00AC7CFA" w:rsidRPr="004930C2">
        <w:rPr>
          <w:color w:val="000000" w:themeColor="text1"/>
          <w:sz w:val="20"/>
        </w:rPr>
        <w:t xml:space="preserve">°C, </w:t>
      </w:r>
      <w:r w:rsidR="006F3329" w:rsidRPr="004930C2">
        <w:rPr>
          <w:color w:val="000000" w:themeColor="text1"/>
          <w:sz w:val="20"/>
        </w:rPr>
        <w:t xml:space="preserve">would </w:t>
      </w:r>
      <w:r w:rsidR="00F774B4" w:rsidRPr="004930C2">
        <w:rPr>
          <w:color w:val="000000" w:themeColor="text1"/>
          <w:sz w:val="20"/>
        </w:rPr>
        <w:t xml:space="preserve">be a </w:t>
      </w:r>
      <w:r w:rsidR="00773744" w:rsidRPr="004930C2">
        <w:rPr>
          <w:color w:val="000000" w:themeColor="text1"/>
          <w:sz w:val="20"/>
        </w:rPr>
        <w:t xml:space="preserve">guideline for achieving </w:t>
      </w:r>
      <w:r w:rsidR="00F774B4" w:rsidRPr="004930C2">
        <w:rPr>
          <w:color w:val="000000" w:themeColor="text1"/>
          <w:sz w:val="20"/>
        </w:rPr>
        <w:t>a</w:t>
      </w:r>
      <w:r w:rsidR="00773744" w:rsidRPr="004930C2">
        <w:rPr>
          <w:color w:val="000000" w:themeColor="text1"/>
          <w:sz w:val="20"/>
        </w:rPr>
        <w:t xml:space="preserve"> robust crop production system</w:t>
      </w:r>
      <w:r w:rsidR="00F30B4B" w:rsidRPr="004930C2">
        <w:rPr>
          <w:color w:val="000000" w:themeColor="text1"/>
          <w:sz w:val="20"/>
        </w:rPr>
        <w:t>.</w:t>
      </w:r>
    </w:p>
    <w:p w14:paraId="67886AC0" w14:textId="77777777" w:rsidR="00300927" w:rsidRPr="004930C2" w:rsidRDefault="00300927" w:rsidP="00300927">
      <w:pPr>
        <w:spacing w:line="480" w:lineRule="auto"/>
        <w:rPr>
          <w:color w:val="000000" w:themeColor="text1"/>
          <w:sz w:val="20"/>
        </w:rPr>
      </w:pPr>
      <w:r w:rsidRPr="004930C2">
        <w:rPr>
          <w:b/>
          <w:color w:val="000000" w:themeColor="text1"/>
          <w:sz w:val="20"/>
        </w:rPr>
        <w:t>Keywords</w:t>
      </w:r>
    </w:p>
    <w:p w14:paraId="77742C4D" w14:textId="77777777" w:rsidR="00300927" w:rsidRPr="004930C2" w:rsidRDefault="00300927" w:rsidP="00300927">
      <w:pPr>
        <w:spacing w:line="480" w:lineRule="auto"/>
        <w:rPr>
          <w:color w:val="000000" w:themeColor="text1"/>
          <w:sz w:val="20"/>
        </w:rPr>
      </w:pPr>
      <w:r w:rsidRPr="004930C2">
        <w:rPr>
          <w:color w:val="000000" w:themeColor="text1"/>
          <w:sz w:val="20"/>
        </w:rPr>
        <w:t>biomass, feedstock type, wood biochar, dairy manure biochar, carbonization temperature</w:t>
      </w:r>
    </w:p>
    <w:p w14:paraId="50A27671" w14:textId="77777777" w:rsidR="00300927" w:rsidRPr="004930C2" w:rsidRDefault="00300927" w:rsidP="00330D39">
      <w:pPr>
        <w:widowControl w:val="0"/>
        <w:spacing w:line="480" w:lineRule="auto"/>
        <w:rPr>
          <w:color w:val="000000" w:themeColor="text1"/>
          <w:sz w:val="20"/>
        </w:rPr>
        <w:sectPr w:rsidR="00300927" w:rsidRPr="004930C2" w:rsidSect="001A1B78">
          <w:headerReference w:type="default" r:id="rId30"/>
          <w:pgSz w:w="11900" w:h="16840"/>
          <w:pgMar w:top="1418" w:right="1418" w:bottom="1418" w:left="1418" w:header="851" w:footer="567" w:gutter="0"/>
          <w:lnNumType w:countBy="1" w:restart="continuous"/>
          <w:cols w:space="720"/>
          <w:docGrid w:type="linesAndChars" w:linePitch="333" w:charSpace="-2287"/>
        </w:sectPr>
      </w:pPr>
    </w:p>
    <w:p w14:paraId="78619EA2" w14:textId="77777777" w:rsidR="00E40D4F" w:rsidRPr="004930C2" w:rsidRDefault="00E40D4F" w:rsidP="00330D39">
      <w:pPr>
        <w:spacing w:line="480" w:lineRule="auto"/>
        <w:rPr>
          <w:b/>
          <w:color w:val="000000" w:themeColor="text1"/>
          <w:sz w:val="20"/>
        </w:rPr>
      </w:pPr>
      <w:r w:rsidRPr="004930C2">
        <w:rPr>
          <w:b/>
          <w:color w:val="000000" w:themeColor="text1"/>
          <w:sz w:val="20"/>
        </w:rPr>
        <w:lastRenderedPageBreak/>
        <w:t>1. Introduction</w:t>
      </w:r>
    </w:p>
    <w:p w14:paraId="772432A1" w14:textId="3CA82731" w:rsidR="00E40D4F" w:rsidRPr="004930C2" w:rsidRDefault="00B21B85" w:rsidP="00330D39">
      <w:pPr>
        <w:spacing w:line="480" w:lineRule="auto"/>
        <w:rPr>
          <w:color w:val="000000" w:themeColor="text1"/>
          <w:sz w:val="20"/>
        </w:rPr>
      </w:pPr>
      <w:r w:rsidRPr="004930C2">
        <w:rPr>
          <w:color w:val="000000" w:themeColor="text1"/>
          <w:sz w:val="20"/>
        </w:rPr>
        <w:t>The use of organic fertilizer</w:t>
      </w:r>
      <w:r w:rsidR="00964313" w:rsidRPr="004930C2">
        <w:rPr>
          <w:color w:val="000000" w:themeColor="text1"/>
          <w:sz w:val="20"/>
        </w:rPr>
        <w:t>s</w:t>
      </w:r>
      <w:r w:rsidR="00897F8F" w:rsidRPr="004930C2">
        <w:rPr>
          <w:color w:val="000000" w:themeColor="text1"/>
          <w:sz w:val="20"/>
        </w:rPr>
        <w:t>,</w:t>
      </w:r>
      <w:r w:rsidRPr="004930C2">
        <w:rPr>
          <w:color w:val="000000" w:themeColor="text1"/>
          <w:sz w:val="20"/>
        </w:rPr>
        <w:t xml:space="preserve"> such as compost</w:t>
      </w:r>
      <w:r w:rsidR="00897F8F" w:rsidRPr="004930C2">
        <w:rPr>
          <w:color w:val="000000" w:themeColor="text1"/>
          <w:sz w:val="20"/>
        </w:rPr>
        <w:t>,</w:t>
      </w:r>
      <w:r w:rsidRPr="004930C2">
        <w:rPr>
          <w:color w:val="000000" w:themeColor="text1"/>
          <w:sz w:val="20"/>
        </w:rPr>
        <w:t xml:space="preserve"> is fundamental </w:t>
      </w:r>
      <w:r w:rsidR="00897F8F" w:rsidRPr="004930C2">
        <w:rPr>
          <w:color w:val="000000" w:themeColor="text1"/>
          <w:sz w:val="20"/>
        </w:rPr>
        <w:t>to</w:t>
      </w:r>
      <w:r w:rsidRPr="004930C2">
        <w:rPr>
          <w:color w:val="000000" w:themeColor="text1"/>
          <w:sz w:val="20"/>
        </w:rPr>
        <w:t xml:space="preserve"> achieving sustainable crop production system</w:t>
      </w:r>
      <w:r w:rsidR="00897F8F" w:rsidRPr="004930C2">
        <w:rPr>
          <w:color w:val="000000" w:themeColor="text1"/>
          <w:sz w:val="20"/>
        </w:rPr>
        <w:t>s</w:t>
      </w:r>
      <w:r w:rsidRPr="004930C2">
        <w:rPr>
          <w:color w:val="000000" w:themeColor="text1"/>
          <w:sz w:val="20"/>
        </w:rPr>
        <w:t xml:space="preserve">. However, </w:t>
      </w:r>
      <w:r w:rsidR="00395C27" w:rsidRPr="004930C2">
        <w:rPr>
          <w:color w:val="000000" w:themeColor="text1"/>
          <w:sz w:val="20"/>
        </w:rPr>
        <w:t xml:space="preserve">using </w:t>
      </w:r>
      <w:r w:rsidRPr="004930C2">
        <w:rPr>
          <w:color w:val="000000" w:themeColor="text1"/>
          <w:sz w:val="20"/>
        </w:rPr>
        <w:t>compost</w:t>
      </w:r>
      <w:r w:rsidR="00395C27" w:rsidRPr="004930C2">
        <w:rPr>
          <w:color w:val="000000" w:themeColor="text1"/>
          <w:sz w:val="20"/>
        </w:rPr>
        <w:t xml:space="preserve"> over chemical fertilizer</w:t>
      </w:r>
      <w:r w:rsidRPr="004930C2">
        <w:rPr>
          <w:color w:val="000000" w:themeColor="text1"/>
          <w:sz w:val="20"/>
        </w:rPr>
        <w:t xml:space="preserve"> </w:t>
      </w:r>
      <w:r w:rsidR="007D6D7A" w:rsidRPr="004930C2">
        <w:rPr>
          <w:color w:val="000000" w:themeColor="text1"/>
          <w:sz w:val="20"/>
        </w:rPr>
        <w:t>results in</w:t>
      </w:r>
      <w:r w:rsidRPr="004930C2">
        <w:rPr>
          <w:color w:val="000000" w:themeColor="text1"/>
          <w:sz w:val="20"/>
        </w:rPr>
        <w:t xml:space="preserve"> lower crop productivity and it is currently difficult to use compost alone to meet </w:t>
      </w:r>
      <w:r w:rsidR="007D6D7A" w:rsidRPr="004930C2">
        <w:rPr>
          <w:color w:val="000000" w:themeColor="text1"/>
          <w:sz w:val="20"/>
        </w:rPr>
        <w:t xml:space="preserve">the </w:t>
      </w:r>
      <w:r w:rsidRPr="004930C2">
        <w:rPr>
          <w:color w:val="000000" w:themeColor="text1"/>
          <w:sz w:val="20"/>
        </w:rPr>
        <w:t>food demand</w:t>
      </w:r>
      <w:r w:rsidR="007D6D7A" w:rsidRPr="004930C2">
        <w:rPr>
          <w:color w:val="000000" w:themeColor="text1"/>
          <w:sz w:val="20"/>
        </w:rPr>
        <w:t>s</w:t>
      </w:r>
      <w:r w:rsidRPr="004930C2">
        <w:rPr>
          <w:color w:val="000000" w:themeColor="text1"/>
          <w:sz w:val="20"/>
        </w:rPr>
        <w:t xml:space="preserve"> associated with rapid population growth. The low crop productivity is </w:t>
      </w:r>
      <w:r w:rsidR="003D5442" w:rsidRPr="004930C2">
        <w:rPr>
          <w:color w:val="000000" w:themeColor="text1"/>
          <w:sz w:val="20"/>
        </w:rPr>
        <w:t>primari</w:t>
      </w:r>
      <w:r w:rsidRPr="004930C2">
        <w:rPr>
          <w:color w:val="000000" w:themeColor="text1"/>
          <w:sz w:val="20"/>
        </w:rPr>
        <w:t xml:space="preserve">ly due to the existing form of </w:t>
      </w:r>
      <w:r w:rsidR="00FB2D57" w:rsidRPr="004930C2">
        <w:rPr>
          <w:color w:val="000000" w:themeColor="text1"/>
          <w:sz w:val="20"/>
        </w:rPr>
        <w:t>nitrogen</w:t>
      </w:r>
      <w:r w:rsidRPr="004930C2">
        <w:rPr>
          <w:color w:val="000000" w:themeColor="text1"/>
          <w:sz w:val="20"/>
        </w:rPr>
        <w:t xml:space="preserve"> in compost. Microbial mineralization of </w:t>
      </w:r>
      <w:r w:rsidR="009F5516" w:rsidRPr="004930C2">
        <w:rPr>
          <w:color w:val="000000" w:themeColor="text1"/>
          <w:sz w:val="20"/>
        </w:rPr>
        <w:t xml:space="preserve">the </w:t>
      </w:r>
      <w:r w:rsidRPr="004930C2">
        <w:rPr>
          <w:color w:val="000000" w:themeColor="text1"/>
          <w:sz w:val="20"/>
        </w:rPr>
        <w:t xml:space="preserve">organic nitrogen in compost is necessary for plant growth, </w:t>
      </w:r>
      <w:r w:rsidR="009F5516" w:rsidRPr="004930C2">
        <w:rPr>
          <w:color w:val="000000" w:themeColor="text1"/>
          <w:sz w:val="20"/>
        </w:rPr>
        <w:t xml:space="preserve">and </w:t>
      </w:r>
      <w:r w:rsidRPr="004930C2">
        <w:rPr>
          <w:color w:val="000000" w:themeColor="text1"/>
          <w:sz w:val="20"/>
        </w:rPr>
        <w:t>this process limit</w:t>
      </w:r>
      <w:r w:rsidR="009450ED" w:rsidRPr="004930C2">
        <w:rPr>
          <w:color w:val="000000" w:themeColor="text1"/>
          <w:sz w:val="20"/>
        </w:rPr>
        <w:t>s</w:t>
      </w:r>
      <w:r w:rsidRPr="004930C2">
        <w:rPr>
          <w:color w:val="000000" w:themeColor="text1"/>
          <w:sz w:val="20"/>
        </w:rPr>
        <w:t xml:space="preserve"> </w:t>
      </w:r>
      <w:r w:rsidR="009450ED" w:rsidRPr="004930C2">
        <w:rPr>
          <w:color w:val="000000" w:themeColor="text1"/>
          <w:sz w:val="20"/>
        </w:rPr>
        <w:t>the rate at which</w:t>
      </w:r>
      <w:r w:rsidRPr="004930C2">
        <w:rPr>
          <w:color w:val="000000" w:themeColor="text1"/>
          <w:sz w:val="20"/>
        </w:rPr>
        <w:t xml:space="preserve"> nitrogen </w:t>
      </w:r>
      <w:r w:rsidR="009450ED" w:rsidRPr="004930C2">
        <w:rPr>
          <w:color w:val="000000" w:themeColor="text1"/>
          <w:sz w:val="20"/>
        </w:rPr>
        <w:t xml:space="preserve">is </w:t>
      </w:r>
      <w:r w:rsidRPr="004930C2">
        <w:rPr>
          <w:color w:val="000000" w:themeColor="text1"/>
          <w:sz w:val="20"/>
        </w:rPr>
        <w:t>suppl</w:t>
      </w:r>
      <w:r w:rsidR="009450ED" w:rsidRPr="004930C2">
        <w:rPr>
          <w:color w:val="000000" w:themeColor="text1"/>
          <w:sz w:val="20"/>
        </w:rPr>
        <w:t>ied</w:t>
      </w:r>
      <w:r w:rsidRPr="004930C2">
        <w:rPr>
          <w:color w:val="000000" w:themeColor="text1"/>
          <w:sz w:val="20"/>
        </w:rPr>
        <w:t xml:space="preserve"> to crops (Berry et al. 2002; Seufert et al. 2012)</w:t>
      </w:r>
      <w:r w:rsidR="00E40D4F" w:rsidRPr="004930C2">
        <w:rPr>
          <w:color w:val="000000" w:themeColor="text1"/>
          <w:sz w:val="20"/>
        </w:rPr>
        <w:t>.</w:t>
      </w:r>
    </w:p>
    <w:p w14:paraId="42B73171" w14:textId="06667272" w:rsidR="00E40D4F" w:rsidRPr="004930C2" w:rsidRDefault="00E40D4F" w:rsidP="00330D39">
      <w:pPr>
        <w:spacing w:line="480" w:lineRule="auto"/>
        <w:rPr>
          <w:color w:val="000000" w:themeColor="text1"/>
          <w:sz w:val="20"/>
        </w:rPr>
      </w:pPr>
      <w:r w:rsidRPr="004930C2">
        <w:rPr>
          <w:color w:val="000000" w:themeColor="text1"/>
          <w:sz w:val="20"/>
        </w:rPr>
        <w:tab/>
        <w:t xml:space="preserve">To overcome the </w:t>
      </w:r>
      <w:r w:rsidR="006772DF" w:rsidRPr="004930C2">
        <w:rPr>
          <w:color w:val="000000" w:themeColor="text1"/>
          <w:sz w:val="20"/>
        </w:rPr>
        <w:t>limitations</w:t>
      </w:r>
      <w:r w:rsidRPr="004930C2">
        <w:rPr>
          <w:color w:val="000000" w:themeColor="text1"/>
          <w:sz w:val="20"/>
        </w:rPr>
        <w:t xml:space="preserve"> of compost</w:t>
      </w:r>
      <w:r w:rsidR="00924121" w:rsidRPr="004930C2">
        <w:rPr>
          <w:color w:val="000000" w:themeColor="text1"/>
          <w:sz w:val="20"/>
        </w:rPr>
        <w:t xml:space="preserve"> (low nitrogen availability)</w:t>
      </w:r>
      <w:r w:rsidRPr="004930C2">
        <w:rPr>
          <w:color w:val="000000" w:themeColor="text1"/>
          <w:sz w:val="20"/>
        </w:rPr>
        <w:t xml:space="preserve">, </w:t>
      </w:r>
      <w:r w:rsidR="00B21B85" w:rsidRPr="004930C2">
        <w:rPr>
          <w:color w:val="000000" w:themeColor="text1"/>
          <w:sz w:val="20"/>
        </w:rPr>
        <w:t xml:space="preserve">the current </w:t>
      </w:r>
      <w:r w:rsidRPr="004930C2">
        <w:rPr>
          <w:color w:val="000000" w:themeColor="text1"/>
          <w:sz w:val="20"/>
        </w:rPr>
        <w:t xml:space="preserve">study considered </w:t>
      </w:r>
      <w:r w:rsidR="00B21B85" w:rsidRPr="004930C2">
        <w:rPr>
          <w:color w:val="000000" w:themeColor="text1"/>
          <w:sz w:val="20"/>
        </w:rPr>
        <w:t>biochar-compost</w:t>
      </w:r>
      <w:r w:rsidR="00FB2D57" w:rsidRPr="004930C2">
        <w:rPr>
          <w:color w:val="000000" w:themeColor="text1"/>
          <w:sz w:val="20"/>
        </w:rPr>
        <w:t xml:space="preserve"> application</w:t>
      </w:r>
      <w:r w:rsidRPr="004930C2">
        <w:rPr>
          <w:color w:val="000000" w:themeColor="text1"/>
          <w:sz w:val="20"/>
        </w:rPr>
        <w:t xml:space="preserve">. Biochar is believed to improve </w:t>
      </w:r>
      <w:r w:rsidR="006772DF" w:rsidRPr="004930C2">
        <w:rPr>
          <w:color w:val="000000" w:themeColor="text1"/>
          <w:sz w:val="20"/>
        </w:rPr>
        <w:t xml:space="preserve">the </w:t>
      </w:r>
      <w:r w:rsidR="00B21B85" w:rsidRPr="004930C2">
        <w:rPr>
          <w:color w:val="000000" w:themeColor="text1"/>
          <w:sz w:val="20"/>
        </w:rPr>
        <w:t xml:space="preserve">soil </w:t>
      </w:r>
      <w:r w:rsidRPr="004930C2">
        <w:rPr>
          <w:color w:val="000000" w:themeColor="text1"/>
          <w:sz w:val="20"/>
        </w:rPr>
        <w:t xml:space="preserve">properties and create hotspots of microbial growth </w:t>
      </w:r>
      <w:r w:rsidR="00996AB8" w:rsidRPr="004930C2">
        <w:rPr>
          <w:color w:val="000000" w:themeColor="text1"/>
          <w:sz w:val="20"/>
        </w:rPr>
        <w:t xml:space="preserve">owing to its </w:t>
      </w:r>
      <w:r w:rsidR="00B21B85" w:rsidRPr="004930C2">
        <w:rPr>
          <w:color w:val="000000" w:themeColor="text1"/>
          <w:sz w:val="20"/>
        </w:rPr>
        <w:t xml:space="preserve">favorable physicochemical properties </w:t>
      </w:r>
      <w:r w:rsidRPr="004930C2">
        <w:rPr>
          <w:color w:val="000000" w:themeColor="text1"/>
          <w:sz w:val="20"/>
        </w:rPr>
        <w:t>(</w:t>
      </w:r>
      <w:proofErr w:type="spellStart"/>
      <w:r w:rsidRPr="004930C2">
        <w:rPr>
          <w:color w:val="000000" w:themeColor="text1"/>
          <w:sz w:val="20"/>
        </w:rPr>
        <w:t>Ameloot</w:t>
      </w:r>
      <w:proofErr w:type="spellEnd"/>
      <w:r w:rsidRPr="004930C2">
        <w:rPr>
          <w:i/>
          <w:color w:val="000000" w:themeColor="text1"/>
          <w:sz w:val="20"/>
        </w:rPr>
        <w:t xml:space="preserve"> </w:t>
      </w:r>
      <w:r w:rsidRPr="004930C2">
        <w:rPr>
          <w:color w:val="000000" w:themeColor="text1"/>
          <w:sz w:val="20"/>
        </w:rPr>
        <w:t xml:space="preserve">et al. 2013; </w:t>
      </w:r>
      <w:proofErr w:type="spellStart"/>
      <w:r w:rsidRPr="004930C2">
        <w:rPr>
          <w:color w:val="000000" w:themeColor="text1"/>
          <w:sz w:val="20"/>
        </w:rPr>
        <w:t>Cernansky</w:t>
      </w:r>
      <w:proofErr w:type="spellEnd"/>
      <w:r w:rsidRPr="004930C2">
        <w:rPr>
          <w:color w:val="000000" w:themeColor="text1"/>
          <w:sz w:val="20"/>
        </w:rPr>
        <w:t xml:space="preserve"> 2015</w:t>
      </w:r>
      <w:r w:rsidR="00F0137A" w:rsidRPr="004930C2">
        <w:rPr>
          <w:color w:val="000000" w:themeColor="text1"/>
          <w:sz w:val="20"/>
        </w:rPr>
        <w:t>; Lehmann et al. 2011</w:t>
      </w:r>
      <w:r w:rsidRPr="004930C2">
        <w:rPr>
          <w:color w:val="000000" w:themeColor="text1"/>
          <w:sz w:val="20"/>
        </w:rPr>
        <w:t>), thereby increasing crop productivity</w:t>
      </w:r>
      <w:r w:rsidR="005E5EA8" w:rsidRPr="004930C2">
        <w:rPr>
          <w:color w:val="000000" w:themeColor="text1"/>
          <w:sz w:val="20"/>
        </w:rPr>
        <w:t xml:space="preserve"> and nitrogen availability</w:t>
      </w:r>
      <w:r w:rsidRPr="004930C2">
        <w:rPr>
          <w:color w:val="000000" w:themeColor="text1"/>
          <w:sz w:val="20"/>
        </w:rPr>
        <w:t xml:space="preserve">. </w:t>
      </w:r>
      <w:r w:rsidR="00B21B85" w:rsidRPr="004930C2">
        <w:rPr>
          <w:color w:val="000000" w:themeColor="text1"/>
          <w:sz w:val="20"/>
        </w:rPr>
        <w:t xml:space="preserve">Indeed, the application of biochar with N fertilizer increases the yields of radish </w:t>
      </w:r>
      <w:r w:rsidR="00996AB8" w:rsidRPr="004930C2">
        <w:rPr>
          <w:color w:val="000000" w:themeColor="text1"/>
          <w:sz w:val="20"/>
        </w:rPr>
        <w:t>by</w:t>
      </w:r>
      <w:r w:rsidR="00B21B85" w:rsidRPr="004930C2">
        <w:rPr>
          <w:color w:val="000000" w:themeColor="text1"/>
          <w:sz w:val="20"/>
        </w:rPr>
        <w:t xml:space="preserve"> 266%, rice </w:t>
      </w:r>
      <w:r w:rsidR="00996AB8" w:rsidRPr="004930C2">
        <w:rPr>
          <w:color w:val="000000" w:themeColor="text1"/>
          <w:sz w:val="20"/>
        </w:rPr>
        <w:t>by</w:t>
      </w:r>
      <w:r w:rsidR="00B21B85" w:rsidRPr="004930C2">
        <w:rPr>
          <w:color w:val="000000" w:themeColor="text1"/>
          <w:sz w:val="20"/>
        </w:rPr>
        <w:t xml:space="preserve"> 12%, and wheat </w:t>
      </w:r>
      <w:r w:rsidR="00996AB8" w:rsidRPr="004930C2">
        <w:rPr>
          <w:color w:val="000000" w:themeColor="text1"/>
          <w:sz w:val="20"/>
        </w:rPr>
        <w:t>by</w:t>
      </w:r>
      <w:r w:rsidR="00B21B85" w:rsidRPr="004930C2">
        <w:rPr>
          <w:color w:val="000000" w:themeColor="text1"/>
          <w:sz w:val="20"/>
        </w:rPr>
        <w:t xml:space="preserve"> 17%, respectively, compared with no biochar application (Chan</w:t>
      </w:r>
      <w:r w:rsidR="00FA7ACD" w:rsidRPr="004930C2">
        <w:rPr>
          <w:color w:val="000000" w:themeColor="text1"/>
          <w:sz w:val="20"/>
        </w:rPr>
        <w:t xml:space="preserve"> et al. 2007; Wang et al. 2012)</w:t>
      </w:r>
      <w:r w:rsidRPr="004930C2">
        <w:rPr>
          <w:color w:val="000000" w:themeColor="text1"/>
          <w:sz w:val="20"/>
        </w:rPr>
        <w:t xml:space="preserve">. </w:t>
      </w:r>
      <w:r w:rsidR="00FA7ACD" w:rsidRPr="004930C2">
        <w:rPr>
          <w:color w:val="000000" w:themeColor="text1"/>
          <w:sz w:val="20"/>
        </w:rPr>
        <w:t>The</w:t>
      </w:r>
      <w:r w:rsidR="00026A7A" w:rsidRPr="004930C2">
        <w:rPr>
          <w:color w:val="000000" w:themeColor="text1"/>
          <w:sz w:val="20"/>
        </w:rPr>
        <w:t>se</w:t>
      </w:r>
      <w:r w:rsidR="00FA7ACD" w:rsidRPr="004930C2">
        <w:rPr>
          <w:color w:val="000000" w:themeColor="text1"/>
          <w:sz w:val="20"/>
        </w:rPr>
        <w:t xml:space="preserve"> studies suggest that biochar-compost application </w:t>
      </w:r>
      <w:r w:rsidR="005904E1" w:rsidRPr="004930C2">
        <w:rPr>
          <w:color w:val="000000" w:themeColor="text1"/>
          <w:sz w:val="20"/>
        </w:rPr>
        <w:t>is</w:t>
      </w:r>
      <w:r w:rsidR="00FA7ACD" w:rsidRPr="004930C2">
        <w:rPr>
          <w:color w:val="000000" w:themeColor="text1"/>
          <w:sz w:val="20"/>
        </w:rPr>
        <w:t xml:space="preserve"> more beneficial for plant growth than </w:t>
      </w:r>
      <w:r w:rsidR="00E82780" w:rsidRPr="004930C2">
        <w:rPr>
          <w:color w:val="000000" w:themeColor="text1"/>
          <w:sz w:val="20"/>
        </w:rPr>
        <w:t xml:space="preserve">the application of </w:t>
      </w:r>
      <w:r w:rsidR="00FA7ACD" w:rsidRPr="004930C2">
        <w:rPr>
          <w:color w:val="000000" w:themeColor="text1"/>
          <w:sz w:val="20"/>
        </w:rPr>
        <w:t xml:space="preserve">compost </w:t>
      </w:r>
      <w:r w:rsidR="00E82780" w:rsidRPr="004930C2">
        <w:rPr>
          <w:color w:val="000000" w:themeColor="text1"/>
          <w:sz w:val="20"/>
        </w:rPr>
        <w:t>alone</w:t>
      </w:r>
      <w:r w:rsidR="00FA7ACD" w:rsidRPr="004930C2">
        <w:rPr>
          <w:color w:val="000000" w:themeColor="text1"/>
          <w:sz w:val="20"/>
        </w:rPr>
        <w:t xml:space="preserve">. However, </w:t>
      </w:r>
      <w:r w:rsidR="005904E1" w:rsidRPr="004930C2">
        <w:rPr>
          <w:color w:val="000000" w:themeColor="text1"/>
          <w:sz w:val="20"/>
        </w:rPr>
        <w:t xml:space="preserve">there is no consensus on </w:t>
      </w:r>
      <w:r w:rsidR="00FA7ACD" w:rsidRPr="004930C2">
        <w:rPr>
          <w:color w:val="000000" w:themeColor="text1"/>
          <w:sz w:val="20"/>
        </w:rPr>
        <w:t xml:space="preserve">the effectiveness of </w:t>
      </w:r>
      <w:r w:rsidR="00964313" w:rsidRPr="004930C2">
        <w:rPr>
          <w:color w:val="000000" w:themeColor="text1"/>
          <w:sz w:val="20"/>
        </w:rPr>
        <w:t xml:space="preserve">the </w:t>
      </w:r>
      <w:r w:rsidR="00436112" w:rsidRPr="004930C2">
        <w:rPr>
          <w:color w:val="000000" w:themeColor="text1"/>
          <w:sz w:val="20"/>
        </w:rPr>
        <w:t xml:space="preserve">application of </w:t>
      </w:r>
      <w:r w:rsidR="00FA7ACD" w:rsidRPr="004930C2">
        <w:rPr>
          <w:color w:val="000000" w:themeColor="text1"/>
          <w:sz w:val="20"/>
        </w:rPr>
        <w:t>biochar-compost</w:t>
      </w:r>
      <w:r w:rsidR="005904E1" w:rsidRPr="004930C2">
        <w:rPr>
          <w:color w:val="000000" w:themeColor="text1"/>
          <w:sz w:val="20"/>
        </w:rPr>
        <w:t xml:space="preserve"> at present</w:t>
      </w:r>
      <w:r w:rsidR="00FA7ACD" w:rsidRPr="004930C2">
        <w:rPr>
          <w:color w:val="000000" w:themeColor="text1"/>
          <w:sz w:val="20"/>
        </w:rPr>
        <w:t xml:space="preserve">. </w:t>
      </w:r>
      <w:r w:rsidR="007E0738" w:rsidRPr="004930C2">
        <w:rPr>
          <w:color w:val="000000" w:themeColor="text1"/>
          <w:sz w:val="20"/>
        </w:rPr>
        <w:t>For example, compost co-applied with plant-based biochar le</w:t>
      </w:r>
      <w:r w:rsidR="00E92FA9" w:rsidRPr="004930C2">
        <w:rPr>
          <w:color w:val="000000" w:themeColor="text1"/>
          <w:sz w:val="20"/>
        </w:rPr>
        <w:t>a</w:t>
      </w:r>
      <w:r w:rsidR="007E0738" w:rsidRPr="004930C2">
        <w:rPr>
          <w:color w:val="000000" w:themeColor="text1"/>
          <w:sz w:val="20"/>
        </w:rPr>
        <w:t>d</w:t>
      </w:r>
      <w:r w:rsidR="00E92FA9" w:rsidRPr="004930C2">
        <w:rPr>
          <w:color w:val="000000" w:themeColor="text1"/>
          <w:sz w:val="20"/>
        </w:rPr>
        <w:t>s</w:t>
      </w:r>
      <w:r w:rsidR="007E0738" w:rsidRPr="004930C2">
        <w:rPr>
          <w:color w:val="000000" w:themeColor="text1"/>
          <w:sz w:val="20"/>
        </w:rPr>
        <w:t xml:space="preserve"> to higher plant nutrient uptake </w:t>
      </w:r>
      <w:r w:rsidR="00124EDF" w:rsidRPr="004930C2">
        <w:rPr>
          <w:color w:val="000000" w:themeColor="text1"/>
          <w:sz w:val="20"/>
        </w:rPr>
        <w:t>as a result of improvement in</w:t>
      </w:r>
      <w:r w:rsidR="007E0738" w:rsidRPr="004930C2">
        <w:rPr>
          <w:color w:val="000000" w:themeColor="text1"/>
          <w:sz w:val="20"/>
        </w:rPr>
        <w:t xml:space="preserve"> </w:t>
      </w:r>
      <w:r w:rsidR="00124EDF" w:rsidRPr="004930C2">
        <w:rPr>
          <w:color w:val="000000" w:themeColor="text1"/>
          <w:sz w:val="20"/>
        </w:rPr>
        <w:t xml:space="preserve">the </w:t>
      </w:r>
      <w:r w:rsidR="007E0738" w:rsidRPr="004930C2">
        <w:rPr>
          <w:color w:val="000000" w:themeColor="text1"/>
          <w:sz w:val="20"/>
        </w:rPr>
        <w:t>soil physicochemical properties</w:t>
      </w:r>
      <w:r w:rsidR="00124EDF" w:rsidRPr="004930C2">
        <w:rPr>
          <w:color w:val="000000" w:themeColor="text1"/>
          <w:sz w:val="20"/>
        </w:rPr>
        <w:t xml:space="preserve"> </w:t>
      </w:r>
      <w:r w:rsidR="00001D25" w:rsidRPr="004930C2">
        <w:rPr>
          <w:color w:val="000000" w:themeColor="text1"/>
          <w:sz w:val="20"/>
        </w:rPr>
        <w:t>caused</w:t>
      </w:r>
      <w:r w:rsidR="00124EDF" w:rsidRPr="004930C2">
        <w:rPr>
          <w:color w:val="000000" w:themeColor="text1"/>
          <w:sz w:val="20"/>
        </w:rPr>
        <w:t xml:space="preserve"> by biochar application</w:t>
      </w:r>
      <w:r w:rsidR="007E0738" w:rsidRPr="004930C2">
        <w:rPr>
          <w:color w:val="000000" w:themeColor="text1"/>
          <w:sz w:val="20"/>
        </w:rPr>
        <w:t xml:space="preserve">, </w:t>
      </w:r>
      <w:r w:rsidR="000A759A" w:rsidRPr="004930C2">
        <w:rPr>
          <w:color w:val="000000" w:themeColor="text1"/>
          <w:sz w:val="20"/>
        </w:rPr>
        <w:t xml:space="preserve">thereby </w:t>
      </w:r>
      <w:r w:rsidR="007E0738" w:rsidRPr="004930C2">
        <w:rPr>
          <w:color w:val="000000" w:themeColor="text1"/>
          <w:sz w:val="20"/>
        </w:rPr>
        <w:t>leading to higher biomass or grain yield (</w:t>
      </w:r>
      <w:proofErr w:type="spellStart"/>
      <w:r w:rsidR="00F0137A" w:rsidRPr="004930C2">
        <w:rPr>
          <w:color w:val="000000" w:themeColor="text1"/>
          <w:sz w:val="20"/>
        </w:rPr>
        <w:t>Agegnehu</w:t>
      </w:r>
      <w:proofErr w:type="spellEnd"/>
      <w:r w:rsidR="00F0137A" w:rsidRPr="004930C2">
        <w:rPr>
          <w:color w:val="000000" w:themeColor="text1"/>
          <w:sz w:val="20"/>
        </w:rPr>
        <w:t xml:space="preserve"> et al. 2016; </w:t>
      </w:r>
      <w:proofErr w:type="spellStart"/>
      <w:r w:rsidR="00F0137A" w:rsidRPr="004930C2">
        <w:rPr>
          <w:color w:val="000000" w:themeColor="text1"/>
          <w:sz w:val="20"/>
        </w:rPr>
        <w:t>Hairani</w:t>
      </w:r>
      <w:proofErr w:type="spellEnd"/>
      <w:r w:rsidR="007E0738" w:rsidRPr="004930C2">
        <w:rPr>
          <w:color w:val="000000" w:themeColor="text1"/>
          <w:sz w:val="20"/>
        </w:rPr>
        <w:t xml:space="preserve"> et al. 201</w:t>
      </w:r>
      <w:r w:rsidR="00F0137A" w:rsidRPr="004930C2">
        <w:rPr>
          <w:color w:val="000000" w:themeColor="text1"/>
          <w:sz w:val="20"/>
        </w:rPr>
        <w:t>6</w:t>
      </w:r>
      <w:r w:rsidR="007E0738" w:rsidRPr="004930C2">
        <w:rPr>
          <w:color w:val="000000" w:themeColor="text1"/>
          <w:sz w:val="20"/>
        </w:rPr>
        <w:t xml:space="preserve">; Schulz et al. 2014). </w:t>
      </w:r>
      <w:r w:rsidR="00C61A4F" w:rsidRPr="004930C2">
        <w:rPr>
          <w:color w:val="000000" w:themeColor="text1"/>
          <w:sz w:val="20"/>
        </w:rPr>
        <w:t>In contrast</w:t>
      </w:r>
      <w:r w:rsidR="00FA7ACD" w:rsidRPr="004930C2">
        <w:rPr>
          <w:color w:val="000000" w:themeColor="text1"/>
          <w:sz w:val="20"/>
        </w:rPr>
        <w:t>, some researchers reported that</w:t>
      </w:r>
      <w:r w:rsidRPr="004930C2">
        <w:rPr>
          <w:color w:val="000000" w:themeColor="text1"/>
          <w:sz w:val="20"/>
        </w:rPr>
        <w:t xml:space="preserve"> </w:t>
      </w:r>
      <w:r w:rsidR="00A22F28" w:rsidRPr="004930C2">
        <w:rPr>
          <w:color w:val="000000" w:themeColor="text1"/>
          <w:sz w:val="20"/>
        </w:rPr>
        <w:t xml:space="preserve">the </w:t>
      </w:r>
      <w:r w:rsidRPr="004930C2">
        <w:rPr>
          <w:color w:val="000000" w:themeColor="text1"/>
          <w:sz w:val="20"/>
        </w:rPr>
        <w:t>biochar</w:t>
      </w:r>
      <w:r w:rsidR="00FB2D57" w:rsidRPr="004930C2">
        <w:rPr>
          <w:color w:val="000000" w:themeColor="text1"/>
          <w:sz w:val="20"/>
        </w:rPr>
        <w:t>-</w:t>
      </w:r>
      <w:r w:rsidRPr="004930C2">
        <w:rPr>
          <w:color w:val="000000" w:themeColor="text1"/>
          <w:sz w:val="20"/>
        </w:rPr>
        <w:t xml:space="preserve">compost </w:t>
      </w:r>
      <w:r w:rsidR="00FB2D57" w:rsidRPr="004930C2">
        <w:rPr>
          <w:color w:val="000000" w:themeColor="text1"/>
          <w:sz w:val="20"/>
        </w:rPr>
        <w:t xml:space="preserve">application decreases </w:t>
      </w:r>
      <w:r w:rsidR="00F0137A" w:rsidRPr="004930C2">
        <w:rPr>
          <w:color w:val="000000" w:themeColor="text1"/>
          <w:sz w:val="20"/>
        </w:rPr>
        <w:t xml:space="preserve">or has no effect on </w:t>
      </w:r>
      <w:r w:rsidRPr="004930C2">
        <w:rPr>
          <w:color w:val="000000" w:themeColor="text1"/>
          <w:sz w:val="20"/>
        </w:rPr>
        <w:t>crop yield</w:t>
      </w:r>
      <w:r w:rsidR="00A22F28" w:rsidRPr="004930C2">
        <w:rPr>
          <w:color w:val="000000" w:themeColor="text1"/>
          <w:sz w:val="20"/>
        </w:rPr>
        <w:t>s</w:t>
      </w:r>
      <w:r w:rsidRPr="004930C2">
        <w:rPr>
          <w:color w:val="000000" w:themeColor="text1"/>
          <w:sz w:val="20"/>
        </w:rPr>
        <w:t xml:space="preserve"> compared with </w:t>
      </w:r>
      <w:r w:rsidR="00A22F28" w:rsidRPr="004930C2">
        <w:rPr>
          <w:color w:val="000000" w:themeColor="text1"/>
          <w:sz w:val="20"/>
        </w:rPr>
        <w:t xml:space="preserve">simple </w:t>
      </w:r>
      <w:r w:rsidRPr="004930C2">
        <w:rPr>
          <w:color w:val="000000" w:themeColor="text1"/>
          <w:sz w:val="20"/>
        </w:rPr>
        <w:t xml:space="preserve">compost application </w:t>
      </w:r>
      <w:r w:rsidRPr="004930C2">
        <w:rPr>
          <w:color w:val="000000" w:themeColor="text1"/>
          <w:sz w:val="20"/>
        </w:rPr>
        <w:lastRenderedPageBreak/>
        <w:t>(</w:t>
      </w:r>
      <w:r w:rsidR="00F0137A" w:rsidRPr="004930C2">
        <w:rPr>
          <w:color w:val="000000" w:themeColor="text1"/>
          <w:sz w:val="20"/>
        </w:rPr>
        <w:t xml:space="preserve">Schmidt et al. 2014; </w:t>
      </w:r>
      <w:r w:rsidRPr="004930C2">
        <w:rPr>
          <w:color w:val="000000" w:themeColor="text1"/>
          <w:sz w:val="20"/>
        </w:rPr>
        <w:t>Schulz</w:t>
      </w:r>
      <w:r w:rsidRPr="004930C2">
        <w:rPr>
          <w:i/>
          <w:color w:val="000000" w:themeColor="text1"/>
          <w:sz w:val="20"/>
        </w:rPr>
        <w:t xml:space="preserve"> </w:t>
      </w:r>
      <w:r w:rsidRPr="004930C2">
        <w:rPr>
          <w:color w:val="000000" w:themeColor="text1"/>
          <w:sz w:val="20"/>
        </w:rPr>
        <w:t>and Glaser 2012)</w:t>
      </w:r>
      <w:r w:rsidR="00A15A37" w:rsidRPr="004930C2">
        <w:rPr>
          <w:sz w:val="20"/>
        </w:rPr>
        <w:t xml:space="preserve">, </w:t>
      </w:r>
      <w:r w:rsidR="00A22F28" w:rsidRPr="004930C2">
        <w:rPr>
          <w:color w:val="000000" w:themeColor="text1"/>
          <w:sz w:val="20"/>
        </w:rPr>
        <w:t>suggesting the</w:t>
      </w:r>
      <w:r w:rsidRPr="004930C2">
        <w:rPr>
          <w:color w:val="000000" w:themeColor="text1"/>
          <w:sz w:val="20"/>
        </w:rPr>
        <w:t xml:space="preserve"> need for </w:t>
      </w:r>
      <w:r w:rsidR="00A22F28" w:rsidRPr="004930C2">
        <w:rPr>
          <w:color w:val="000000" w:themeColor="text1"/>
          <w:sz w:val="20"/>
        </w:rPr>
        <w:t xml:space="preserve">further research to clarify </w:t>
      </w:r>
      <w:r w:rsidRPr="004930C2">
        <w:rPr>
          <w:color w:val="000000" w:themeColor="text1"/>
          <w:sz w:val="20"/>
        </w:rPr>
        <w:t xml:space="preserve">guidelines </w:t>
      </w:r>
      <w:r w:rsidR="00F148C3" w:rsidRPr="004930C2">
        <w:rPr>
          <w:color w:val="000000" w:themeColor="text1"/>
          <w:sz w:val="20"/>
        </w:rPr>
        <w:t xml:space="preserve">and </w:t>
      </w:r>
      <w:r w:rsidRPr="004930C2">
        <w:rPr>
          <w:color w:val="000000" w:themeColor="text1"/>
          <w:sz w:val="20"/>
        </w:rPr>
        <w:t>avoid such situations.</w:t>
      </w:r>
    </w:p>
    <w:p w14:paraId="08F085B5" w14:textId="5A5212F7" w:rsidR="00E40D4F" w:rsidRPr="004930C2" w:rsidRDefault="00E40D4F" w:rsidP="00330D39">
      <w:pPr>
        <w:spacing w:line="480" w:lineRule="auto"/>
        <w:rPr>
          <w:color w:val="000000" w:themeColor="text1"/>
          <w:sz w:val="20"/>
        </w:rPr>
      </w:pPr>
      <w:r w:rsidRPr="004930C2">
        <w:rPr>
          <w:color w:val="000000" w:themeColor="text1"/>
          <w:sz w:val="20"/>
        </w:rPr>
        <w:tab/>
      </w:r>
      <w:r w:rsidR="00FA7ACD" w:rsidRPr="004930C2">
        <w:rPr>
          <w:color w:val="000000" w:themeColor="text1"/>
          <w:sz w:val="20"/>
        </w:rPr>
        <w:t xml:space="preserve">We </w:t>
      </w:r>
      <w:r w:rsidR="003F789E" w:rsidRPr="004930C2">
        <w:rPr>
          <w:color w:val="000000" w:themeColor="text1"/>
          <w:sz w:val="20"/>
        </w:rPr>
        <w:t>assumed</w:t>
      </w:r>
      <w:r w:rsidR="00FA7ACD" w:rsidRPr="004930C2">
        <w:rPr>
          <w:color w:val="000000" w:themeColor="text1"/>
          <w:sz w:val="20"/>
        </w:rPr>
        <w:t xml:space="preserve"> that the difference of consensus </w:t>
      </w:r>
      <w:r w:rsidR="00F10BF0" w:rsidRPr="004930C2">
        <w:rPr>
          <w:color w:val="000000" w:themeColor="text1"/>
          <w:sz w:val="20"/>
        </w:rPr>
        <w:t xml:space="preserve">in </w:t>
      </w:r>
      <w:r w:rsidR="00964313" w:rsidRPr="004930C2">
        <w:rPr>
          <w:color w:val="000000" w:themeColor="text1"/>
          <w:sz w:val="20"/>
        </w:rPr>
        <w:t xml:space="preserve">the </w:t>
      </w:r>
      <w:r w:rsidR="00F10BF0" w:rsidRPr="004930C2">
        <w:rPr>
          <w:color w:val="000000" w:themeColor="text1"/>
          <w:sz w:val="20"/>
        </w:rPr>
        <w:t>biochar-compost application is</w:t>
      </w:r>
      <w:r w:rsidRPr="004930C2">
        <w:rPr>
          <w:color w:val="000000" w:themeColor="text1"/>
          <w:sz w:val="20"/>
        </w:rPr>
        <w:t xml:space="preserve"> associated with a wide variety of biochar</w:t>
      </w:r>
      <w:r w:rsidR="00F148C3" w:rsidRPr="004930C2">
        <w:rPr>
          <w:color w:val="000000" w:themeColor="text1"/>
          <w:sz w:val="20"/>
        </w:rPr>
        <w:t xml:space="preserve"> available</w:t>
      </w:r>
      <w:r w:rsidRPr="004930C2">
        <w:rPr>
          <w:color w:val="000000" w:themeColor="text1"/>
          <w:sz w:val="20"/>
        </w:rPr>
        <w:t xml:space="preserve">. </w:t>
      </w:r>
      <w:r w:rsidR="00F148C3" w:rsidRPr="004930C2">
        <w:rPr>
          <w:color w:val="000000" w:themeColor="text1"/>
          <w:sz w:val="20"/>
        </w:rPr>
        <w:t>B</w:t>
      </w:r>
      <w:r w:rsidRPr="004930C2">
        <w:rPr>
          <w:color w:val="000000" w:themeColor="text1"/>
          <w:sz w:val="20"/>
        </w:rPr>
        <w:t>iochar is produced from different types of biomass</w:t>
      </w:r>
      <w:r w:rsidR="00F148C3" w:rsidRPr="004930C2">
        <w:rPr>
          <w:color w:val="000000" w:themeColor="text1"/>
          <w:sz w:val="20"/>
        </w:rPr>
        <w:t>; hence,</w:t>
      </w:r>
      <w:r w:rsidRPr="004930C2">
        <w:rPr>
          <w:color w:val="000000" w:themeColor="text1"/>
          <w:sz w:val="20"/>
        </w:rPr>
        <w:t xml:space="preserve"> its physicochemical properties are influenced by </w:t>
      </w:r>
      <w:r w:rsidR="00F148C3" w:rsidRPr="004930C2">
        <w:rPr>
          <w:color w:val="000000" w:themeColor="text1"/>
          <w:sz w:val="20"/>
        </w:rPr>
        <w:t>the</w:t>
      </w:r>
      <w:r w:rsidRPr="004930C2">
        <w:rPr>
          <w:color w:val="000000" w:themeColor="text1"/>
          <w:sz w:val="20"/>
        </w:rPr>
        <w:t xml:space="preserve"> </w:t>
      </w:r>
      <w:r w:rsidR="008A588F" w:rsidRPr="004930C2">
        <w:rPr>
          <w:color w:val="000000" w:themeColor="text1"/>
          <w:sz w:val="20"/>
        </w:rPr>
        <w:t xml:space="preserve">feedstock </w:t>
      </w:r>
      <w:r w:rsidRPr="004930C2">
        <w:rPr>
          <w:color w:val="000000" w:themeColor="text1"/>
          <w:sz w:val="20"/>
        </w:rPr>
        <w:t>type. Indeed, biochar derived from woody biomass</w:t>
      </w:r>
      <w:r w:rsidR="00F148C3" w:rsidRPr="004930C2">
        <w:rPr>
          <w:color w:val="000000" w:themeColor="text1"/>
          <w:sz w:val="20"/>
        </w:rPr>
        <w:t xml:space="preserve"> (</w:t>
      </w:r>
      <w:r w:rsidRPr="004930C2">
        <w:rPr>
          <w:color w:val="000000" w:themeColor="text1"/>
          <w:sz w:val="20"/>
        </w:rPr>
        <w:t>the most common type of biochar</w:t>
      </w:r>
      <w:r w:rsidR="00F148C3" w:rsidRPr="004930C2">
        <w:rPr>
          <w:color w:val="000000" w:themeColor="text1"/>
          <w:sz w:val="20"/>
        </w:rPr>
        <w:t>)</w:t>
      </w:r>
      <w:r w:rsidRPr="004930C2">
        <w:rPr>
          <w:color w:val="000000" w:themeColor="text1"/>
          <w:sz w:val="20"/>
        </w:rPr>
        <w:t xml:space="preserve"> possesses a function of soil amendment rather than that of nutrients supplement. In contrast, biochar derived from organic waste</w:t>
      </w:r>
      <w:r w:rsidR="00F148C3" w:rsidRPr="004930C2">
        <w:rPr>
          <w:color w:val="000000" w:themeColor="text1"/>
          <w:sz w:val="20"/>
        </w:rPr>
        <w:t>,</w:t>
      </w:r>
      <w:r w:rsidRPr="004930C2">
        <w:rPr>
          <w:color w:val="000000" w:themeColor="text1"/>
          <w:sz w:val="20"/>
        </w:rPr>
        <w:t xml:space="preserve"> such as animal manure</w:t>
      </w:r>
      <w:r w:rsidR="00F148C3" w:rsidRPr="004930C2">
        <w:rPr>
          <w:color w:val="000000" w:themeColor="text1"/>
          <w:sz w:val="20"/>
        </w:rPr>
        <w:t>,</w:t>
      </w:r>
      <w:r w:rsidRPr="004930C2">
        <w:rPr>
          <w:color w:val="000000" w:themeColor="text1"/>
          <w:sz w:val="20"/>
        </w:rPr>
        <w:t xml:space="preserve"> contains more </w:t>
      </w:r>
      <w:r w:rsidR="00F10BF0" w:rsidRPr="004930C2">
        <w:rPr>
          <w:color w:val="000000" w:themeColor="text1"/>
          <w:sz w:val="20"/>
        </w:rPr>
        <w:t>minerals</w:t>
      </w:r>
      <w:r w:rsidRPr="004930C2">
        <w:rPr>
          <w:color w:val="000000" w:themeColor="text1"/>
          <w:sz w:val="20"/>
        </w:rPr>
        <w:t xml:space="preserve"> than biochar from woody biomass (</w:t>
      </w:r>
      <w:proofErr w:type="spellStart"/>
      <w:r w:rsidRPr="004930C2">
        <w:rPr>
          <w:color w:val="000000" w:themeColor="text1"/>
          <w:sz w:val="20"/>
        </w:rPr>
        <w:t>Shinogi</w:t>
      </w:r>
      <w:proofErr w:type="spellEnd"/>
      <w:r w:rsidRPr="004930C2">
        <w:rPr>
          <w:color w:val="000000" w:themeColor="text1"/>
          <w:sz w:val="20"/>
        </w:rPr>
        <w:t xml:space="preserve"> et al. 2003). Additionally, </w:t>
      </w:r>
      <w:r w:rsidR="00F148C3" w:rsidRPr="004930C2">
        <w:rPr>
          <w:color w:val="000000" w:themeColor="text1"/>
          <w:sz w:val="20"/>
        </w:rPr>
        <w:t xml:space="preserve">the </w:t>
      </w:r>
      <w:r w:rsidRPr="004930C2">
        <w:rPr>
          <w:color w:val="000000" w:themeColor="text1"/>
          <w:sz w:val="20"/>
        </w:rPr>
        <w:t xml:space="preserve">carbonization temperature </w:t>
      </w:r>
      <w:r w:rsidR="00F148C3" w:rsidRPr="004930C2">
        <w:rPr>
          <w:color w:val="000000" w:themeColor="text1"/>
          <w:sz w:val="20"/>
        </w:rPr>
        <w:t xml:space="preserve">used to </w:t>
      </w:r>
      <w:r w:rsidRPr="004930C2">
        <w:rPr>
          <w:color w:val="000000" w:themeColor="text1"/>
          <w:sz w:val="20"/>
        </w:rPr>
        <w:t>produc</w:t>
      </w:r>
      <w:r w:rsidR="00F148C3" w:rsidRPr="004930C2">
        <w:rPr>
          <w:color w:val="000000" w:themeColor="text1"/>
          <w:sz w:val="20"/>
        </w:rPr>
        <w:t>e</w:t>
      </w:r>
      <w:r w:rsidRPr="004930C2">
        <w:rPr>
          <w:color w:val="000000" w:themeColor="text1"/>
          <w:sz w:val="20"/>
        </w:rPr>
        <w:t xml:space="preserve"> biochar </w:t>
      </w:r>
      <w:r w:rsidR="00F148C3" w:rsidRPr="004930C2">
        <w:rPr>
          <w:color w:val="000000" w:themeColor="text1"/>
          <w:sz w:val="20"/>
        </w:rPr>
        <w:t>can</w:t>
      </w:r>
      <w:r w:rsidRPr="004930C2">
        <w:rPr>
          <w:color w:val="000000" w:themeColor="text1"/>
          <w:sz w:val="20"/>
        </w:rPr>
        <w:t xml:space="preserve"> change </w:t>
      </w:r>
      <w:r w:rsidR="00F148C3" w:rsidRPr="004930C2">
        <w:rPr>
          <w:color w:val="000000" w:themeColor="text1"/>
          <w:sz w:val="20"/>
        </w:rPr>
        <w:t>its</w:t>
      </w:r>
      <w:r w:rsidRPr="004930C2">
        <w:rPr>
          <w:color w:val="000000" w:themeColor="text1"/>
          <w:sz w:val="20"/>
        </w:rPr>
        <w:t xml:space="preserve"> properties</w:t>
      </w:r>
      <w:r w:rsidR="00F148C3" w:rsidRPr="004930C2">
        <w:rPr>
          <w:color w:val="000000" w:themeColor="text1"/>
          <w:sz w:val="20"/>
        </w:rPr>
        <w:t>,</w:t>
      </w:r>
      <w:r w:rsidRPr="004930C2">
        <w:rPr>
          <w:color w:val="000000" w:themeColor="text1"/>
          <w:sz w:val="20"/>
        </w:rPr>
        <w:t xml:space="preserve"> even </w:t>
      </w:r>
      <w:r w:rsidR="00F148C3" w:rsidRPr="004930C2">
        <w:rPr>
          <w:color w:val="000000" w:themeColor="text1"/>
          <w:sz w:val="20"/>
        </w:rPr>
        <w:t>when</w:t>
      </w:r>
      <w:r w:rsidRPr="004930C2">
        <w:rPr>
          <w:color w:val="000000" w:themeColor="text1"/>
          <w:sz w:val="20"/>
        </w:rPr>
        <w:t xml:space="preserve"> the same </w:t>
      </w:r>
      <w:r w:rsidR="008A588F" w:rsidRPr="004930C2">
        <w:rPr>
          <w:color w:val="000000" w:themeColor="text1"/>
          <w:sz w:val="20"/>
        </w:rPr>
        <w:t xml:space="preserve">feedstock </w:t>
      </w:r>
      <w:r w:rsidRPr="004930C2">
        <w:rPr>
          <w:color w:val="000000" w:themeColor="text1"/>
          <w:sz w:val="20"/>
        </w:rPr>
        <w:t>type</w:t>
      </w:r>
      <w:r w:rsidR="00E15631" w:rsidRPr="004930C2">
        <w:rPr>
          <w:color w:val="000000" w:themeColor="text1"/>
          <w:sz w:val="20"/>
        </w:rPr>
        <w:t xml:space="preserve"> is used</w:t>
      </w:r>
      <w:r w:rsidR="00F148C3" w:rsidRPr="004930C2">
        <w:rPr>
          <w:color w:val="000000" w:themeColor="text1"/>
          <w:sz w:val="20"/>
        </w:rPr>
        <w:t xml:space="preserve">. At higher carbonization temperatures, the </w:t>
      </w:r>
      <w:r w:rsidRPr="004930C2">
        <w:rPr>
          <w:color w:val="000000" w:themeColor="text1"/>
          <w:sz w:val="20"/>
        </w:rPr>
        <w:t>specific surface area</w:t>
      </w:r>
      <w:r w:rsidR="00F148C3" w:rsidRPr="004930C2">
        <w:rPr>
          <w:color w:val="000000" w:themeColor="text1"/>
          <w:sz w:val="20"/>
        </w:rPr>
        <w:t xml:space="preserve"> </w:t>
      </w:r>
      <w:r w:rsidR="003F4A57" w:rsidRPr="004930C2">
        <w:rPr>
          <w:color w:val="000000" w:themeColor="text1"/>
          <w:sz w:val="20"/>
        </w:rPr>
        <w:t xml:space="preserve">(SSA) </w:t>
      </w:r>
      <w:r w:rsidR="00F148C3" w:rsidRPr="004930C2">
        <w:rPr>
          <w:color w:val="000000" w:themeColor="text1"/>
          <w:sz w:val="20"/>
        </w:rPr>
        <w:t>of biochar</w:t>
      </w:r>
      <w:r w:rsidRPr="004930C2">
        <w:rPr>
          <w:color w:val="000000" w:themeColor="text1"/>
          <w:sz w:val="20"/>
        </w:rPr>
        <w:t xml:space="preserve"> tends to increase</w:t>
      </w:r>
      <w:r w:rsidR="00202769" w:rsidRPr="004930C2">
        <w:rPr>
          <w:color w:val="000000" w:themeColor="text1"/>
          <w:sz w:val="20"/>
        </w:rPr>
        <w:t>,</w:t>
      </w:r>
      <w:r w:rsidR="00F148C3" w:rsidRPr="004930C2">
        <w:rPr>
          <w:color w:val="000000" w:themeColor="text1"/>
          <w:sz w:val="20"/>
        </w:rPr>
        <w:t xml:space="preserve"> and </w:t>
      </w:r>
      <w:r w:rsidRPr="004930C2">
        <w:rPr>
          <w:color w:val="000000" w:themeColor="text1"/>
          <w:sz w:val="20"/>
        </w:rPr>
        <w:t>nitrogen content of biochar tends to decrease (Cao and Harris 2010</w:t>
      </w:r>
      <w:r w:rsidR="00F148C3" w:rsidRPr="004930C2">
        <w:rPr>
          <w:color w:val="000000" w:themeColor="text1"/>
          <w:sz w:val="20"/>
        </w:rPr>
        <w:t>; Zhao</w:t>
      </w:r>
      <w:r w:rsidR="00F148C3" w:rsidRPr="004930C2">
        <w:rPr>
          <w:i/>
          <w:color w:val="000000" w:themeColor="text1"/>
          <w:sz w:val="20"/>
        </w:rPr>
        <w:t xml:space="preserve"> </w:t>
      </w:r>
      <w:r w:rsidR="00F148C3" w:rsidRPr="004930C2">
        <w:rPr>
          <w:color w:val="000000" w:themeColor="text1"/>
          <w:sz w:val="20"/>
        </w:rPr>
        <w:t>et al. 2013</w:t>
      </w:r>
      <w:r w:rsidRPr="004930C2">
        <w:rPr>
          <w:color w:val="000000" w:themeColor="text1"/>
          <w:sz w:val="20"/>
        </w:rPr>
        <w:t>).</w:t>
      </w:r>
    </w:p>
    <w:p w14:paraId="5D57A154" w14:textId="02720303" w:rsidR="00343A84" w:rsidRPr="004930C2" w:rsidRDefault="00E40D4F" w:rsidP="00330D39">
      <w:pPr>
        <w:spacing w:line="480" w:lineRule="auto"/>
        <w:rPr>
          <w:color w:val="000000" w:themeColor="text1"/>
          <w:sz w:val="20"/>
        </w:rPr>
      </w:pPr>
      <w:r w:rsidRPr="004930C2">
        <w:rPr>
          <w:color w:val="000000" w:themeColor="text1"/>
          <w:sz w:val="20"/>
        </w:rPr>
        <w:tab/>
        <w:t xml:space="preserve">Although </w:t>
      </w:r>
      <w:r w:rsidR="00964313" w:rsidRPr="004930C2">
        <w:rPr>
          <w:color w:val="000000" w:themeColor="text1"/>
          <w:sz w:val="20"/>
        </w:rPr>
        <w:t xml:space="preserve">a </w:t>
      </w:r>
      <w:r w:rsidR="005844B4" w:rsidRPr="004930C2">
        <w:rPr>
          <w:color w:val="000000" w:themeColor="text1"/>
          <w:sz w:val="20"/>
        </w:rPr>
        <w:t>significant amount</w:t>
      </w:r>
      <w:r w:rsidRPr="004930C2">
        <w:rPr>
          <w:color w:val="000000" w:themeColor="text1"/>
          <w:sz w:val="20"/>
        </w:rPr>
        <w:t xml:space="preserve"> of </w:t>
      </w:r>
      <w:r w:rsidR="005844B4" w:rsidRPr="004930C2">
        <w:rPr>
          <w:color w:val="000000" w:themeColor="text1"/>
          <w:sz w:val="20"/>
        </w:rPr>
        <w:t>research</w:t>
      </w:r>
      <w:r w:rsidRPr="004930C2">
        <w:rPr>
          <w:color w:val="000000" w:themeColor="text1"/>
          <w:sz w:val="20"/>
        </w:rPr>
        <w:t xml:space="preserve"> has been done on </w:t>
      </w:r>
      <w:r w:rsidR="00964313" w:rsidRPr="004930C2">
        <w:rPr>
          <w:color w:val="000000" w:themeColor="text1"/>
          <w:sz w:val="20"/>
        </w:rPr>
        <w:t xml:space="preserve">the </w:t>
      </w:r>
      <w:r w:rsidRPr="004930C2">
        <w:rPr>
          <w:color w:val="000000" w:themeColor="text1"/>
          <w:sz w:val="20"/>
        </w:rPr>
        <w:t>biochar</w:t>
      </w:r>
      <w:r w:rsidR="00FB2D57" w:rsidRPr="004930C2">
        <w:rPr>
          <w:color w:val="000000" w:themeColor="text1"/>
          <w:sz w:val="20"/>
        </w:rPr>
        <w:t>-</w:t>
      </w:r>
      <w:r w:rsidRPr="004930C2">
        <w:rPr>
          <w:color w:val="000000" w:themeColor="text1"/>
          <w:sz w:val="20"/>
        </w:rPr>
        <w:t xml:space="preserve">compost </w:t>
      </w:r>
      <w:r w:rsidR="00FB2D57" w:rsidRPr="004930C2">
        <w:rPr>
          <w:color w:val="000000" w:themeColor="text1"/>
          <w:sz w:val="20"/>
        </w:rPr>
        <w:t xml:space="preserve">application </w:t>
      </w:r>
      <w:r w:rsidRPr="004930C2">
        <w:rPr>
          <w:color w:val="000000" w:themeColor="text1"/>
          <w:sz w:val="20"/>
        </w:rPr>
        <w:t xml:space="preserve">in recent years, </w:t>
      </w:r>
      <w:r w:rsidR="00FB2D57" w:rsidRPr="004930C2">
        <w:rPr>
          <w:color w:val="000000" w:themeColor="text1"/>
          <w:sz w:val="20"/>
        </w:rPr>
        <w:t xml:space="preserve">a wide variety of biochar has not been considered </w:t>
      </w:r>
      <w:r w:rsidR="00E841DC" w:rsidRPr="004930C2">
        <w:rPr>
          <w:color w:val="000000" w:themeColor="text1"/>
          <w:sz w:val="20"/>
        </w:rPr>
        <w:t>carefully</w:t>
      </w:r>
      <w:r w:rsidR="000C02BC" w:rsidRPr="004930C2">
        <w:rPr>
          <w:color w:val="000000" w:themeColor="text1"/>
          <w:sz w:val="20"/>
        </w:rPr>
        <w:t>,</w:t>
      </w:r>
      <w:r w:rsidR="00A70490" w:rsidRPr="004930C2">
        <w:rPr>
          <w:color w:val="000000" w:themeColor="text1"/>
          <w:sz w:val="20"/>
        </w:rPr>
        <w:t xml:space="preserve"> and </w:t>
      </w:r>
      <w:r w:rsidRPr="004930C2">
        <w:rPr>
          <w:color w:val="000000" w:themeColor="text1"/>
          <w:sz w:val="20"/>
        </w:rPr>
        <w:t>little is known about the effect</w:t>
      </w:r>
      <w:r w:rsidR="005844B4" w:rsidRPr="004930C2">
        <w:rPr>
          <w:color w:val="000000" w:themeColor="text1"/>
          <w:sz w:val="20"/>
        </w:rPr>
        <w:t>s</w:t>
      </w:r>
      <w:r w:rsidRPr="004930C2">
        <w:rPr>
          <w:color w:val="000000" w:themeColor="text1"/>
          <w:sz w:val="20"/>
        </w:rPr>
        <w:t xml:space="preserve"> of biochar </w:t>
      </w:r>
      <w:r w:rsidR="003F4A57" w:rsidRPr="004930C2">
        <w:rPr>
          <w:color w:val="000000" w:themeColor="text1"/>
          <w:sz w:val="20"/>
        </w:rPr>
        <w:t>type</w:t>
      </w:r>
      <w:r w:rsidR="00A70490" w:rsidRPr="004930C2">
        <w:rPr>
          <w:color w:val="000000" w:themeColor="text1"/>
          <w:sz w:val="20"/>
        </w:rPr>
        <w:t xml:space="preserve"> </w:t>
      </w:r>
      <w:r w:rsidRPr="004930C2">
        <w:rPr>
          <w:color w:val="000000" w:themeColor="text1"/>
          <w:sz w:val="20"/>
        </w:rPr>
        <w:t xml:space="preserve">on plant growth. </w:t>
      </w:r>
      <w:r w:rsidR="00A65DC4" w:rsidRPr="004930C2">
        <w:rPr>
          <w:color w:val="000000" w:themeColor="text1"/>
          <w:sz w:val="20"/>
        </w:rPr>
        <w:t>W</w:t>
      </w:r>
      <w:r w:rsidR="003864A2" w:rsidRPr="004930C2">
        <w:rPr>
          <w:color w:val="000000" w:themeColor="text1"/>
          <w:sz w:val="20"/>
        </w:rPr>
        <w:t>e</w:t>
      </w:r>
      <w:r w:rsidR="000305CD" w:rsidRPr="004930C2">
        <w:rPr>
          <w:rFonts w:hint="eastAsia"/>
          <w:color w:val="000000" w:themeColor="text1"/>
          <w:sz w:val="20"/>
        </w:rPr>
        <w:t xml:space="preserve"> </w:t>
      </w:r>
      <w:r w:rsidR="000305CD" w:rsidRPr="004930C2">
        <w:rPr>
          <w:color w:val="000000" w:themeColor="text1"/>
          <w:sz w:val="20"/>
        </w:rPr>
        <w:t>ha</w:t>
      </w:r>
      <w:r w:rsidR="003864A2" w:rsidRPr="004930C2">
        <w:rPr>
          <w:color w:val="000000" w:themeColor="text1"/>
          <w:sz w:val="20"/>
        </w:rPr>
        <w:t xml:space="preserve">ve established </w:t>
      </w:r>
      <w:r w:rsidR="00A65DC4" w:rsidRPr="004930C2">
        <w:rPr>
          <w:color w:val="000000" w:themeColor="text1"/>
          <w:sz w:val="20"/>
        </w:rPr>
        <w:t>two hypotheses</w:t>
      </w:r>
      <w:r w:rsidR="0088689A" w:rsidRPr="004930C2">
        <w:rPr>
          <w:color w:val="000000" w:themeColor="text1"/>
          <w:sz w:val="20"/>
        </w:rPr>
        <w:t xml:space="preserve"> to</w:t>
      </w:r>
      <w:r w:rsidR="00DE6058" w:rsidRPr="004930C2">
        <w:rPr>
          <w:color w:val="000000" w:themeColor="text1"/>
          <w:sz w:val="20"/>
        </w:rPr>
        <w:t xml:space="preserve"> clarify the above</w:t>
      </w:r>
      <w:r w:rsidR="007F3485" w:rsidRPr="004930C2">
        <w:rPr>
          <w:color w:val="000000" w:themeColor="text1"/>
          <w:sz w:val="20"/>
        </w:rPr>
        <w:t>-mentioned issues</w:t>
      </w:r>
      <w:r w:rsidR="006E4B00" w:rsidRPr="004930C2">
        <w:rPr>
          <w:color w:val="000000" w:themeColor="text1"/>
          <w:sz w:val="20"/>
        </w:rPr>
        <w:t>.</w:t>
      </w:r>
      <w:r w:rsidR="00443C84" w:rsidRPr="004930C2">
        <w:rPr>
          <w:color w:val="000000" w:themeColor="text1"/>
          <w:sz w:val="20"/>
        </w:rPr>
        <w:t xml:space="preserve"> </w:t>
      </w:r>
      <w:r w:rsidR="00030DF7" w:rsidRPr="004930C2">
        <w:rPr>
          <w:color w:val="000000" w:themeColor="text1"/>
          <w:sz w:val="20"/>
        </w:rPr>
        <w:t>Hypothesis #1</w:t>
      </w:r>
      <w:r w:rsidR="00B72C52" w:rsidRPr="004930C2">
        <w:rPr>
          <w:color w:val="000000" w:themeColor="text1"/>
          <w:sz w:val="20"/>
        </w:rPr>
        <w:t xml:space="preserve">: </w:t>
      </w:r>
      <w:bookmarkStart w:id="5" w:name="_Hlk49267362"/>
      <w:r w:rsidR="00443C84" w:rsidRPr="004930C2">
        <w:rPr>
          <w:color w:val="000000" w:themeColor="text1"/>
          <w:sz w:val="20"/>
        </w:rPr>
        <w:t>b</w:t>
      </w:r>
      <w:r w:rsidR="00A65DC4" w:rsidRPr="004930C2">
        <w:rPr>
          <w:color w:val="000000" w:themeColor="text1"/>
          <w:sz w:val="20"/>
        </w:rPr>
        <w:t xml:space="preserve">iochar-compost application </w:t>
      </w:r>
      <w:r w:rsidR="00076179" w:rsidRPr="004930C2">
        <w:rPr>
          <w:color w:val="000000" w:themeColor="text1"/>
          <w:sz w:val="20"/>
        </w:rPr>
        <w:t xml:space="preserve">improves </w:t>
      </w:r>
      <w:r w:rsidR="002B41AE" w:rsidRPr="004930C2">
        <w:rPr>
          <w:color w:val="000000" w:themeColor="text1"/>
          <w:sz w:val="20"/>
        </w:rPr>
        <w:t xml:space="preserve">plant growth </w:t>
      </w:r>
      <w:r w:rsidR="00253145" w:rsidRPr="004930C2">
        <w:rPr>
          <w:color w:val="000000" w:themeColor="text1"/>
          <w:sz w:val="20"/>
        </w:rPr>
        <w:t>when compared with</w:t>
      </w:r>
      <w:r w:rsidR="002B41AE" w:rsidRPr="004930C2">
        <w:rPr>
          <w:color w:val="000000" w:themeColor="text1"/>
          <w:sz w:val="20"/>
        </w:rPr>
        <w:t xml:space="preserve"> </w:t>
      </w:r>
      <w:r w:rsidR="00082E41" w:rsidRPr="004930C2">
        <w:rPr>
          <w:color w:val="000000" w:themeColor="text1"/>
          <w:sz w:val="20"/>
        </w:rPr>
        <w:t>compost application alone</w:t>
      </w:r>
      <w:r w:rsidR="002B41AE" w:rsidRPr="004930C2">
        <w:rPr>
          <w:sz w:val="20"/>
        </w:rPr>
        <w:t>.</w:t>
      </w:r>
      <w:bookmarkEnd w:id="5"/>
      <w:r w:rsidR="00981DC1" w:rsidRPr="004930C2">
        <w:rPr>
          <w:color w:val="000000" w:themeColor="text1"/>
          <w:sz w:val="20"/>
        </w:rPr>
        <w:t xml:space="preserve"> </w:t>
      </w:r>
      <w:r w:rsidR="00030DF7" w:rsidRPr="004930C2">
        <w:rPr>
          <w:sz w:val="20"/>
        </w:rPr>
        <w:t>Hypothesis #2</w:t>
      </w:r>
      <w:r w:rsidR="00B72C52" w:rsidRPr="004930C2">
        <w:rPr>
          <w:sz w:val="20"/>
        </w:rPr>
        <w:t xml:space="preserve">: </w:t>
      </w:r>
      <w:bookmarkStart w:id="6" w:name="_Hlk49267384"/>
      <w:r w:rsidR="00443C84" w:rsidRPr="004930C2">
        <w:rPr>
          <w:sz w:val="20"/>
        </w:rPr>
        <w:t>i</w:t>
      </w:r>
      <w:r w:rsidR="00866EC4" w:rsidRPr="004930C2">
        <w:rPr>
          <w:sz w:val="20"/>
        </w:rPr>
        <w:t xml:space="preserve">n the biochar-compost application, </w:t>
      </w:r>
      <w:r w:rsidR="00184FD3" w:rsidRPr="004930C2">
        <w:rPr>
          <w:sz w:val="20"/>
        </w:rPr>
        <w:t xml:space="preserve">a </w:t>
      </w:r>
      <w:r w:rsidR="00467115" w:rsidRPr="004930C2">
        <w:rPr>
          <w:sz w:val="20"/>
        </w:rPr>
        <w:t>divers</w:t>
      </w:r>
      <w:r w:rsidR="00503CC1" w:rsidRPr="004930C2">
        <w:rPr>
          <w:sz w:val="20"/>
        </w:rPr>
        <w:t>i</w:t>
      </w:r>
      <w:r w:rsidR="00467115" w:rsidRPr="004930C2">
        <w:rPr>
          <w:sz w:val="20"/>
        </w:rPr>
        <w:t>ty</w:t>
      </w:r>
      <w:r w:rsidR="00184FD3" w:rsidRPr="004930C2">
        <w:rPr>
          <w:sz w:val="20"/>
        </w:rPr>
        <w:t xml:space="preserve"> of </w:t>
      </w:r>
      <w:r w:rsidR="005C1491" w:rsidRPr="004930C2">
        <w:rPr>
          <w:sz w:val="20"/>
        </w:rPr>
        <w:t>biochar (</w:t>
      </w:r>
      <w:r w:rsidR="000603C3" w:rsidRPr="004930C2">
        <w:rPr>
          <w:sz w:val="20"/>
        </w:rPr>
        <w:t xml:space="preserve">caused by </w:t>
      </w:r>
      <w:r w:rsidR="005C1491" w:rsidRPr="004930C2">
        <w:rPr>
          <w:sz w:val="20"/>
        </w:rPr>
        <w:t xml:space="preserve">feedstock type and carbonization temperature) affects </w:t>
      </w:r>
      <w:r w:rsidR="000603C3" w:rsidRPr="004930C2">
        <w:rPr>
          <w:sz w:val="20"/>
        </w:rPr>
        <w:t xml:space="preserve">the extent of </w:t>
      </w:r>
      <w:r w:rsidR="005C1491" w:rsidRPr="004930C2">
        <w:rPr>
          <w:sz w:val="20"/>
        </w:rPr>
        <w:t>plant growth.</w:t>
      </w:r>
      <w:bookmarkEnd w:id="6"/>
      <w:r w:rsidR="006E4B00" w:rsidRPr="004930C2">
        <w:rPr>
          <w:color w:val="000000" w:themeColor="text1"/>
          <w:sz w:val="20"/>
        </w:rPr>
        <w:t xml:space="preserve"> </w:t>
      </w:r>
      <w:r w:rsidR="007F3485" w:rsidRPr="004930C2">
        <w:rPr>
          <w:color w:val="000000" w:themeColor="text1"/>
          <w:sz w:val="20"/>
        </w:rPr>
        <w:t>In order to verify the</w:t>
      </w:r>
      <w:r w:rsidR="00253145" w:rsidRPr="004930C2">
        <w:rPr>
          <w:color w:val="000000" w:themeColor="text1"/>
          <w:sz w:val="20"/>
        </w:rPr>
        <w:t>se</w:t>
      </w:r>
      <w:r w:rsidR="007F3485" w:rsidRPr="004930C2">
        <w:rPr>
          <w:color w:val="000000" w:themeColor="text1"/>
          <w:sz w:val="20"/>
        </w:rPr>
        <w:t xml:space="preserve"> hypotheses</w:t>
      </w:r>
      <w:r w:rsidR="00B60583" w:rsidRPr="004930C2">
        <w:rPr>
          <w:color w:val="000000" w:themeColor="text1"/>
          <w:sz w:val="20"/>
        </w:rPr>
        <w:t xml:space="preserve">, </w:t>
      </w:r>
      <w:r w:rsidR="000C02BC" w:rsidRPr="004930C2">
        <w:rPr>
          <w:color w:val="000000" w:themeColor="text1"/>
          <w:sz w:val="20"/>
        </w:rPr>
        <w:t xml:space="preserve">we prepared </w:t>
      </w:r>
      <w:r w:rsidR="00B60583" w:rsidRPr="004930C2">
        <w:rPr>
          <w:color w:val="000000" w:themeColor="text1"/>
          <w:sz w:val="20"/>
        </w:rPr>
        <w:t>six types of biochar from two types of feedstock (</w:t>
      </w:r>
      <w:r w:rsidR="00586C41" w:rsidRPr="004930C2">
        <w:rPr>
          <w:color w:val="000000" w:themeColor="text1"/>
          <w:sz w:val="20"/>
        </w:rPr>
        <w:t xml:space="preserve">fresh </w:t>
      </w:r>
      <w:r w:rsidR="00B60583" w:rsidRPr="004930C2">
        <w:rPr>
          <w:color w:val="000000" w:themeColor="text1"/>
          <w:sz w:val="20"/>
        </w:rPr>
        <w:t xml:space="preserve">dairy manure and wood shavings) at three carbonization temperatures </w:t>
      </w:r>
      <w:r w:rsidR="00B60583" w:rsidRPr="004930C2">
        <w:rPr>
          <w:color w:val="000000" w:themeColor="text1"/>
          <w:sz w:val="20"/>
        </w:rPr>
        <w:lastRenderedPageBreak/>
        <w:t>(300</w:t>
      </w:r>
      <w:r w:rsidR="000C02BC" w:rsidRPr="004930C2">
        <w:rPr>
          <w:color w:val="000000" w:themeColor="text1"/>
          <w:sz w:val="20"/>
        </w:rPr>
        <w:t>°C</w:t>
      </w:r>
      <w:r w:rsidR="00B60583" w:rsidRPr="004930C2">
        <w:rPr>
          <w:color w:val="000000" w:themeColor="text1"/>
          <w:sz w:val="20"/>
        </w:rPr>
        <w:t>, 450</w:t>
      </w:r>
      <w:r w:rsidR="000C02BC" w:rsidRPr="004930C2">
        <w:rPr>
          <w:color w:val="000000" w:themeColor="text1"/>
          <w:sz w:val="20"/>
        </w:rPr>
        <w:t>°C</w:t>
      </w:r>
      <w:r w:rsidR="00B60583" w:rsidRPr="004930C2">
        <w:rPr>
          <w:color w:val="000000" w:themeColor="text1"/>
          <w:sz w:val="20"/>
        </w:rPr>
        <w:t>, and 600°C)</w:t>
      </w:r>
      <w:r w:rsidR="00380358" w:rsidRPr="004930C2">
        <w:rPr>
          <w:color w:val="000000" w:themeColor="text1"/>
          <w:sz w:val="20"/>
        </w:rPr>
        <w:t xml:space="preserve"> and grew</w:t>
      </w:r>
      <w:r w:rsidR="00B60583" w:rsidRPr="004930C2">
        <w:rPr>
          <w:color w:val="000000" w:themeColor="text1"/>
          <w:sz w:val="20"/>
        </w:rPr>
        <w:t xml:space="preserve"> </w:t>
      </w:r>
      <w:r w:rsidR="00380358" w:rsidRPr="004930C2">
        <w:rPr>
          <w:color w:val="000000" w:themeColor="text1"/>
          <w:sz w:val="20"/>
        </w:rPr>
        <w:t>o</w:t>
      </w:r>
      <w:r w:rsidR="000C02BC" w:rsidRPr="004930C2">
        <w:rPr>
          <w:color w:val="000000" w:themeColor="text1"/>
          <w:sz w:val="20"/>
        </w:rPr>
        <w:t>at plant (</w:t>
      </w:r>
      <w:proofErr w:type="spellStart"/>
      <w:r w:rsidR="000C02BC" w:rsidRPr="004930C2">
        <w:rPr>
          <w:i/>
          <w:color w:val="000000" w:themeColor="text1"/>
          <w:sz w:val="20"/>
        </w:rPr>
        <w:t>Avena</w:t>
      </w:r>
      <w:proofErr w:type="spellEnd"/>
      <w:r w:rsidR="000C02BC" w:rsidRPr="004930C2">
        <w:rPr>
          <w:i/>
          <w:color w:val="000000" w:themeColor="text1"/>
          <w:sz w:val="20"/>
        </w:rPr>
        <w:t xml:space="preserve"> sativa</w:t>
      </w:r>
      <w:r w:rsidR="000C02BC" w:rsidRPr="004930C2">
        <w:rPr>
          <w:color w:val="000000" w:themeColor="text1"/>
          <w:sz w:val="20"/>
        </w:rPr>
        <w:t xml:space="preserve"> L.) as model biomass in </w:t>
      </w:r>
      <w:r w:rsidR="0004650D" w:rsidRPr="004930C2">
        <w:rPr>
          <w:color w:val="000000" w:themeColor="text1"/>
          <w:sz w:val="20"/>
        </w:rPr>
        <w:t xml:space="preserve">the </w:t>
      </w:r>
      <w:r w:rsidR="000C02BC" w:rsidRPr="004930C2">
        <w:rPr>
          <w:color w:val="000000" w:themeColor="text1"/>
          <w:sz w:val="20"/>
        </w:rPr>
        <w:t>biochar-compost application as well as compost application</w:t>
      </w:r>
      <w:r w:rsidR="00F209C6" w:rsidRPr="004930C2">
        <w:rPr>
          <w:color w:val="000000" w:themeColor="text1"/>
          <w:sz w:val="20"/>
        </w:rPr>
        <w:t xml:space="preserve"> alone</w:t>
      </w:r>
      <w:r w:rsidR="000C02BC" w:rsidRPr="004930C2">
        <w:rPr>
          <w:color w:val="000000" w:themeColor="text1"/>
          <w:sz w:val="20"/>
        </w:rPr>
        <w:t>.</w:t>
      </w:r>
    </w:p>
    <w:p w14:paraId="37163882" w14:textId="06B1872A" w:rsidR="00E40D4F" w:rsidRPr="004930C2" w:rsidRDefault="00E40D4F" w:rsidP="00330D39">
      <w:pPr>
        <w:spacing w:line="480" w:lineRule="auto"/>
        <w:rPr>
          <w:color w:val="000000" w:themeColor="text1"/>
          <w:sz w:val="20"/>
        </w:rPr>
      </w:pPr>
    </w:p>
    <w:p w14:paraId="6A829D41" w14:textId="670D6741" w:rsidR="00E40D4F" w:rsidRPr="004930C2" w:rsidRDefault="00E40D4F" w:rsidP="00330D39">
      <w:pPr>
        <w:spacing w:line="480" w:lineRule="auto"/>
        <w:rPr>
          <w:b/>
          <w:color w:val="000000" w:themeColor="text1"/>
          <w:sz w:val="20"/>
        </w:rPr>
      </w:pPr>
      <w:r w:rsidRPr="004930C2">
        <w:rPr>
          <w:b/>
          <w:color w:val="000000" w:themeColor="text1"/>
          <w:sz w:val="20"/>
        </w:rPr>
        <w:t>2. Material and Methods</w:t>
      </w:r>
    </w:p>
    <w:p w14:paraId="2FD7B223" w14:textId="571A366E" w:rsidR="00E40D4F" w:rsidRPr="004930C2" w:rsidRDefault="00E40D4F" w:rsidP="00330D39">
      <w:pPr>
        <w:spacing w:line="480" w:lineRule="auto"/>
        <w:rPr>
          <w:b/>
          <w:color w:val="000000" w:themeColor="text1"/>
          <w:sz w:val="20"/>
        </w:rPr>
      </w:pPr>
      <w:r w:rsidRPr="004930C2">
        <w:rPr>
          <w:b/>
          <w:color w:val="000000" w:themeColor="text1"/>
          <w:sz w:val="20"/>
        </w:rPr>
        <w:t xml:space="preserve">2.1 </w:t>
      </w:r>
      <w:r w:rsidR="008C3AC1" w:rsidRPr="004930C2">
        <w:rPr>
          <w:b/>
          <w:color w:val="000000" w:themeColor="text1"/>
          <w:sz w:val="20"/>
        </w:rPr>
        <w:t>Characteristics of soil and compost</w:t>
      </w:r>
    </w:p>
    <w:p w14:paraId="00D9B54C" w14:textId="0C33658A" w:rsidR="00E40D4F" w:rsidRPr="004930C2" w:rsidRDefault="008C3AC1" w:rsidP="00330D39">
      <w:pPr>
        <w:spacing w:line="480" w:lineRule="auto"/>
        <w:rPr>
          <w:color w:val="000000" w:themeColor="text1"/>
          <w:sz w:val="20"/>
        </w:rPr>
      </w:pPr>
      <w:r w:rsidRPr="004930C2">
        <w:rPr>
          <w:color w:val="000000" w:themeColor="text1"/>
          <w:sz w:val="20"/>
        </w:rPr>
        <w:t xml:space="preserve">Red soil (Kanto loam soil) was </w:t>
      </w:r>
      <w:r w:rsidR="00B53CBC" w:rsidRPr="004930C2">
        <w:rPr>
          <w:color w:val="000000" w:themeColor="text1"/>
          <w:sz w:val="20"/>
        </w:rPr>
        <w:t xml:space="preserve">used in this study. To model the degraded soil, red soil was </w:t>
      </w:r>
      <w:r w:rsidRPr="004930C2">
        <w:rPr>
          <w:color w:val="000000" w:themeColor="text1"/>
          <w:sz w:val="20"/>
        </w:rPr>
        <w:t>dried at 50°C for 48 h and milled to pass through a 2</w:t>
      </w:r>
      <w:r w:rsidRPr="004930C2">
        <w:rPr>
          <w:rFonts w:hint="eastAsia"/>
          <w:color w:val="000000" w:themeColor="text1"/>
          <w:sz w:val="20"/>
        </w:rPr>
        <w:t>-</w:t>
      </w:r>
      <w:r w:rsidRPr="004930C2">
        <w:rPr>
          <w:color w:val="000000" w:themeColor="text1"/>
          <w:sz w:val="20"/>
        </w:rPr>
        <w:t>mm sieve</w:t>
      </w:r>
      <w:r w:rsidR="00202769" w:rsidRPr="004930C2">
        <w:rPr>
          <w:color w:val="000000" w:themeColor="text1"/>
          <w:sz w:val="20"/>
        </w:rPr>
        <w:t>.</w:t>
      </w:r>
      <w:r w:rsidRPr="004930C2">
        <w:rPr>
          <w:color w:val="000000" w:themeColor="text1"/>
          <w:sz w:val="20"/>
        </w:rPr>
        <w:t xml:space="preserve"> The red soil had a pH of 5.6, NO</w:t>
      </w:r>
      <w:r w:rsidRPr="004930C2">
        <w:rPr>
          <w:color w:val="000000" w:themeColor="text1"/>
          <w:sz w:val="20"/>
          <w:vertAlign w:val="subscript"/>
        </w:rPr>
        <w:t>3</w:t>
      </w:r>
      <w:r w:rsidRPr="004930C2">
        <w:rPr>
          <w:color w:val="000000" w:themeColor="text1"/>
          <w:sz w:val="20"/>
        </w:rPr>
        <w:t>-N of 0.047 g kg</w:t>
      </w:r>
      <w:r w:rsidRPr="004930C2">
        <w:rPr>
          <w:color w:val="000000" w:themeColor="text1"/>
          <w:sz w:val="20"/>
          <w:vertAlign w:val="superscript"/>
        </w:rPr>
        <w:t>−1</w:t>
      </w:r>
      <w:r w:rsidRPr="004930C2">
        <w:rPr>
          <w:color w:val="000000" w:themeColor="text1"/>
          <w:sz w:val="20"/>
        </w:rPr>
        <w:t>, NH</w:t>
      </w:r>
      <w:r w:rsidRPr="004930C2">
        <w:rPr>
          <w:color w:val="000000" w:themeColor="text1"/>
          <w:sz w:val="20"/>
          <w:vertAlign w:val="subscript"/>
        </w:rPr>
        <w:t>4</w:t>
      </w:r>
      <w:r w:rsidRPr="004930C2">
        <w:rPr>
          <w:color w:val="000000" w:themeColor="text1"/>
          <w:sz w:val="20"/>
        </w:rPr>
        <w:t>-N of 0.005 g kg</w:t>
      </w:r>
      <w:r w:rsidRPr="004930C2">
        <w:rPr>
          <w:color w:val="000000" w:themeColor="text1"/>
          <w:sz w:val="20"/>
          <w:vertAlign w:val="superscript"/>
        </w:rPr>
        <w:t>−1</w:t>
      </w:r>
      <w:r w:rsidRPr="004930C2">
        <w:rPr>
          <w:color w:val="000000" w:themeColor="text1"/>
          <w:sz w:val="20"/>
        </w:rPr>
        <w:t>; and clay, silt, and sand content of 15.7</w:t>
      </w:r>
      <w:r w:rsidR="00202769" w:rsidRPr="004930C2">
        <w:rPr>
          <w:color w:val="000000" w:themeColor="text1"/>
          <w:sz w:val="20"/>
        </w:rPr>
        <w:t>%</w:t>
      </w:r>
      <w:r w:rsidRPr="004930C2">
        <w:rPr>
          <w:color w:val="000000" w:themeColor="text1"/>
          <w:sz w:val="20"/>
        </w:rPr>
        <w:t>, 5.7</w:t>
      </w:r>
      <w:r w:rsidR="00202769" w:rsidRPr="004930C2">
        <w:rPr>
          <w:color w:val="000000" w:themeColor="text1"/>
          <w:sz w:val="20"/>
        </w:rPr>
        <w:t>%</w:t>
      </w:r>
      <w:r w:rsidRPr="004930C2">
        <w:rPr>
          <w:color w:val="000000" w:themeColor="text1"/>
          <w:sz w:val="20"/>
        </w:rPr>
        <w:t>, and 78.6%, respectively.</w:t>
      </w:r>
      <w:r w:rsidR="00E40D4F" w:rsidRPr="004930C2">
        <w:rPr>
          <w:color w:val="000000" w:themeColor="text1"/>
          <w:sz w:val="20"/>
        </w:rPr>
        <w:t xml:space="preserve"> </w:t>
      </w:r>
      <w:r w:rsidR="00214CF1" w:rsidRPr="004930C2">
        <w:rPr>
          <w:color w:val="000000" w:themeColor="text1"/>
          <w:sz w:val="20"/>
        </w:rPr>
        <w:t>Compost</w:t>
      </w:r>
      <w:r w:rsidR="00E40D4F" w:rsidRPr="004930C2">
        <w:rPr>
          <w:color w:val="000000" w:themeColor="text1"/>
          <w:sz w:val="20"/>
        </w:rPr>
        <w:t xml:space="preserve"> was collected </w:t>
      </w:r>
      <w:r w:rsidR="003C78F6" w:rsidRPr="004930C2">
        <w:rPr>
          <w:color w:val="000000" w:themeColor="text1"/>
          <w:sz w:val="20"/>
        </w:rPr>
        <w:t>from a</w:t>
      </w:r>
      <w:r w:rsidR="00E40D4F" w:rsidRPr="004930C2">
        <w:rPr>
          <w:color w:val="000000" w:themeColor="text1"/>
          <w:sz w:val="20"/>
        </w:rPr>
        <w:t xml:space="preserve"> farm in </w:t>
      </w:r>
      <w:proofErr w:type="spellStart"/>
      <w:r w:rsidR="00E40D4F" w:rsidRPr="004930C2">
        <w:rPr>
          <w:color w:val="000000" w:themeColor="text1"/>
          <w:sz w:val="20"/>
        </w:rPr>
        <w:t>Kitahiroshima</w:t>
      </w:r>
      <w:proofErr w:type="spellEnd"/>
      <w:r w:rsidR="00E40D4F" w:rsidRPr="004930C2">
        <w:rPr>
          <w:color w:val="000000" w:themeColor="text1"/>
          <w:sz w:val="20"/>
        </w:rPr>
        <w:t>, Japan</w:t>
      </w:r>
      <w:r w:rsidR="00202769" w:rsidRPr="004930C2">
        <w:rPr>
          <w:color w:val="000000" w:themeColor="text1"/>
          <w:sz w:val="20"/>
        </w:rPr>
        <w:t>. This material</w:t>
      </w:r>
      <w:r w:rsidR="002F2BE8" w:rsidRPr="004930C2">
        <w:rPr>
          <w:color w:val="000000" w:themeColor="text1"/>
          <w:sz w:val="20"/>
        </w:rPr>
        <w:t xml:space="preserve"> was produced </w:t>
      </w:r>
      <w:r w:rsidR="00202769" w:rsidRPr="004930C2">
        <w:rPr>
          <w:color w:val="000000" w:themeColor="text1"/>
          <w:sz w:val="20"/>
        </w:rPr>
        <w:t xml:space="preserve">by </w:t>
      </w:r>
      <w:r w:rsidR="002F2BE8" w:rsidRPr="004930C2">
        <w:rPr>
          <w:color w:val="000000" w:themeColor="text1"/>
          <w:sz w:val="20"/>
        </w:rPr>
        <w:t>composting dairy manure for several months using mechanical turning</w:t>
      </w:r>
      <w:r w:rsidR="00202769" w:rsidRPr="004930C2">
        <w:rPr>
          <w:color w:val="000000" w:themeColor="text1"/>
          <w:sz w:val="20"/>
        </w:rPr>
        <w:t>, with straw as a bulking agent</w:t>
      </w:r>
      <w:r w:rsidR="002F2BE8" w:rsidRPr="004930C2">
        <w:rPr>
          <w:color w:val="000000" w:themeColor="text1"/>
          <w:sz w:val="20"/>
        </w:rPr>
        <w:t>.</w:t>
      </w:r>
      <w:r w:rsidR="001B4B87" w:rsidRPr="004930C2">
        <w:rPr>
          <w:color w:val="000000" w:themeColor="text1"/>
          <w:sz w:val="20"/>
        </w:rPr>
        <w:t xml:space="preserve"> </w:t>
      </w:r>
      <w:r w:rsidR="00202769" w:rsidRPr="004930C2">
        <w:rPr>
          <w:color w:val="000000" w:themeColor="text1"/>
          <w:sz w:val="20"/>
        </w:rPr>
        <w:t>Compost</w:t>
      </w:r>
      <w:r w:rsidR="002F2BE8" w:rsidRPr="004930C2">
        <w:rPr>
          <w:color w:val="000000" w:themeColor="text1"/>
          <w:sz w:val="20"/>
        </w:rPr>
        <w:t xml:space="preserve"> had</w:t>
      </w:r>
      <w:r w:rsidR="00214CF1" w:rsidRPr="004930C2">
        <w:rPr>
          <w:color w:val="000000" w:themeColor="text1"/>
          <w:sz w:val="20"/>
        </w:rPr>
        <w:t xml:space="preserve"> </w:t>
      </w:r>
      <w:r w:rsidR="001B4B87" w:rsidRPr="004930C2">
        <w:rPr>
          <w:color w:val="000000" w:themeColor="text1"/>
          <w:sz w:val="20"/>
        </w:rPr>
        <w:t>a wet-basis moisture</w:t>
      </w:r>
      <w:r w:rsidR="00202769" w:rsidRPr="004930C2">
        <w:rPr>
          <w:color w:val="000000" w:themeColor="text1"/>
          <w:sz w:val="20"/>
        </w:rPr>
        <w:t xml:space="preserve"> of 70%</w:t>
      </w:r>
      <w:r w:rsidR="001B4B87" w:rsidRPr="004930C2">
        <w:rPr>
          <w:color w:val="000000" w:themeColor="text1"/>
          <w:sz w:val="20"/>
        </w:rPr>
        <w:t xml:space="preserve">; pH of 8.85; C/N ratio of 18.5; and total N, P, and K </w:t>
      </w:r>
      <w:r w:rsidR="00202769" w:rsidRPr="004930C2">
        <w:rPr>
          <w:color w:val="000000" w:themeColor="text1"/>
          <w:sz w:val="20"/>
        </w:rPr>
        <w:t xml:space="preserve">concentrations </w:t>
      </w:r>
      <w:r w:rsidR="001B4B87" w:rsidRPr="004930C2">
        <w:rPr>
          <w:color w:val="000000" w:themeColor="text1"/>
          <w:sz w:val="20"/>
        </w:rPr>
        <w:t xml:space="preserve">of 24.4, 3.9, and </w:t>
      </w:r>
      <w:r w:rsidR="001161B0" w:rsidRPr="004930C2">
        <w:rPr>
          <w:color w:val="000000" w:themeColor="text1"/>
          <w:sz w:val="20"/>
        </w:rPr>
        <w:t xml:space="preserve">dry mass of </w:t>
      </w:r>
      <w:r w:rsidR="001B4B87" w:rsidRPr="004930C2">
        <w:rPr>
          <w:color w:val="000000" w:themeColor="text1"/>
          <w:sz w:val="20"/>
        </w:rPr>
        <w:t>19.4 g kg</w:t>
      </w:r>
      <w:r w:rsidR="001B4B87" w:rsidRPr="004930C2">
        <w:rPr>
          <w:color w:val="000000" w:themeColor="text1"/>
          <w:sz w:val="20"/>
          <w:vertAlign w:val="superscript"/>
        </w:rPr>
        <w:t>−1</w:t>
      </w:r>
      <w:r w:rsidR="001B4B87" w:rsidRPr="004930C2">
        <w:rPr>
          <w:color w:val="000000" w:themeColor="text1"/>
          <w:sz w:val="20"/>
        </w:rPr>
        <w:t>, respectively.</w:t>
      </w:r>
      <w:r w:rsidR="002F2BE8" w:rsidRPr="004930C2" w:rsidDel="00214CF1">
        <w:rPr>
          <w:color w:val="000000" w:themeColor="text1"/>
          <w:sz w:val="20"/>
        </w:rPr>
        <w:t xml:space="preserve"> </w:t>
      </w:r>
    </w:p>
    <w:p w14:paraId="3B0CCA26" w14:textId="770BDA80" w:rsidR="00E40D4F" w:rsidRPr="004930C2" w:rsidRDefault="00E40D4F" w:rsidP="00330D39">
      <w:pPr>
        <w:spacing w:line="480" w:lineRule="auto"/>
        <w:rPr>
          <w:color w:val="000000" w:themeColor="text1"/>
          <w:sz w:val="20"/>
        </w:rPr>
      </w:pPr>
    </w:p>
    <w:p w14:paraId="1CCA55EA" w14:textId="3DA08493" w:rsidR="008C3AC1" w:rsidRPr="004930C2" w:rsidRDefault="008C3AC1" w:rsidP="00330D39">
      <w:pPr>
        <w:spacing w:line="480" w:lineRule="auto"/>
        <w:rPr>
          <w:b/>
          <w:color w:val="000000" w:themeColor="text1"/>
          <w:sz w:val="20"/>
        </w:rPr>
      </w:pPr>
      <w:r w:rsidRPr="004930C2">
        <w:rPr>
          <w:b/>
          <w:color w:val="000000" w:themeColor="text1"/>
          <w:sz w:val="20"/>
        </w:rPr>
        <w:t>2.2 Biochar production</w:t>
      </w:r>
    </w:p>
    <w:p w14:paraId="29474951" w14:textId="6FF40EB4" w:rsidR="008C3AC1" w:rsidRPr="004930C2" w:rsidRDefault="008C3AC1" w:rsidP="00330D39">
      <w:pPr>
        <w:spacing w:line="480" w:lineRule="auto"/>
        <w:rPr>
          <w:color w:val="000000" w:themeColor="text1"/>
          <w:sz w:val="20"/>
        </w:rPr>
      </w:pPr>
      <w:r w:rsidRPr="004930C2">
        <w:rPr>
          <w:color w:val="000000" w:themeColor="text1"/>
          <w:sz w:val="20"/>
        </w:rPr>
        <w:t>Wood biochar (WD</w:t>
      </w:r>
      <w:r w:rsidRPr="004930C2">
        <w:rPr>
          <w:color w:val="000000" w:themeColor="text1"/>
          <w:sz w:val="20"/>
          <w:vertAlign w:val="subscript"/>
        </w:rPr>
        <w:t>BC</w:t>
      </w:r>
      <w:r w:rsidRPr="004930C2">
        <w:rPr>
          <w:color w:val="000000" w:themeColor="text1"/>
          <w:sz w:val="20"/>
        </w:rPr>
        <w:t>) and dairy manure biochar (DM</w:t>
      </w:r>
      <w:r w:rsidRPr="004930C2">
        <w:rPr>
          <w:color w:val="000000" w:themeColor="text1"/>
          <w:sz w:val="20"/>
          <w:vertAlign w:val="subscript"/>
        </w:rPr>
        <w:t>BC</w:t>
      </w:r>
      <w:r w:rsidRPr="004930C2">
        <w:rPr>
          <w:color w:val="000000" w:themeColor="text1"/>
          <w:sz w:val="20"/>
        </w:rPr>
        <w:t>) were produced from wood shavings of larch (</w:t>
      </w:r>
      <w:r w:rsidRPr="004930C2">
        <w:rPr>
          <w:i/>
          <w:color w:val="000000" w:themeColor="text1"/>
          <w:sz w:val="20"/>
        </w:rPr>
        <w:t xml:space="preserve">Larix </w:t>
      </w:r>
      <w:proofErr w:type="spellStart"/>
      <w:r w:rsidRPr="004930C2">
        <w:rPr>
          <w:i/>
          <w:color w:val="000000" w:themeColor="text1"/>
          <w:sz w:val="20"/>
        </w:rPr>
        <w:t>kaempferi</w:t>
      </w:r>
      <w:proofErr w:type="spellEnd"/>
      <w:r w:rsidR="00AB2601" w:rsidRPr="004930C2">
        <w:rPr>
          <w:color w:val="000000" w:themeColor="text1"/>
          <w:sz w:val="20"/>
        </w:rPr>
        <w:t xml:space="preserve"> </w:t>
      </w:r>
      <w:proofErr w:type="spellStart"/>
      <w:r w:rsidR="00AB2601" w:rsidRPr="004930C2">
        <w:rPr>
          <w:color w:val="000000" w:themeColor="text1"/>
          <w:sz w:val="20"/>
        </w:rPr>
        <w:t>Sarg</w:t>
      </w:r>
      <w:proofErr w:type="spellEnd"/>
      <w:r w:rsidR="00AB2601" w:rsidRPr="004930C2">
        <w:rPr>
          <w:color w:val="000000" w:themeColor="text1"/>
          <w:sz w:val="20"/>
        </w:rPr>
        <w:t>.</w:t>
      </w:r>
      <w:r w:rsidRPr="004930C2">
        <w:rPr>
          <w:color w:val="000000" w:themeColor="text1"/>
          <w:sz w:val="20"/>
        </w:rPr>
        <w:t xml:space="preserve">) (WD) and </w:t>
      </w:r>
      <w:r w:rsidR="00586C41" w:rsidRPr="004930C2">
        <w:rPr>
          <w:color w:val="000000" w:themeColor="text1"/>
          <w:sz w:val="20"/>
        </w:rPr>
        <w:t xml:space="preserve">fresh </w:t>
      </w:r>
      <w:r w:rsidRPr="004930C2">
        <w:rPr>
          <w:color w:val="000000" w:themeColor="text1"/>
          <w:sz w:val="20"/>
        </w:rPr>
        <w:t>dairy manure (DM)</w:t>
      </w:r>
      <w:r w:rsidR="001161B0" w:rsidRPr="004930C2">
        <w:rPr>
          <w:color w:val="000000" w:themeColor="text1"/>
          <w:sz w:val="20"/>
        </w:rPr>
        <w:t>.</w:t>
      </w:r>
      <w:r w:rsidRPr="004930C2">
        <w:rPr>
          <w:color w:val="000000" w:themeColor="text1"/>
          <w:sz w:val="20"/>
        </w:rPr>
        <w:t xml:space="preserve"> WD was collected at the </w:t>
      </w:r>
      <w:proofErr w:type="spellStart"/>
      <w:r w:rsidRPr="004930C2">
        <w:rPr>
          <w:color w:val="000000" w:themeColor="text1"/>
          <w:sz w:val="20"/>
        </w:rPr>
        <w:t>Tomakomai</w:t>
      </w:r>
      <w:proofErr w:type="spellEnd"/>
      <w:r w:rsidRPr="004930C2">
        <w:rPr>
          <w:color w:val="000000" w:themeColor="text1"/>
          <w:sz w:val="20"/>
        </w:rPr>
        <w:t xml:space="preserve"> experimental forest of the Field Science Center for Northern Biosphere, Hokkaido University, </w:t>
      </w:r>
      <w:proofErr w:type="spellStart"/>
      <w:r w:rsidRPr="004930C2">
        <w:rPr>
          <w:color w:val="000000" w:themeColor="text1"/>
          <w:sz w:val="20"/>
        </w:rPr>
        <w:t>Tomakomai</w:t>
      </w:r>
      <w:proofErr w:type="spellEnd"/>
      <w:r w:rsidRPr="004930C2">
        <w:rPr>
          <w:color w:val="000000" w:themeColor="text1"/>
          <w:sz w:val="20"/>
        </w:rPr>
        <w:t xml:space="preserve">, Japan; DM was collected from an experimental farm of the Field Science Center for Northern Biosphere, Hokkaido University, Sapporo, Japan. </w:t>
      </w:r>
      <w:r w:rsidR="00214CF1" w:rsidRPr="004930C2">
        <w:rPr>
          <w:color w:val="000000" w:themeColor="text1"/>
          <w:sz w:val="20"/>
        </w:rPr>
        <w:t>DM was immediately dehydrated to a water content of 60% wet-basis</w:t>
      </w:r>
      <w:r w:rsidR="001161B0" w:rsidRPr="004930C2">
        <w:rPr>
          <w:color w:val="000000" w:themeColor="text1"/>
          <w:sz w:val="20"/>
        </w:rPr>
        <w:t>,</w:t>
      </w:r>
      <w:r w:rsidR="00214CF1" w:rsidRPr="004930C2">
        <w:rPr>
          <w:color w:val="000000" w:themeColor="text1"/>
          <w:sz w:val="20"/>
        </w:rPr>
        <w:t xml:space="preserve"> and then kept </w:t>
      </w:r>
      <w:r w:rsidR="001161B0" w:rsidRPr="004930C2">
        <w:rPr>
          <w:color w:val="000000" w:themeColor="text1"/>
          <w:sz w:val="20"/>
        </w:rPr>
        <w:t xml:space="preserve">frozen </w:t>
      </w:r>
      <w:r w:rsidR="00214CF1" w:rsidRPr="004930C2">
        <w:rPr>
          <w:color w:val="000000" w:themeColor="text1"/>
          <w:sz w:val="20"/>
        </w:rPr>
        <w:t>until use. Before carbonization, f</w:t>
      </w:r>
      <w:r w:rsidRPr="004930C2">
        <w:rPr>
          <w:color w:val="000000" w:themeColor="text1"/>
          <w:sz w:val="20"/>
        </w:rPr>
        <w:t>eedstocks</w:t>
      </w:r>
      <w:r w:rsidR="00214CF1" w:rsidRPr="004930C2">
        <w:rPr>
          <w:color w:val="000000" w:themeColor="text1"/>
          <w:sz w:val="20"/>
        </w:rPr>
        <w:t xml:space="preserve"> (WD and DM)</w:t>
      </w:r>
      <w:r w:rsidRPr="004930C2">
        <w:rPr>
          <w:color w:val="000000" w:themeColor="text1"/>
          <w:sz w:val="20"/>
        </w:rPr>
        <w:t xml:space="preserve"> were oven-dried at 105°C for 24 h and milled to pass through a </w:t>
      </w:r>
      <w:r w:rsidRPr="004930C2">
        <w:rPr>
          <w:color w:val="000000" w:themeColor="text1"/>
          <w:sz w:val="20"/>
        </w:rPr>
        <w:lastRenderedPageBreak/>
        <w:t>2-mm sieve. Homogenized feedstocks were placed in alumina crucibles covered with lids and underwent carbonization in the muffle furnace at temperatures of 300°C, 450°C, and 600°C for 1 h.</w:t>
      </w:r>
    </w:p>
    <w:p w14:paraId="3A72259A" w14:textId="77777777" w:rsidR="008C3AC1" w:rsidRPr="004930C2" w:rsidRDefault="008C3AC1" w:rsidP="00330D39">
      <w:pPr>
        <w:spacing w:line="480" w:lineRule="auto"/>
        <w:rPr>
          <w:color w:val="000000" w:themeColor="text1"/>
          <w:sz w:val="20"/>
        </w:rPr>
      </w:pPr>
    </w:p>
    <w:p w14:paraId="74B3EDB8" w14:textId="26C38B8D" w:rsidR="00E40D4F" w:rsidRPr="004930C2" w:rsidRDefault="00E40D4F" w:rsidP="00330D39">
      <w:pPr>
        <w:spacing w:line="480" w:lineRule="auto"/>
        <w:rPr>
          <w:b/>
          <w:color w:val="000000" w:themeColor="text1"/>
          <w:sz w:val="20"/>
        </w:rPr>
      </w:pPr>
      <w:r w:rsidRPr="004930C2">
        <w:rPr>
          <w:b/>
          <w:color w:val="000000" w:themeColor="text1"/>
          <w:sz w:val="20"/>
        </w:rPr>
        <w:t>2.</w:t>
      </w:r>
      <w:r w:rsidR="00A508B0" w:rsidRPr="004930C2">
        <w:rPr>
          <w:b/>
          <w:color w:val="000000" w:themeColor="text1"/>
          <w:sz w:val="20"/>
        </w:rPr>
        <w:t>3</w:t>
      </w:r>
      <w:r w:rsidRPr="004930C2">
        <w:rPr>
          <w:b/>
          <w:color w:val="000000" w:themeColor="text1"/>
          <w:sz w:val="20"/>
        </w:rPr>
        <w:t xml:space="preserve"> Cultivation experiment</w:t>
      </w:r>
    </w:p>
    <w:p w14:paraId="5C48B6AA" w14:textId="00131B88" w:rsidR="009D3BAE" w:rsidRPr="004930C2" w:rsidRDefault="00E40D4F" w:rsidP="00330D39">
      <w:pPr>
        <w:spacing w:line="480" w:lineRule="auto"/>
        <w:rPr>
          <w:color w:val="000000" w:themeColor="text1"/>
          <w:sz w:val="20"/>
        </w:rPr>
      </w:pPr>
      <w:r w:rsidRPr="004930C2">
        <w:rPr>
          <w:color w:val="000000" w:themeColor="text1"/>
          <w:sz w:val="20"/>
        </w:rPr>
        <w:t>Oat plant</w:t>
      </w:r>
      <w:r w:rsidR="003C78F6" w:rsidRPr="004930C2">
        <w:rPr>
          <w:color w:val="000000" w:themeColor="text1"/>
          <w:sz w:val="20"/>
        </w:rPr>
        <w:t>s</w:t>
      </w:r>
      <w:r w:rsidRPr="004930C2">
        <w:rPr>
          <w:color w:val="000000" w:themeColor="text1"/>
          <w:sz w:val="20"/>
        </w:rPr>
        <w:t xml:space="preserve"> (</w:t>
      </w:r>
      <w:proofErr w:type="spellStart"/>
      <w:r w:rsidRPr="004930C2">
        <w:rPr>
          <w:i/>
          <w:color w:val="000000" w:themeColor="text1"/>
          <w:sz w:val="20"/>
        </w:rPr>
        <w:t>Avena</w:t>
      </w:r>
      <w:proofErr w:type="spellEnd"/>
      <w:r w:rsidRPr="004930C2">
        <w:rPr>
          <w:i/>
          <w:color w:val="000000" w:themeColor="text1"/>
          <w:sz w:val="20"/>
        </w:rPr>
        <w:t xml:space="preserve"> sativa</w:t>
      </w:r>
      <w:r w:rsidRPr="004930C2">
        <w:rPr>
          <w:color w:val="000000" w:themeColor="text1"/>
          <w:sz w:val="20"/>
        </w:rPr>
        <w:t xml:space="preserve"> L.) w</w:t>
      </w:r>
      <w:r w:rsidR="003C78F6" w:rsidRPr="004930C2">
        <w:rPr>
          <w:color w:val="000000" w:themeColor="text1"/>
          <w:sz w:val="20"/>
        </w:rPr>
        <w:t>ere</w:t>
      </w:r>
      <w:r w:rsidRPr="004930C2">
        <w:rPr>
          <w:color w:val="000000" w:themeColor="text1"/>
          <w:sz w:val="20"/>
        </w:rPr>
        <w:t xml:space="preserve"> grown </w:t>
      </w:r>
      <w:r w:rsidR="003C78F6" w:rsidRPr="004930C2">
        <w:rPr>
          <w:color w:val="000000" w:themeColor="text1"/>
          <w:sz w:val="20"/>
        </w:rPr>
        <w:t xml:space="preserve">in </w:t>
      </w:r>
      <w:r w:rsidRPr="004930C2">
        <w:rPr>
          <w:color w:val="000000" w:themeColor="text1"/>
          <w:sz w:val="20"/>
        </w:rPr>
        <w:t>2 L</w:t>
      </w:r>
      <w:r w:rsidR="003C78F6" w:rsidRPr="004930C2">
        <w:rPr>
          <w:color w:val="000000" w:themeColor="text1"/>
          <w:sz w:val="20"/>
        </w:rPr>
        <w:t xml:space="preserve"> pots</w:t>
      </w:r>
      <w:r w:rsidRPr="004930C2">
        <w:rPr>
          <w:color w:val="000000" w:themeColor="text1"/>
          <w:sz w:val="20"/>
        </w:rPr>
        <w:t xml:space="preserve"> in a greenhouse with </w:t>
      </w:r>
      <w:r w:rsidR="003C78F6" w:rsidRPr="004930C2">
        <w:rPr>
          <w:color w:val="000000" w:themeColor="text1"/>
          <w:sz w:val="20"/>
        </w:rPr>
        <w:t xml:space="preserve">a </w:t>
      </w:r>
      <w:r w:rsidR="00F72C22" w:rsidRPr="004930C2">
        <w:rPr>
          <w:color w:val="000000" w:themeColor="text1"/>
          <w:sz w:val="20"/>
        </w:rPr>
        <w:t xml:space="preserve">mean </w:t>
      </w:r>
      <w:r w:rsidRPr="004930C2">
        <w:rPr>
          <w:color w:val="000000" w:themeColor="text1"/>
          <w:sz w:val="20"/>
        </w:rPr>
        <w:t xml:space="preserve">temperature of 28°C. The experimental design is summarized in Table 1. This study prepared </w:t>
      </w:r>
      <w:r w:rsidR="003C78F6" w:rsidRPr="004930C2">
        <w:rPr>
          <w:color w:val="000000" w:themeColor="text1"/>
          <w:sz w:val="20"/>
        </w:rPr>
        <w:t>seven</w:t>
      </w:r>
      <w:r w:rsidRPr="004930C2">
        <w:rPr>
          <w:color w:val="000000" w:themeColor="text1"/>
          <w:sz w:val="20"/>
        </w:rPr>
        <w:t xml:space="preserve"> </w:t>
      </w:r>
      <w:r w:rsidR="00F72C22" w:rsidRPr="004930C2">
        <w:rPr>
          <w:color w:val="000000" w:themeColor="text1"/>
          <w:sz w:val="20"/>
        </w:rPr>
        <w:t xml:space="preserve">treatments </w:t>
      </w:r>
      <w:r w:rsidRPr="004930C2">
        <w:rPr>
          <w:color w:val="000000" w:themeColor="text1"/>
          <w:sz w:val="20"/>
        </w:rPr>
        <w:t xml:space="preserve">with </w:t>
      </w:r>
      <w:r w:rsidR="003C78F6" w:rsidRPr="004930C2">
        <w:rPr>
          <w:color w:val="000000" w:themeColor="text1"/>
          <w:sz w:val="20"/>
        </w:rPr>
        <w:t>five</w:t>
      </w:r>
      <w:r w:rsidRPr="004930C2">
        <w:rPr>
          <w:color w:val="000000" w:themeColor="text1"/>
          <w:sz w:val="20"/>
        </w:rPr>
        <w:t xml:space="preserve"> replicat</w:t>
      </w:r>
      <w:r w:rsidR="003C78F6" w:rsidRPr="004930C2">
        <w:rPr>
          <w:color w:val="000000" w:themeColor="text1"/>
          <w:sz w:val="20"/>
        </w:rPr>
        <w:t>es each:</w:t>
      </w:r>
      <w:r w:rsidRPr="004930C2">
        <w:rPr>
          <w:color w:val="000000" w:themeColor="text1"/>
          <w:sz w:val="20"/>
        </w:rPr>
        <w:t xml:space="preserve"> compost alone as </w:t>
      </w:r>
      <w:r w:rsidR="003C78F6" w:rsidRPr="004930C2">
        <w:rPr>
          <w:color w:val="000000" w:themeColor="text1"/>
          <w:sz w:val="20"/>
        </w:rPr>
        <w:t xml:space="preserve">a </w:t>
      </w:r>
      <w:r w:rsidRPr="004930C2">
        <w:rPr>
          <w:color w:val="000000" w:themeColor="text1"/>
          <w:sz w:val="20"/>
        </w:rPr>
        <w:t>control (I), WD</w:t>
      </w:r>
      <w:r w:rsidRPr="004930C2">
        <w:rPr>
          <w:color w:val="000000" w:themeColor="text1"/>
          <w:sz w:val="20"/>
          <w:vertAlign w:val="subscript"/>
        </w:rPr>
        <w:t>BC</w:t>
      </w:r>
      <w:r w:rsidR="00E841DC" w:rsidRPr="004930C2">
        <w:rPr>
          <w:color w:val="000000" w:themeColor="text1"/>
          <w:sz w:val="20"/>
        </w:rPr>
        <w:noBreakHyphen/>
        <w:t>compost application</w:t>
      </w:r>
      <w:r w:rsidRPr="004930C2">
        <w:rPr>
          <w:color w:val="000000" w:themeColor="text1"/>
          <w:sz w:val="20"/>
        </w:rPr>
        <w:t xml:space="preserve"> (II</w:t>
      </w:r>
      <w:r w:rsidR="003346F3" w:rsidRPr="004930C2">
        <w:rPr>
          <w:color w:val="000000" w:themeColor="text1"/>
          <w:sz w:val="20"/>
        </w:rPr>
        <w:t>–</w:t>
      </w:r>
      <w:r w:rsidRPr="004930C2">
        <w:rPr>
          <w:color w:val="000000" w:themeColor="text1"/>
          <w:sz w:val="20"/>
        </w:rPr>
        <w:t>IV), and DM</w:t>
      </w:r>
      <w:r w:rsidRPr="004930C2">
        <w:rPr>
          <w:color w:val="000000" w:themeColor="text1"/>
          <w:sz w:val="20"/>
          <w:vertAlign w:val="subscript"/>
        </w:rPr>
        <w:t>BC</w:t>
      </w:r>
      <w:r w:rsidR="00E841DC" w:rsidRPr="004930C2">
        <w:rPr>
          <w:color w:val="000000" w:themeColor="text1"/>
          <w:sz w:val="20"/>
        </w:rPr>
        <w:t xml:space="preserve">-compost application </w:t>
      </w:r>
      <w:r w:rsidR="004572CC" w:rsidRPr="004930C2">
        <w:rPr>
          <w:color w:val="000000" w:themeColor="text1"/>
          <w:sz w:val="20"/>
        </w:rPr>
        <w:t>(</w:t>
      </w:r>
      <w:r w:rsidRPr="004930C2">
        <w:rPr>
          <w:color w:val="000000" w:themeColor="text1"/>
          <w:sz w:val="20"/>
        </w:rPr>
        <w:t>V</w:t>
      </w:r>
      <w:r w:rsidR="001C2A43" w:rsidRPr="004930C2">
        <w:rPr>
          <w:color w:val="000000" w:themeColor="text1"/>
          <w:sz w:val="20"/>
        </w:rPr>
        <w:t>–</w:t>
      </w:r>
      <w:r w:rsidRPr="004930C2">
        <w:rPr>
          <w:color w:val="000000" w:themeColor="text1"/>
          <w:sz w:val="20"/>
        </w:rPr>
        <w:t xml:space="preserve">VII). </w:t>
      </w:r>
      <w:r w:rsidR="00380358" w:rsidRPr="004930C2">
        <w:rPr>
          <w:color w:val="000000" w:themeColor="text1"/>
          <w:sz w:val="20"/>
        </w:rPr>
        <w:t>Comparison between control (I) and each biochar-compost application (II</w:t>
      </w:r>
      <w:r w:rsidR="001C2A43" w:rsidRPr="004930C2">
        <w:rPr>
          <w:color w:val="000000" w:themeColor="text1"/>
          <w:sz w:val="20"/>
        </w:rPr>
        <w:t>–</w:t>
      </w:r>
      <w:r w:rsidR="00380358" w:rsidRPr="004930C2">
        <w:rPr>
          <w:color w:val="000000" w:themeColor="text1"/>
          <w:sz w:val="20"/>
        </w:rPr>
        <w:t xml:space="preserve">VII) indicates how </w:t>
      </w:r>
      <w:r w:rsidR="00E841DC" w:rsidRPr="004930C2">
        <w:rPr>
          <w:color w:val="000000" w:themeColor="text1"/>
          <w:sz w:val="20"/>
        </w:rPr>
        <w:t>biochar-compost</w:t>
      </w:r>
      <w:r w:rsidR="00380358" w:rsidRPr="004930C2">
        <w:rPr>
          <w:color w:val="000000" w:themeColor="text1"/>
          <w:sz w:val="20"/>
        </w:rPr>
        <w:t xml:space="preserve"> affects the plant growth. In addition, comparison among biochar-compost application (II</w:t>
      </w:r>
      <w:r w:rsidR="006D0C7E" w:rsidRPr="004930C2">
        <w:rPr>
          <w:color w:val="000000" w:themeColor="text1"/>
          <w:sz w:val="20"/>
        </w:rPr>
        <w:t>–</w:t>
      </w:r>
      <w:r w:rsidR="00380358" w:rsidRPr="004930C2">
        <w:rPr>
          <w:color w:val="000000" w:themeColor="text1"/>
          <w:sz w:val="20"/>
        </w:rPr>
        <w:t>VII), which consist</w:t>
      </w:r>
      <w:r w:rsidR="007B776F" w:rsidRPr="004930C2">
        <w:rPr>
          <w:color w:val="000000" w:themeColor="text1"/>
          <w:sz w:val="20"/>
        </w:rPr>
        <w:t>s</w:t>
      </w:r>
      <w:r w:rsidR="00380358" w:rsidRPr="004930C2">
        <w:rPr>
          <w:color w:val="000000" w:themeColor="text1"/>
          <w:sz w:val="20"/>
        </w:rPr>
        <w:t xml:space="preserve"> of a full factorial experimental design with the feedstock type and carbonization temperature as two factors, represents the effects of </w:t>
      </w:r>
      <w:r w:rsidR="004E5DF9" w:rsidRPr="004930C2">
        <w:rPr>
          <w:color w:val="000000" w:themeColor="text1"/>
          <w:sz w:val="20"/>
        </w:rPr>
        <w:t>biochar type</w:t>
      </w:r>
      <w:r w:rsidR="00380358" w:rsidRPr="004930C2">
        <w:rPr>
          <w:color w:val="000000" w:themeColor="text1"/>
          <w:sz w:val="20"/>
        </w:rPr>
        <w:t xml:space="preserve"> on plant growth</w:t>
      </w:r>
      <w:r w:rsidRPr="004930C2">
        <w:rPr>
          <w:color w:val="000000" w:themeColor="text1"/>
          <w:sz w:val="20"/>
        </w:rPr>
        <w:t xml:space="preserve">. To </w:t>
      </w:r>
      <w:r w:rsidR="002B12B2" w:rsidRPr="004930C2">
        <w:rPr>
          <w:color w:val="000000" w:themeColor="text1"/>
          <w:sz w:val="20"/>
        </w:rPr>
        <w:t>assess</w:t>
      </w:r>
      <w:r w:rsidRPr="004930C2">
        <w:rPr>
          <w:color w:val="000000" w:themeColor="text1"/>
          <w:sz w:val="20"/>
        </w:rPr>
        <w:t xml:space="preserve"> the effects on plant nitrogen uptake, the application amount of compost and biochar for each </w:t>
      </w:r>
      <w:r w:rsidR="00F72C22" w:rsidRPr="004930C2">
        <w:rPr>
          <w:color w:val="000000" w:themeColor="text1"/>
          <w:sz w:val="20"/>
        </w:rPr>
        <w:t>treatment</w:t>
      </w:r>
      <w:r w:rsidRPr="004930C2">
        <w:rPr>
          <w:color w:val="000000" w:themeColor="text1"/>
          <w:sz w:val="20"/>
        </w:rPr>
        <w:t xml:space="preserve"> was adjusted to </w:t>
      </w:r>
      <w:r w:rsidR="007E5276" w:rsidRPr="004930C2">
        <w:rPr>
          <w:color w:val="000000" w:themeColor="text1"/>
          <w:sz w:val="20"/>
        </w:rPr>
        <w:t>approximately</w:t>
      </w:r>
      <w:r w:rsidRPr="004930C2">
        <w:rPr>
          <w:color w:val="000000" w:themeColor="text1"/>
          <w:sz w:val="20"/>
        </w:rPr>
        <w:t xml:space="preserve"> </w:t>
      </w:r>
      <w:r w:rsidR="0031346A" w:rsidRPr="004930C2">
        <w:rPr>
          <w:color w:val="000000" w:themeColor="text1"/>
          <w:sz w:val="20"/>
        </w:rPr>
        <w:t>3</w:t>
      </w:r>
      <w:r w:rsidRPr="004930C2">
        <w:rPr>
          <w:color w:val="000000" w:themeColor="text1"/>
          <w:sz w:val="20"/>
        </w:rPr>
        <w:t>5</w:t>
      </w:r>
      <w:r w:rsidR="00F72C22" w:rsidRPr="004930C2">
        <w:rPr>
          <w:color w:val="000000" w:themeColor="text1"/>
          <w:sz w:val="20"/>
        </w:rPr>
        <w:t>0</w:t>
      </w:r>
      <w:r w:rsidRPr="004930C2">
        <w:rPr>
          <w:color w:val="000000" w:themeColor="text1"/>
          <w:sz w:val="20"/>
        </w:rPr>
        <w:t xml:space="preserve"> </w:t>
      </w:r>
      <w:r w:rsidR="0031346A" w:rsidRPr="004930C2">
        <w:rPr>
          <w:color w:val="000000" w:themeColor="text1"/>
          <w:sz w:val="20"/>
        </w:rPr>
        <w:t>m</w:t>
      </w:r>
      <w:r w:rsidR="00F72C22" w:rsidRPr="004930C2">
        <w:rPr>
          <w:color w:val="000000" w:themeColor="text1"/>
          <w:sz w:val="20"/>
        </w:rPr>
        <w:t>g</w:t>
      </w:r>
      <w:r w:rsidRPr="004930C2">
        <w:rPr>
          <w:color w:val="000000" w:themeColor="text1"/>
          <w:sz w:val="20"/>
        </w:rPr>
        <w:t xml:space="preserve"> N per </w:t>
      </w:r>
      <w:r w:rsidR="0031346A" w:rsidRPr="004930C2">
        <w:rPr>
          <w:color w:val="000000" w:themeColor="text1"/>
          <w:sz w:val="20"/>
        </w:rPr>
        <w:t>pot</w:t>
      </w:r>
      <w:r w:rsidRPr="004930C2">
        <w:rPr>
          <w:color w:val="000000" w:themeColor="text1"/>
          <w:sz w:val="20"/>
        </w:rPr>
        <w:t xml:space="preserve">, </w:t>
      </w:r>
      <w:r w:rsidR="00F72C22" w:rsidRPr="004930C2">
        <w:rPr>
          <w:color w:val="000000" w:themeColor="text1"/>
          <w:sz w:val="20"/>
        </w:rPr>
        <w:t xml:space="preserve">corresponding to </w:t>
      </w:r>
      <w:r w:rsidR="00DE4B26" w:rsidRPr="004930C2">
        <w:rPr>
          <w:color w:val="000000" w:themeColor="text1"/>
          <w:sz w:val="20"/>
        </w:rPr>
        <w:t xml:space="preserve">about </w:t>
      </w:r>
      <w:r w:rsidR="0031346A" w:rsidRPr="004930C2">
        <w:rPr>
          <w:color w:val="000000" w:themeColor="text1"/>
          <w:sz w:val="20"/>
        </w:rPr>
        <w:t>2</w:t>
      </w:r>
      <w:r w:rsidR="00DE4B26" w:rsidRPr="004930C2">
        <w:rPr>
          <w:color w:val="000000" w:themeColor="text1"/>
          <w:sz w:val="20"/>
        </w:rPr>
        <w:t>50</w:t>
      </w:r>
      <w:r w:rsidR="00F72C22" w:rsidRPr="004930C2">
        <w:rPr>
          <w:color w:val="000000" w:themeColor="text1"/>
          <w:sz w:val="20"/>
        </w:rPr>
        <w:t xml:space="preserve"> </w:t>
      </w:r>
      <w:r w:rsidR="0031346A" w:rsidRPr="004930C2">
        <w:rPr>
          <w:color w:val="000000" w:themeColor="text1"/>
          <w:sz w:val="20"/>
        </w:rPr>
        <w:t>k</w:t>
      </w:r>
      <w:r w:rsidR="00F72C22" w:rsidRPr="004930C2">
        <w:rPr>
          <w:color w:val="000000" w:themeColor="text1"/>
          <w:sz w:val="20"/>
        </w:rPr>
        <w:t xml:space="preserve">g N per </w:t>
      </w:r>
      <w:r w:rsidR="0031346A" w:rsidRPr="004930C2">
        <w:rPr>
          <w:color w:val="000000" w:themeColor="text1"/>
          <w:sz w:val="20"/>
        </w:rPr>
        <w:t>ha</w:t>
      </w:r>
      <w:r w:rsidR="009D140A" w:rsidRPr="004930C2">
        <w:rPr>
          <w:color w:val="000000" w:themeColor="text1"/>
          <w:sz w:val="20"/>
        </w:rPr>
        <w:t xml:space="preserve"> (Table 1)</w:t>
      </w:r>
      <w:r w:rsidR="00F72C22" w:rsidRPr="004930C2">
        <w:rPr>
          <w:color w:val="000000" w:themeColor="text1"/>
          <w:sz w:val="20"/>
        </w:rPr>
        <w:t>. All treatments</w:t>
      </w:r>
      <w:r w:rsidRPr="004930C2">
        <w:rPr>
          <w:color w:val="000000" w:themeColor="text1"/>
          <w:sz w:val="20"/>
        </w:rPr>
        <w:t xml:space="preserve"> received</w:t>
      </w:r>
      <w:r w:rsidR="009D38FB" w:rsidRPr="004930C2">
        <w:rPr>
          <w:color w:val="000000" w:themeColor="text1"/>
          <w:sz w:val="20"/>
        </w:rPr>
        <w:t xml:space="preserve"> </w:t>
      </w:r>
      <w:r w:rsidR="007E5276" w:rsidRPr="004930C2">
        <w:rPr>
          <w:color w:val="000000" w:themeColor="text1"/>
          <w:sz w:val="20"/>
        </w:rPr>
        <w:t>enough</w:t>
      </w:r>
      <w:r w:rsidRPr="004930C2">
        <w:rPr>
          <w:color w:val="000000" w:themeColor="text1"/>
          <w:sz w:val="20"/>
        </w:rPr>
        <w:t xml:space="preserve"> chemical fertilizer</w:t>
      </w:r>
      <w:r w:rsidR="009D38FB" w:rsidRPr="004930C2">
        <w:rPr>
          <w:color w:val="000000" w:themeColor="text1"/>
          <w:sz w:val="20"/>
        </w:rPr>
        <w:t>:</w:t>
      </w:r>
      <w:r w:rsidRPr="004930C2">
        <w:rPr>
          <w:color w:val="000000" w:themeColor="text1"/>
          <w:sz w:val="20"/>
        </w:rPr>
        <w:t xml:space="preserve"> </w:t>
      </w:r>
      <w:r w:rsidR="009D38FB" w:rsidRPr="004930C2">
        <w:rPr>
          <w:color w:val="000000" w:themeColor="text1"/>
          <w:sz w:val="20"/>
        </w:rPr>
        <w:t xml:space="preserve">72 mg </w:t>
      </w:r>
      <w:r w:rsidR="003C5976" w:rsidRPr="004930C2">
        <w:rPr>
          <w:color w:val="000000" w:themeColor="text1"/>
          <w:sz w:val="20"/>
        </w:rPr>
        <w:t>P</w:t>
      </w:r>
      <w:r w:rsidRPr="004930C2">
        <w:rPr>
          <w:color w:val="000000" w:themeColor="text1"/>
          <w:sz w:val="20"/>
        </w:rPr>
        <w:t xml:space="preserve"> and </w:t>
      </w:r>
      <w:r w:rsidR="003C5976" w:rsidRPr="004930C2">
        <w:rPr>
          <w:color w:val="000000" w:themeColor="text1"/>
          <w:sz w:val="20"/>
        </w:rPr>
        <w:t>K</w:t>
      </w:r>
      <w:r w:rsidRPr="004930C2">
        <w:rPr>
          <w:color w:val="000000" w:themeColor="text1"/>
          <w:sz w:val="20"/>
        </w:rPr>
        <w:t xml:space="preserve"> </w:t>
      </w:r>
      <w:r w:rsidR="0031346A" w:rsidRPr="004930C2">
        <w:rPr>
          <w:color w:val="000000" w:themeColor="text1"/>
          <w:sz w:val="20"/>
        </w:rPr>
        <w:t>per pot</w:t>
      </w:r>
      <w:r w:rsidR="003C5976" w:rsidRPr="004930C2">
        <w:rPr>
          <w:color w:val="000000" w:themeColor="text1"/>
          <w:sz w:val="20"/>
        </w:rPr>
        <w:t xml:space="preserve">, corresponding to </w:t>
      </w:r>
      <w:r w:rsidR="0031346A" w:rsidRPr="004930C2">
        <w:rPr>
          <w:color w:val="000000" w:themeColor="text1"/>
          <w:sz w:val="20"/>
        </w:rPr>
        <w:t>about 50</w:t>
      </w:r>
      <w:r w:rsidR="003C5976" w:rsidRPr="004930C2">
        <w:rPr>
          <w:color w:val="000000" w:themeColor="text1"/>
          <w:sz w:val="20"/>
        </w:rPr>
        <w:t xml:space="preserve"> </w:t>
      </w:r>
      <w:r w:rsidR="0031346A" w:rsidRPr="004930C2">
        <w:rPr>
          <w:color w:val="000000" w:themeColor="text1"/>
          <w:sz w:val="20"/>
        </w:rPr>
        <w:t>k</w:t>
      </w:r>
      <w:r w:rsidR="003C5976" w:rsidRPr="004930C2">
        <w:rPr>
          <w:color w:val="000000" w:themeColor="text1"/>
          <w:sz w:val="20"/>
        </w:rPr>
        <w:t xml:space="preserve">g P </w:t>
      </w:r>
      <w:r w:rsidR="0031346A" w:rsidRPr="004930C2">
        <w:rPr>
          <w:color w:val="000000" w:themeColor="text1"/>
          <w:sz w:val="20"/>
        </w:rPr>
        <w:t xml:space="preserve">and K </w:t>
      </w:r>
      <w:r w:rsidR="003C5976" w:rsidRPr="004930C2">
        <w:rPr>
          <w:color w:val="000000" w:themeColor="text1"/>
          <w:sz w:val="20"/>
        </w:rPr>
        <w:t xml:space="preserve">per </w:t>
      </w:r>
      <w:r w:rsidR="0031346A" w:rsidRPr="004930C2">
        <w:rPr>
          <w:color w:val="000000" w:themeColor="text1"/>
          <w:sz w:val="20"/>
        </w:rPr>
        <w:t>ha</w:t>
      </w:r>
      <w:r w:rsidRPr="004930C2">
        <w:rPr>
          <w:color w:val="000000" w:themeColor="text1"/>
          <w:sz w:val="20"/>
        </w:rPr>
        <w:t>.</w:t>
      </w:r>
      <w:r w:rsidR="00D15EF4" w:rsidRPr="004930C2">
        <w:rPr>
          <w:color w:val="000000" w:themeColor="text1"/>
          <w:sz w:val="20"/>
        </w:rPr>
        <w:t xml:space="preserve"> </w:t>
      </w:r>
      <w:r w:rsidR="009D140A" w:rsidRPr="004930C2">
        <w:rPr>
          <w:color w:val="000000" w:themeColor="text1"/>
          <w:sz w:val="20"/>
        </w:rPr>
        <w:t xml:space="preserve">One liter of red soil and </w:t>
      </w:r>
      <w:r w:rsidR="007E5276" w:rsidRPr="004930C2">
        <w:rPr>
          <w:color w:val="000000" w:themeColor="text1"/>
          <w:sz w:val="20"/>
        </w:rPr>
        <w:t>the calculated</w:t>
      </w:r>
      <w:r w:rsidR="009D38FB" w:rsidRPr="004930C2">
        <w:rPr>
          <w:color w:val="000000" w:themeColor="text1"/>
          <w:sz w:val="20"/>
        </w:rPr>
        <w:t xml:space="preserve"> amount of </w:t>
      </w:r>
      <w:r w:rsidR="009D140A" w:rsidRPr="004930C2">
        <w:rPr>
          <w:color w:val="000000" w:themeColor="text1"/>
          <w:sz w:val="20"/>
        </w:rPr>
        <w:t xml:space="preserve">compost and </w:t>
      </w:r>
      <w:r w:rsidR="007E5276" w:rsidRPr="004930C2">
        <w:rPr>
          <w:color w:val="000000" w:themeColor="text1"/>
          <w:sz w:val="20"/>
        </w:rPr>
        <w:t>biochar</w:t>
      </w:r>
      <w:r w:rsidR="009D140A" w:rsidRPr="004930C2">
        <w:rPr>
          <w:color w:val="000000" w:themeColor="text1"/>
          <w:sz w:val="20"/>
        </w:rPr>
        <w:t xml:space="preserve"> were mixed </w:t>
      </w:r>
      <w:r w:rsidR="009D38FB" w:rsidRPr="004930C2">
        <w:rPr>
          <w:color w:val="000000" w:themeColor="text1"/>
          <w:sz w:val="20"/>
        </w:rPr>
        <w:t>in the</w:t>
      </w:r>
      <w:r w:rsidR="009D140A" w:rsidRPr="004930C2">
        <w:rPr>
          <w:color w:val="000000" w:themeColor="text1"/>
          <w:sz w:val="20"/>
        </w:rPr>
        <w:t xml:space="preserve"> pot</w:t>
      </w:r>
      <w:r w:rsidR="009D38FB" w:rsidRPr="004930C2">
        <w:rPr>
          <w:color w:val="000000" w:themeColor="text1"/>
          <w:sz w:val="20"/>
        </w:rPr>
        <w:t>s</w:t>
      </w:r>
      <w:r w:rsidR="007E5276" w:rsidRPr="004930C2">
        <w:rPr>
          <w:color w:val="000000" w:themeColor="text1"/>
          <w:sz w:val="20"/>
        </w:rPr>
        <w:t xml:space="preserve"> (Table 1)</w:t>
      </w:r>
      <w:r w:rsidR="009D140A" w:rsidRPr="004930C2">
        <w:rPr>
          <w:color w:val="000000" w:themeColor="text1"/>
          <w:sz w:val="20"/>
        </w:rPr>
        <w:t xml:space="preserve">. </w:t>
      </w:r>
      <w:r w:rsidR="007E5276" w:rsidRPr="004930C2">
        <w:rPr>
          <w:color w:val="000000" w:themeColor="text1"/>
          <w:sz w:val="20"/>
        </w:rPr>
        <w:t>The t</w:t>
      </w:r>
      <w:r w:rsidRPr="004930C2">
        <w:rPr>
          <w:color w:val="000000" w:themeColor="text1"/>
          <w:sz w:val="20"/>
        </w:rPr>
        <w:t xml:space="preserve">otal volume of each pot was adjusted to 2 L volume by </w:t>
      </w:r>
      <w:r w:rsidR="009D38FB" w:rsidRPr="004930C2">
        <w:rPr>
          <w:color w:val="000000" w:themeColor="text1"/>
          <w:sz w:val="20"/>
        </w:rPr>
        <w:t>mixing</w:t>
      </w:r>
      <w:r w:rsidRPr="004930C2">
        <w:rPr>
          <w:color w:val="000000" w:themeColor="text1"/>
          <w:sz w:val="20"/>
        </w:rPr>
        <w:t xml:space="preserve"> perlite. Three seeds were planted</w:t>
      </w:r>
      <w:r w:rsidR="007E5276" w:rsidRPr="004930C2">
        <w:rPr>
          <w:color w:val="000000" w:themeColor="text1"/>
          <w:sz w:val="20"/>
        </w:rPr>
        <w:t xml:space="preserve"> in each pot </w:t>
      </w:r>
      <w:r w:rsidRPr="004930C2">
        <w:rPr>
          <w:color w:val="000000" w:themeColor="text1"/>
          <w:sz w:val="20"/>
        </w:rPr>
        <w:t xml:space="preserve">and </w:t>
      </w:r>
      <w:r w:rsidR="007E5276" w:rsidRPr="004930C2">
        <w:rPr>
          <w:color w:val="000000" w:themeColor="text1"/>
          <w:sz w:val="20"/>
        </w:rPr>
        <w:t>the two</w:t>
      </w:r>
      <w:r w:rsidRPr="004930C2">
        <w:rPr>
          <w:color w:val="000000" w:themeColor="text1"/>
          <w:sz w:val="20"/>
        </w:rPr>
        <w:t xml:space="preserve"> weakest seedlings were </w:t>
      </w:r>
      <w:r w:rsidR="002C7726" w:rsidRPr="004930C2">
        <w:rPr>
          <w:color w:val="000000" w:themeColor="text1"/>
          <w:sz w:val="20"/>
        </w:rPr>
        <w:t>thinn</w:t>
      </w:r>
      <w:r w:rsidRPr="004930C2">
        <w:rPr>
          <w:color w:val="000000" w:themeColor="text1"/>
          <w:sz w:val="20"/>
        </w:rPr>
        <w:t xml:space="preserve">ed </w:t>
      </w:r>
      <w:r w:rsidR="00DD2087" w:rsidRPr="004930C2">
        <w:rPr>
          <w:color w:val="000000" w:themeColor="text1"/>
          <w:sz w:val="20"/>
        </w:rPr>
        <w:t xml:space="preserve">out on the </w:t>
      </w:r>
      <w:r w:rsidRPr="004930C2">
        <w:rPr>
          <w:color w:val="000000" w:themeColor="text1"/>
          <w:sz w:val="20"/>
        </w:rPr>
        <w:t>7</w:t>
      </w:r>
      <w:r w:rsidR="00DD2087" w:rsidRPr="004930C2">
        <w:rPr>
          <w:color w:val="000000" w:themeColor="text1"/>
          <w:sz w:val="20"/>
          <w:vertAlign w:val="superscript"/>
        </w:rPr>
        <w:t>th</w:t>
      </w:r>
      <w:r w:rsidRPr="004930C2">
        <w:rPr>
          <w:color w:val="000000" w:themeColor="text1"/>
          <w:sz w:val="20"/>
        </w:rPr>
        <w:t xml:space="preserve"> day after germination.</w:t>
      </w:r>
      <w:r w:rsidR="00790F91" w:rsidRPr="004930C2">
        <w:rPr>
          <w:color w:val="000000" w:themeColor="text1"/>
          <w:sz w:val="20"/>
        </w:rPr>
        <w:t xml:space="preserve"> </w:t>
      </w:r>
      <w:r w:rsidR="001161B0" w:rsidRPr="004930C2">
        <w:rPr>
          <w:color w:val="000000" w:themeColor="text1"/>
          <w:sz w:val="20"/>
        </w:rPr>
        <w:t>To maintain sufficient moisture, a</w:t>
      </w:r>
      <w:r w:rsidR="00790F91" w:rsidRPr="004930C2">
        <w:rPr>
          <w:color w:val="000000" w:themeColor="text1"/>
          <w:sz w:val="20"/>
        </w:rPr>
        <w:t xml:space="preserve">ll pots were watered </w:t>
      </w:r>
      <w:r w:rsidR="001161B0" w:rsidRPr="004930C2">
        <w:rPr>
          <w:color w:val="000000" w:themeColor="text1"/>
          <w:sz w:val="20"/>
        </w:rPr>
        <w:t>with</w:t>
      </w:r>
      <w:r w:rsidR="00790F91" w:rsidRPr="004930C2">
        <w:rPr>
          <w:color w:val="000000" w:themeColor="text1"/>
          <w:sz w:val="20"/>
        </w:rPr>
        <w:t xml:space="preserve"> deionized water </w:t>
      </w:r>
      <w:r w:rsidR="001161B0" w:rsidRPr="004930C2">
        <w:rPr>
          <w:color w:val="000000" w:themeColor="text1"/>
          <w:sz w:val="20"/>
        </w:rPr>
        <w:t>every other day</w:t>
      </w:r>
      <w:r w:rsidR="00790F91" w:rsidRPr="004930C2">
        <w:rPr>
          <w:color w:val="000000" w:themeColor="text1"/>
          <w:sz w:val="20"/>
        </w:rPr>
        <w:t>.</w:t>
      </w:r>
    </w:p>
    <w:p w14:paraId="35BA614C" w14:textId="77777777" w:rsidR="00E40D4F" w:rsidRPr="004930C2" w:rsidRDefault="00E40D4F" w:rsidP="00330D39">
      <w:pPr>
        <w:spacing w:line="480" w:lineRule="auto"/>
        <w:rPr>
          <w:color w:val="000000" w:themeColor="text1"/>
          <w:sz w:val="20"/>
        </w:rPr>
      </w:pPr>
    </w:p>
    <w:p w14:paraId="4A337BCC" w14:textId="4DEFE9C0" w:rsidR="00E40D4F" w:rsidRPr="004930C2" w:rsidRDefault="00E40D4F" w:rsidP="00330D39">
      <w:pPr>
        <w:spacing w:line="480" w:lineRule="auto"/>
        <w:rPr>
          <w:b/>
          <w:color w:val="000000" w:themeColor="text1"/>
          <w:sz w:val="20"/>
        </w:rPr>
      </w:pPr>
      <w:r w:rsidRPr="004930C2">
        <w:rPr>
          <w:b/>
          <w:color w:val="000000" w:themeColor="text1"/>
          <w:sz w:val="20"/>
        </w:rPr>
        <w:lastRenderedPageBreak/>
        <w:t>2.</w:t>
      </w:r>
      <w:r w:rsidR="00A508B0" w:rsidRPr="004930C2">
        <w:rPr>
          <w:b/>
          <w:color w:val="000000" w:themeColor="text1"/>
          <w:sz w:val="20"/>
        </w:rPr>
        <w:t>4</w:t>
      </w:r>
      <w:r w:rsidRPr="004930C2">
        <w:rPr>
          <w:b/>
          <w:color w:val="000000" w:themeColor="text1"/>
          <w:sz w:val="20"/>
        </w:rPr>
        <w:t xml:space="preserve"> </w:t>
      </w:r>
      <w:r w:rsidR="008C3AC1" w:rsidRPr="004930C2">
        <w:rPr>
          <w:b/>
          <w:color w:val="000000" w:themeColor="text1"/>
          <w:sz w:val="20"/>
        </w:rPr>
        <w:t>Biochar and plant analysis</w:t>
      </w:r>
    </w:p>
    <w:p w14:paraId="34211D1F" w14:textId="4C8A3A2F" w:rsidR="00E40D4F" w:rsidRPr="004930C2" w:rsidRDefault="00E40D4F" w:rsidP="00330D39">
      <w:pPr>
        <w:spacing w:line="480" w:lineRule="auto"/>
        <w:rPr>
          <w:b/>
          <w:color w:val="000000" w:themeColor="text1"/>
          <w:sz w:val="20"/>
        </w:rPr>
      </w:pPr>
      <w:r w:rsidRPr="004930C2">
        <w:rPr>
          <w:b/>
          <w:color w:val="000000" w:themeColor="text1"/>
          <w:sz w:val="20"/>
        </w:rPr>
        <w:t>2.</w:t>
      </w:r>
      <w:r w:rsidR="00A508B0" w:rsidRPr="004930C2">
        <w:rPr>
          <w:b/>
          <w:color w:val="000000" w:themeColor="text1"/>
          <w:sz w:val="20"/>
        </w:rPr>
        <w:t>4</w:t>
      </w:r>
      <w:r w:rsidRPr="004930C2">
        <w:rPr>
          <w:b/>
          <w:color w:val="000000" w:themeColor="text1"/>
          <w:sz w:val="20"/>
        </w:rPr>
        <w:t xml:space="preserve">.1 </w:t>
      </w:r>
      <w:r w:rsidR="008C3AC1" w:rsidRPr="004930C2">
        <w:rPr>
          <w:b/>
          <w:color w:val="000000" w:themeColor="text1"/>
          <w:sz w:val="20"/>
        </w:rPr>
        <w:t>B</w:t>
      </w:r>
      <w:r w:rsidRPr="004930C2">
        <w:rPr>
          <w:b/>
          <w:color w:val="000000" w:themeColor="text1"/>
          <w:sz w:val="20"/>
        </w:rPr>
        <w:t>iochar</w:t>
      </w:r>
      <w:r w:rsidR="008C3AC1" w:rsidRPr="004930C2">
        <w:rPr>
          <w:b/>
          <w:color w:val="000000" w:themeColor="text1"/>
          <w:sz w:val="20"/>
        </w:rPr>
        <w:t xml:space="preserve"> analysis</w:t>
      </w:r>
    </w:p>
    <w:p w14:paraId="0CFF1B80" w14:textId="6DE7030D" w:rsidR="00E40D4F" w:rsidRPr="004930C2" w:rsidRDefault="00E40D4F" w:rsidP="00330D39">
      <w:pPr>
        <w:spacing w:line="480" w:lineRule="auto"/>
        <w:rPr>
          <w:b/>
          <w:color w:val="000000" w:themeColor="text1"/>
          <w:sz w:val="20"/>
        </w:rPr>
      </w:pPr>
      <w:r w:rsidRPr="004930C2">
        <w:rPr>
          <w:color w:val="000000" w:themeColor="text1"/>
          <w:sz w:val="20"/>
        </w:rPr>
        <w:t xml:space="preserve">The pH values were measured using </w:t>
      </w:r>
      <w:r w:rsidR="00FB14E5" w:rsidRPr="004930C2">
        <w:rPr>
          <w:color w:val="000000" w:themeColor="text1"/>
          <w:sz w:val="20"/>
        </w:rPr>
        <w:t xml:space="preserve">a </w:t>
      </w:r>
      <w:r w:rsidRPr="004930C2">
        <w:rPr>
          <w:color w:val="000000" w:themeColor="text1"/>
          <w:sz w:val="20"/>
        </w:rPr>
        <w:t>pH meter (HI9912N, HANNA, Chiba, Japan) with a 1</w:t>
      </w:r>
      <w:r w:rsidR="00FB14E5" w:rsidRPr="004930C2">
        <w:rPr>
          <w:color w:val="000000" w:themeColor="text1"/>
          <w:sz w:val="20"/>
        </w:rPr>
        <w:t xml:space="preserve"> </w:t>
      </w:r>
      <w:r w:rsidRPr="004930C2">
        <w:rPr>
          <w:color w:val="000000" w:themeColor="text1"/>
          <w:sz w:val="20"/>
        </w:rPr>
        <w:t>% w/v suspension in deionized water prepared by shaking at 150 rpm for 1 h. Ash content was measured by heating samples at 600°C for 3 h in a muffle furnace</w:t>
      </w:r>
      <w:r w:rsidR="003921D3" w:rsidRPr="004930C2">
        <w:rPr>
          <w:color w:val="000000" w:themeColor="text1"/>
          <w:sz w:val="20"/>
        </w:rPr>
        <w:t>.</w:t>
      </w:r>
      <w:r w:rsidRPr="004930C2">
        <w:rPr>
          <w:color w:val="000000" w:themeColor="text1"/>
          <w:sz w:val="20"/>
        </w:rPr>
        <w:t xml:space="preserve"> Elemental compositions of </w:t>
      </w:r>
      <w:r w:rsidR="008C3AC1" w:rsidRPr="004930C2">
        <w:rPr>
          <w:color w:val="000000" w:themeColor="text1"/>
          <w:sz w:val="20"/>
        </w:rPr>
        <w:t>feedstock</w:t>
      </w:r>
      <w:r w:rsidRPr="004930C2">
        <w:rPr>
          <w:color w:val="000000" w:themeColor="text1"/>
          <w:sz w:val="20"/>
        </w:rPr>
        <w:t xml:space="preserve"> and biochar were determined </w:t>
      </w:r>
      <w:r w:rsidR="00FB14E5" w:rsidRPr="004930C2">
        <w:rPr>
          <w:color w:val="000000" w:themeColor="text1"/>
          <w:sz w:val="20"/>
        </w:rPr>
        <w:t>using</w:t>
      </w:r>
      <w:r w:rsidRPr="004930C2">
        <w:rPr>
          <w:color w:val="000000" w:themeColor="text1"/>
          <w:sz w:val="20"/>
        </w:rPr>
        <w:t xml:space="preserve"> an elemental analyzer (Exeter Analytical CE440, Exeter Analytical Inc., USA) for total carbon and nitrogen and by an ICP-MS (ELAN DRC-e; Perkin Elmer, Waltham, MA, USA) for total P, K, Ca, Mg, and Na. </w:t>
      </w:r>
      <w:r w:rsidR="007B776F" w:rsidRPr="004930C2">
        <w:rPr>
          <w:color w:val="000000" w:themeColor="text1"/>
          <w:sz w:val="20"/>
        </w:rPr>
        <w:t>Before</w:t>
      </w:r>
      <w:r w:rsidR="004E5DF9" w:rsidRPr="004930C2">
        <w:rPr>
          <w:color w:val="000000" w:themeColor="text1"/>
          <w:sz w:val="20"/>
        </w:rPr>
        <w:t xml:space="preserve"> </w:t>
      </w:r>
      <w:r w:rsidRPr="004930C2">
        <w:rPr>
          <w:color w:val="000000" w:themeColor="text1"/>
          <w:sz w:val="20"/>
        </w:rPr>
        <w:t xml:space="preserve">ICP-MS analyses, the samples </w:t>
      </w:r>
      <w:r w:rsidR="004E5DF9" w:rsidRPr="004930C2">
        <w:rPr>
          <w:color w:val="000000" w:themeColor="text1"/>
          <w:sz w:val="20"/>
        </w:rPr>
        <w:t xml:space="preserve">were digested </w:t>
      </w:r>
      <w:r w:rsidRPr="004930C2">
        <w:rPr>
          <w:color w:val="000000" w:themeColor="text1"/>
          <w:sz w:val="20"/>
        </w:rPr>
        <w:t>in 60% (w/v) HNO</w:t>
      </w:r>
      <w:r w:rsidRPr="004930C2">
        <w:rPr>
          <w:color w:val="000000" w:themeColor="text1"/>
          <w:sz w:val="20"/>
          <w:vertAlign w:val="subscript"/>
        </w:rPr>
        <w:t>3</w:t>
      </w:r>
      <w:r w:rsidRPr="004930C2">
        <w:rPr>
          <w:color w:val="000000" w:themeColor="text1"/>
          <w:sz w:val="20"/>
        </w:rPr>
        <w:t xml:space="preserve"> at </w:t>
      </w:r>
      <w:r w:rsidR="00EF1710" w:rsidRPr="004930C2">
        <w:rPr>
          <w:color w:val="000000" w:themeColor="text1"/>
          <w:sz w:val="20"/>
        </w:rPr>
        <w:t xml:space="preserve">approximately </w:t>
      </w:r>
      <w:r w:rsidRPr="004930C2">
        <w:rPr>
          <w:color w:val="000000" w:themeColor="text1"/>
          <w:sz w:val="20"/>
        </w:rPr>
        <w:t xml:space="preserve">110°C in </w:t>
      </w:r>
      <w:r w:rsidR="007B776F" w:rsidRPr="004930C2">
        <w:rPr>
          <w:color w:val="000000" w:themeColor="text1"/>
          <w:sz w:val="20"/>
        </w:rPr>
        <w:t xml:space="preserve">the </w:t>
      </w:r>
      <w:proofErr w:type="spellStart"/>
      <w:r w:rsidRPr="004930C2">
        <w:rPr>
          <w:color w:val="000000" w:themeColor="text1"/>
          <w:sz w:val="20"/>
        </w:rPr>
        <w:t>DigiPREP</w:t>
      </w:r>
      <w:proofErr w:type="spellEnd"/>
      <w:r w:rsidRPr="004930C2">
        <w:rPr>
          <w:color w:val="000000" w:themeColor="text1"/>
          <w:sz w:val="20"/>
        </w:rPr>
        <w:t xml:space="preserve"> apparatus (SCP Science, Canada) for approximately 2 h</w:t>
      </w:r>
      <w:r w:rsidR="00FB14E5" w:rsidRPr="004930C2">
        <w:rPr>
          <w:color w:val="000000" w:themeColor="text1"/>
          <w:sz w:val="20"/>
        </w:rPr>
        <w:t>.</w:t>
      </w:r>
      <w:r w:rsidRPr="004930C2">
        <w:rPr>
          <w:color w:val="000000" w:themeColor="text1"/>
          <w:sz w:val="20"/>
        </w:rPr>
        <w:t xml:space="preserve"> SSA and average pore size (APS) were determined by </w:t>
      </w:r>
      <w:r w:rsidR="00EB4D00" w:rsidRPr="004930C2">
        <w:rPr>
          <w:color w:val="000000" w:themeColor="text1"/>
          <w:sz w:val="20"/>
        </w:rPr>
        <w:t xml:space="preserve">the multipoint </w:t>
      </w:r>
      <w:proofErr w:type="spellStart"/>
      <w:r w:rsidR="00EB4D00" w:rsidRPr="004930C2">
        <w:rPr>
          <w:color w:val="000000" w:themeColor="text1"/>
          <w:sz w:val="20"/>
        </w:rPr>
        <w:t>Brunauer</w:t>
      </w:r>
      <w:proofErr w:type="spellEnd"/>
      <w:r w:rsidR="00EF1710" w:rsidRPr="004930C2">
        <w:rPr>
          <w:color w:val="000000" w:themeColor="text1"/>
          <w:sz w:val="20"/>
        </w:rPr>
        <w:t>–</w:t>
      </w:r>
      <w:r w:rsidR="00EB4D00" w:rsidRPr="004930C2">
        <w:rPr>
          <w:color w:val="000000" w:themeColor="text1"/>
          <w:sz w:val="20"/>
        </w:rPr>
        <w:t>Emmett</w:t>
      </w:r>
      <w:r w:rsidR="00EF1710" w:rsidRPr="004930C2">
        <w:rPr>
          <w:color w:val="000000" w:themeColor="text1"/>
          <w:sz w:val="20"/>
        </w:rPr>
        <w:t>–</w:t>
      </w:r>
      <w:r w:rsidR="00EB4D00" w:rsidRPr="004930C2">
        <w:rPr>
          <w:color w:val="000000" w:themeColor="text1"/>
          <w:sz w:val="20"/>
        </w:rPr>
        <w:t xml:space="preserve">Teller method </w:t>
      </w:r>
      <w:r w:rsidR="000D1054" w:rsidRPr="004930C2">
        <w:rPr>
          <w:color w:val="000000" w:themeColor="text1"/>
          <w:sz w:val="20"/>
        </w:rPr>
        <w:t>applied to the</w:t>
      </w:r>
      <w:r w:rsidR="00EB4D00" w:rsidRPr="004930C2">
        <w:rPr>
          <w:color w:val="000000" w:themeColor="text1"/>
          <w:sz w:val="20"/>
        </w:rPr>
        <w:t xml:space="preserve"> </w:t>
      </w:r>
      <w:r w:rsidRPr="004930C2">
        <w:rPr>
          <w:color w:val="000000" w:themeColor="text1"/>
          <w:sz w:val="20"/>
        </w:rPr>
        <w:t>N</w:t>
      </w:r>
      <w:r w:rsidRPr="004930C2">
        <w:rPr>
          <w:color w:val="000000" w:themeColor="text1"/>
          <w:sz w:val="20"/>
          <w:vertAlign w:val="subscript"/>
        </w:rPr>
        <w:t>2</w:t>
      </w:r>
      <w:r w:rsidRPr="004930C2">
        <w:rPr>
          <w:color w:val="000000" w:themeColor="text1"/>
          <w:sz w:val="20"/>
        </w:rPr>
        <w:t xml:space="preserve"> adsorption isotherms measured at −196°C (</w:t>
      </w:r>
      <w:proofErr w:type="spellStart"/>
      <w:r w:rsidRPr="004930C2">
        <w:rPr>
          <w:color w:val="000000" w:themeColor="text1"/>
          <w:sz w:val="20"/>
        </w:rPr>
        <w:t>Quantachrome</w:t>
      </w:r>
      <w:proofErr w:type="spellEnd"/>
      <w:r w:rsidRPr="004930C2">
        <w:rPr>
          <w:color w:val="000000" w:themeColor="text1"/>
          <w:sz w:val="20"/>
        </w:rPr>
        <w:t xml:space="preserve"> Instruments </w:t>
      </w:r>
      <w:proofErr w:type="spellStart"/>
      <w:r w:rsidRPr="004930C2">
        <w:rPr>
          <w:color w:val="000000" w:themeColor="text1"/>
          <w:sz w:val="20"/>
        </w:rPr>
        <w:t>Autosorb</w:t>
      </w:r>
      <w:proofErr w:type="spellEnd"/>
      <w:r w:rsidRPr="004930C2">
        <w:rPr>
          <w:color w:val="000000" w:themeColor="text1"/>
          <w:sz w:val="20"/>
        </w:rPr>
        <w:t xml:space="preserve"> 6AG, Yuasa‐Ionics Co. Ltd., Osaka, Japan; </w:t>
      </w:r>
      <w:proofErr w:type="spellStart"/>
      <w:r w:rsidRPr="004930C2">
        <w:rPr>
          <w:color w:val="000000" w:themeColor="text1"/>
          <w:sz w:val="20"/>
        </w:rPr>
        <w:t>Quantachrome</w:t>
      </w:r>
      <w:proofErr w:type="spellEnd"/>
      <w:r w:rsidRPr="004930C2">
        <w:rPr>
          <w:color w:val="000000" w:themeColor="text1"/>
          <w:sz w:val="20"/>
        </w:rPr>
        <w:t xml:space="preserve"> Co., Boynton Beach, FL, USA</w:t>
      </w:r>
      <w:r w:rsidR="00EB4D00" w:rsidRPr="004930C2">
        <w:rPr>
          <w:color w:val="000000" w:themeColor="text1"/>
          <w:sz w:val="20"/>
        </w:rPr>
        <w:t xml:space="preserve">, </w:t>
      </w:r>
      <w:r w:rsidR="00BA7EBD" w:rsidRPr="004930C2">
        <w:rPr>
          <w:color w:val="000000" w:themeColor="text1"/>
          <w:sz w:val="20"/>
        </w:rPr>
        <w:t>and</w:t>
      </w:r>
      <w:r w:rsidR="00EB4D00" w:rsidRPr="004930C2">
        <w:rPr>
          <w:color w:val="000000" w:themeColor="text1"/>
          <w:sz w:val="20"/>
        </w:rPr>
        <w:t xml:space="preserve"> </w:t>
      </w:r>
      <w:proofErr w:type="spellStart"/>
      <w:r w:rsidR="00EB4D00" w:rsidRPr="004930C2">
        <w:rPr>
          <w:color w:val="000000" w:themeColor="text1"/>
          <w:sz w:val="20"/>
        </w:rPr>
        <w:t>Belsorp</w:t>
      </w:r>
      <w:proofErr w:type="spellEnd"/>
      <w:r w:rsidR="00EB4D00" w:rsidRPr="004930C2">
        <w:rPr>
          <w:color w:val="000000" w:themeColor="text1"/>
          <w:sz w:val="20"/>
        </w:rPr>
        <w:t xml:space="preserve"> Mini II, </w:t>
      </w:r>
      <w:proofErr w:type="spellStart"/>
      <w:r w:rsidR="00EB4D00" w:rsidRPr="004930C2">
        <w:rPr>
          <w:color w:val="000000" w:themeColor="text1"/>
          <w:sz w:val="20"/>
        </w:rPr>
        <w:t>MicrotracBEL</w:t>
      </w:r>
      <w:proofErr w:type="spellEnd"/>
      <w:r w:rsidR="00EB4D00" w:rsidRPr="004930C2">
        <w:rPr>
          <w:color w:val="000000" w:themeColor="text1"/>
          <w:sz w:val="20"/>
        </w:rPr>
        <w:t xml:space="preserve"> Co. Ltd., Osaka, Japan</w:t>
      </w:r>
      <w:r w:rsidRPr="004930C2">
        <w:rPr>
          <w:color w:val="000000" w:themeColor="text1"/>
          <w:sz w:val="20"/>
        </w:rPr>
        <w:t xml:space="preserve">). Prior to </w:t>
      </w:r>
      <w:r w:rsidR="00FB14E5" w:rsidRPr="004930C2">
        <w:rPr>
          <w:color w:val="000000" w:themeColor="text1"/>
          <w:sz w:val="20"/>
        </w:rPr>
        <w:t>taking the</w:t>
      </w:r>
      <w:r w:rsidRPr="004930C2">
        <w:rPr>
          <w:color w:val="000000" w:themeColor="text1"/>
          <w:sz w:val="20"/>
        </w:rPr>
        <w:t xml:space="preserve"> measurements, homogenized samples were degassed at 150°C for 2 h</w:t>
      </w:r>
      <w:r w:rsidR="00380358" w:rsidRPr="004930C2">
        <w:rPr>
          <w:color w:val="000000" w:themeColor="text1"/>
          <w:sz w:val="20"/>
        </w:rPr>
        <w:t xml:space="preserve"> (</w:t>
      </w:r>
      <w:proofErr w:type="spellStart"/>
      <w:r w:rsidR="00380358" w:rsidRPr="004930C2">
        <w:rPr>
          <w:color w:val="000000" w:themeColor="text1"/>
          <w:sz w:val="20"/>
        </w:rPr>
        <w:t>Belprep</w:t>
      </w:r>
      <w:proofErr w:type="spellEnd"/>
      <w:r w:rsidR="00380358" w:rsidRPr="004930C2">
        <w:rPr>
          <w:color w:val="000000" w:themeColor="text1"/>
          <w:sz w:val="20"/>
        </w:rPr>
        <w:t xml:space="preserve"> </w:t>
      </w:r>
      <w:r w:rsidR="00544585" w:rsidRPr="004930C2">
        <w:rPr>
          <w:color w:val="000000" w:themeColor="text1"/>
          <w:sz w:val="20"/>
        </w:rPr>
        <w:t>V</w:t>
      </w:r>
      <w:r w:rsidR="00380358" w:rsidRPr="004930C2">
        <w:rPr>
          <w:color w:val="000000" w:themeColor="text1"/>
          <w:sz w:val="20"/>
        </w:rPr>
        <w:t>ac II</w:t>
      </w:r>
      <w:r w:rsidR="00544585" w:rsidRPr="004930C2">
        <w:rPr>
          <w:color w:val="000000" w:themeColor="text1"/>
          <w:sz w:val="20"/>
        </w:rPr>
        <w:t xml:space="preserve">, </w:t>
      </w:r>
      <w:proofErr w:type="spellStart"/>
      <w:r w:rsidR="00544585" w:rsidRPr="004930C2">
        <w:rPr>
          <w:color w:val="000000" w:themeColor="text1"/>
          <w:sz w:val="20"/>
        </w:rPr>
        <w:t>MicrotracBEL</w:t>
      </w:r>
      <w:proofErr w:type="spellEnd"/>
      <w:r w:rsidR="00544585" w:rsidRPr="004930C2">
        <w:rPr>
          <w:color w:val="000000" w:themeColor="text1"/>
          <w:sz w:val="20"/>
        </w:rPr>
        <w:t xml:space="preserve"> Co. Ltd., Osaka, Japan</w:t>
      </w:r>
      <w:r w:rsidR="00380358" w:rsidRPr="004930C2">
        <w:rPr>
          <w:color w:val="000000" w:themeColor="text1"/>
          <w:sz w:val="20"/>
        </w:rPr>
        <w:t>)</w:t>
      </w:r>
      <w:r w:rsidRPr="004930C2">
        <w:rPr>
          <w:color w:val="000000" w:themeColor="text1"/>
          <w:sz w:val="20"/>
        </w:rPr>
        <w:t>. All analyses were repeated three times.</w:t>
      </w:r>
    </w:p>
    <w:p w14:paraId="1A0A0D39" w14:textId="77777777" w:rsidR="003921D3" w:rsidRPr="004930C2" w:rsidRDefault="003921D3" w:rsidP="00330D39">
      <w:pPr>
        <w:spacing w:line="480" w:lineRule="auto"/>
        <w:rPr>
          <w:b/>
          <w:color w:val="000000" w:themeColor="text1"/>
          <w:sz w:val="20"/>
        </w:rPr>
      </w:pPr>
    </w:p>
    <w:p w14:paraId="31CEB061" w14:textId="526CEBBA" w:rsidR="00E40D4F" w:rsidRPr="004930C2" w:rsidRDefault="00E40D4F" w:rsidP="00330D39">
      <w:pPr>
        <w:spacing w:line="480" w:lineRule="auto"/>
        <w:rPr>
          <w:b/>
          <w:color w:val="000000" w:themeColor="text1"/>
          <w:sz w:val="20"/>
        </w:rPr>
      </w:pPr>
      <w:r w:rsidRPr="004930C2">
        <w:rPr>
          <w:b/>
          <w:color w:val="000000" w:themeColor="text1"/>
          <w:sz w:val="20"/>
        </w:rPr>
        <w:t>2.</w:t>
      </w:r>
      <w:r w:rsidR="00A508B0" w:rsidRPr="004930C2">
        <w:rPr>
          <w:b/>
          <w:color w:val="000000" w:themeColor="text1"/>
          <w:sz w:val="20"/>
        </w:rPr>
        <w:t>4</w:t>
      </w:r>
      <w:r w:rsidRPr="004930C2">
        <w:rPr>
          <w:b/>
          <w:color w:val="000000" w:themeColor="text1"/>
          <w:sz w:val="20"/>
        </w:rPr>
        <w:t>.2 Plant</w:t>
      </w:r>
      <w:r w:rsidR="008C3AC1" w:rsidRPr="004930C2">
        <w:rPr>
          <w:b/>
          <w:color w:val="000000" w:themeColor="text1"/>
          <w:sz w:val="20"/>
        </w:rPr>
        <w:t xml:space="preserve"> analysis</w:t>
      </w:r>
    </w:p>
    <w:p w14:paraId="61513986" w14:textId="3179AB9F" w:rsidR="00E40D4F" w:rsidRPr="004930C2" w:rsidRDefault="00E40D4F" w:rsidP="00330D39">
      <w:pPr>
        <w:spacing w:line="480" w:lineRule="auto"/>
        <w:rPr>
          <w:color w:val="000000" w:themeColor="text1"/>
          <w:sz w:val="20"/>
        </w:rPr>
      </w:pPr>
      <w:r w:rsidRPr="004930C2">
        <w:rPr>
          <w:color w:val="000000" w:themeColor="text1"/>
          <w:sz w:val="20"/>
        </w:rPr>
        <w:t>A</w:t>
      </w:r>
      <w:r w:rsidR="00FB14E5" w:rsidRPr="004930C2">
        <w:rPr>
          <w:color w:val="000000" w:themeColor="text1"/>
          <w:sz w:val="20"/>
        </w:rPr>
        <w:t>f</w:t>
      </w:r>
      <w:r w:rsidRPr="004930C2">
        <w:rPr>
          <w:color w:val="000000" w:themeColor="text1"/>
          <w:sz w:val="20"/>
        </w:rPr>
        <w:t>t</w:t>
      </w:r>
      <w:r w:rsidR="00FB14E5" w:rsidRPr="004930C2">
        <w:rPr>
          <w:color w:val="000000" w:themeColor="text1"/>
          <w:sz w:val="20"/>
        </w:rPr>
        <w:t>er</w:t>
      </w:r>
      <w:r w:rsidRPr="004930C2">
        <w:rPr>
          <w:color w:val="000000" w:themeColor="text1"/>
          <w:sz w:val="20"/>
        </w:rPr>
        <w:t xml:space="preserve"> the completion of </w:t>
      </w:r>
      <w:r w:rsidR="00FB14E5" w:rsidRPr="004930C2">
        <w:rPr>
          <w:color w:val="000000" w:themeColor="text1"/>
          <w:sz w:val="20"/>
        </w:rPr>
        <w:t xml:space="preserve">the </w:t>
      </w:r>
      <w:r w:rsidRPr="004930C2">
        <w:rPr>
          <w:color w:val="000000" w:themeColor="text1"/>
          <w:sz w:val="20"/>
        </w:rPr>
        <w:t>cultivation experiment (42 days after germination), the above and below ground oat plant in each pot w</w:t>
      </w:r>
      <w:r w:rsidR="00FB14E5" w:rsidRPr="004930C2">
        <w:rPr>
          <w:color w:val="000000" w:themeColor="text1"/>
          <w:sz w:val="20"/>
        </w:rPr>
        <w:t>ere</w:t>
      </w:r>
      <w:r w:rsidRPr="004930C2">
        <w:rPr>
          <w:color w:val="000000" w:themeColor="text1"/>
          <w:sz w:val="20"/>
        </w:rPr>
        <w:t xml:space="preserve"> harvested and washed with deionized water. Washed plants were oven</w:t>
      </w:r>
      <w:r w:rsidR="009B571F" w:rsidRPr="004930C2">
        <w:rPr>
          <w:color w:val="000000" w:themeColor="text1"/>
          <w:sz w:val="20"/>
        </w:rPr>
        <w:t>-</w:t>
      </w:r>
      <w:r w:rsidRPr="004930C2">
        <w:rPr>
          <w:color w:val="000000" w:themeColor="text1"/>
          <w:sz w:val="20"/>
        </w:rPr>
        <w:t xml:space="preserve">dried at 50°C for 48 h and </w:t>
      </w:r>
      <w:r w:rsidR="009B571F" w:rsidRPr="004930C2">
        <w:rPr>
          <w:color w:val="000000" w:themeColor="text1"/>
          <w:sz w:val="20"/>
        </w:rPr>
        <w:t xml:space="preserve">the </w:t>
      </w:r>
      <w:r w:rsidRPr="004930C2">
        <w:rPr>
          <w:color w:val="000000" w:themeColor="text1"/>
          <w:sz w:val="20"/>
        </w:rPr>
        <w:t>dry mass per p</w:t>
      </w:r>
      <w:r w:rsidR="003758C5" w:rsidRPr="004930C2">
        <w:rPr>
          <w:color w:val="000000" w:themeColor="text1"/>
          <w:sz w:val="20"/>
        </w:rPr>
        <w:t>lant</w:t>
      </w:r>
      <w:r w:rsidRPr="004930C2">
        <w:rPr>
          <w:color w:val="000000" w:themeColor="text1"/>
          <w:sz w:val="20"/>
        </w:rPr>
        <w:t xml:space="preserve"> was measured as biomass production (g </w:t>
      </w:r>
      <w:r w:rsidR="003758C5" w:rsidRPr="004930C2">
        <w:rPr>
          <w:color w:val="000000" w:themeColor="text1"/>
          <w:sz w:val="20"/>
        </w:rPr>
        <w:t>plant</w:t>
      </w:r>
      <w:r w:rsidRPr="004930C2">
        <w:rPr>
          <w:color w:val="000000" w:themeColor="text1"/>
          <w:sz w:val="20"/>
          <w:vertAlign w:val="superscript"/>
        </w:rPr>
        <w:t>−1</w:t>
      </w:r>
      <w:r w:rsidRPr="004930C2">
        <w:rPr>
          <w:color w:val="000000" w:themeColor="text1"/>
          <w:sz w:val="20"/>
        </w:rPr>
        <w:t>). The above</w:t>
      </w:r>
      <w:r w:rsidR="009B571F" w:rsidRPr="004930C2">
        <w:rPr>
          <w:color w:val="000000" w:themeColor="text1"/>
          <w:sz w:val="20"/>
        </w:rPr>
        <w:t>-</w:t>
      </w:r>
      <w:r w:rsidRPr="004930C2">
        <w:rPr>
          <w:color w:val="000000" w:themeColor="text1"/>
          <w:sz w:val="20"/>
        </w:rPr>
        <w:t xml:space="preserve">ground </w:t>
      </w:r>
      <w:r w:rsidR="009B571F" w:rsidRPr="004930C2">
        <w:rPr>
          <w:color w:val="000000" w:themeColor="text1"/>
          <w:sz w:val="20"/>
        </w:rPr>
        <w:t xml:space="preserve">parts </w:t>
      </w:r>
      <w:r w:rsidRPr="004930C2">
        <w:rPr>
          <w:color w:val="000000" w:themeColor="text1"/>
          <w:sz w:val="20"/>
        </w:rPr>
        <w:t xml:space="preserve">of </w:t>
      </w:r>
      <w:r w:rsidR="009B571F" w:rsidRPr="004930C2">
        <w:rPr>
          <w:color w:val="000000" w:themeColor="text1"/>
          <w:sz w:val="20"/>
        </w:rPr>
        <w:t xml:space="preserve">the </w:t>
      </w:r>
      <w:r w:rsidRPr="004930C2">
        <w:rPr>
          <w:color w:val="000000" w:themeColor="text1"/>
          <w:sz w:val="20"/>
        </w:rPr>
        <w:lastRenderedPageBreak/>
        <w:t>plants w</w:t>
      </w:r>
      <w:r w:rsidR="009B571F" w:rsidRPr="004930C2">
        <w:rPr>
          <w:color w:val="000000" w:themeColor="text1"/>
          <w:sz w:val="20"/>
        </w:rPr>
        <w:t>ere</w:t>
      </w:r>
      <w:r w:rsidRPr="004930C2">
        <w:rPr>
          <w:color w:val="000000" w:themeColor="text1"/>
          <w:sz w:val="20"/>
        </w:rPr>
        <w:t xml:space="preserve"> milled to fine particles, and the nitrogen content of </w:t>
      </w:r>
      <w:r w:rsidR="007B776F" w:rsidRPr="004930C2">
        <w:rPr>
          <w:color w:val="000000" w:themeColor="text1"/>
          <w:sz w:val="20"/>
        </w:rPr>
        <w:t xml:space="preserve">the </w:t>
      </w:r>
      <w:r w:rsidRPr="004930C2">
        <w:rPr>
          <w:color w:val="000000" w:themeColor="text1"/>
          <w:sz w:val="20"/>
        </w:rPr>
        <w:t>above</w:t>
      </w:r>
      <w:r w:rsidR="009B571F" w:rsidRPr="004930C2">
        <w:rPr>
          <w:color w:val="000000" w:themeColor="text1"/>
          <w:sz w:val="20"/>
        </w:rPr>
        <w:t>-</w:t>
      </w:r>
      <w:r w:rsidRPr="004930C2">
        <w:rPr>
          <w:color w:val="000000" w:themeColor="text1"/>
          <w:sz w:val="20"/>
        </w:rPr>
        <w:t xml:space="preserve">ground </w:t>
      </w:r>
      <w:r w:rsidR="009B571F" w:rsidRPr="004930C2">
        <w:rPr>
          <w:color w:val="000000" w:themeColor="text1"/>
          <w:sz w:val="20"/>
        </w:rPr>
        <w:t xml:space="preserve">part </w:t>
      </w:r>
      <w:r w:rsidRPr="004930C2">
        <w:rPr>
          <w:color w:val="000000" w:themeColor="text1"/>
          <w:sz w:val="20"/>
        </w:rPr>
        <w:t>of oat plant</w:t>
      </w:r>
      <w:r w:rsidR="0024661E" w:rsidRPr="004930C2">
        <w:rPr>
          <w:color w:val="000000" w:themeColor="text1"/>
          <w:sz w:val="20"/>
        </w:rPr>
        <w:t xml:space="preserve"> (%)</w:t>
      </w:r>
      <w:r w:rsidRPr="004930C2">
        <w:rPr>
          <w:color w:val="000000" w:themeColor="text1"/>
          <w:sz w:val="20"/>
        </w:rPr>
        <w:t xml:space="preserve"> was measured by an organic elemental analyzer (2400 Series II CHNS/O Elemental Analyzer System; PerkinElmer, Inc., Waltham, USA). Plant nitrogen uptake (mg p</w:t>
      </w:r>
      <w:r w:rsidR="0024661E" w:rsidRPr="004930C2">
        <w:rPr>
          <w:color w:val="000000" w:themeColor="text1"/>
          <w:sz w:val="20"/>
        </w:rPr>
        <w:t>lant</w:t>
      </w:r>
      <w:r w:rsidR="006D35DE" w:rsidRPr="004930C2">
        <w:rPr>
          <w:color w:val="000000" w:themeColor="text1"/>
          <w:sz w:val="20"/>
          <w:vertAlign w:val="superscript"/>
        </w:rPr>
        <w:t>−</w:t>
      </w:r>
      <w:r w:rsidRPr="004930C2">
        <w:rPr>
          <w:color w:val="000000" w:themeColor="text1"/>
          <w:sz w:val="20"/>
          <w:vertAlign w:val="superscript"/>
        </w:rPr>
        <w:t>1</w:t>
      </w:r>
      <w:r w:rsidRPr="004930C2">
        <w:rPr>
          <w:color w:val="000000" w:themeColor="text1"/>
          <w:sz w:val="20"/>
        </w:rPr>
        <w:t xml:space="preserve">) was calculated </w:t>
      </w:r>
      <w:r w:rsidR="00380358" w:rsidRPr="004930C2">
        <w:rPr>
          <w:color w:val="000000" w:themeColor="text1"/>
          <w:sz w:val="20"/>
        </w:rPr>
        <w:t>using multiplication of biomass production (g plant</w:t>
      </w:r>
      <w:r w:rsidR="006D35DE" w:rsidRPr="004930C2">
        <w:rPr>
          <w:color w:val="000000" w:themeColor="text1"/>
          <w:sz w:val="20"/>
          <w:vertAlign w:val="superscript"/>
        </w:rPr>
        <w:t>−</w:t>
      </w:r>
      <w:r w:rsidR="00380358" w:rsidRPr="004930C2">
        <w:rPr>
          <w:color w:val="000000" w:themeColor="text1"/>
          <w:sz w:val="20"/>
          <w:vertAlign w:val="superscript"/>
        </w:rPr>
        <w:t>1</w:t>
      </w:r>
      <w:r w:rsidR="00380358" w:rsidRPr="004930C2">
        <w:rPr>
          <w:color w:val="000000" w:themeColor="text1"/>
          <w:sz w:val="20"/>
        </w:rPr>
        <w:t xml:space="preserve">) </w:t>
      </w:r>
      <w:r w:rsidRPr="004930C2">
        <w:rPr>
          <w:color w:val="000000" w:themeColor="text1"/>
          <w:sz w:val="20"/>
        </w:rPr>
        <w:t xml:space="preserve">and nitrogen content </w:t>
      </w:r>
      <w:r w:rsidR="00380358" w:rsidRPr="004930C2">
        <w:rPr>
          <w:color w:val="000000" w:themeColor="text1"/>
          <w:sz w:val="20"/>
        </w:rPr>
        <w:t xml:space="preserve">(%) </w:t>
      </w:r>
      <w:r w:rsidRPr="004930C2">
        <w:rPr>
          <w:color w:val="000000" w:themeColor="text1"/>
          <w:sz w:val="20"/>
        </w:rPr>
        <w:t xml:space="preserve">of </w:t>
      </w:r>
      <w:r w:rsidR="009B571F" w:rsidRPr="004930C2">
        <w:rPr>
          <w:color w:val="000000" w:themeColor="text1"/>
          <w:sz w:val="20"/>
        </w:rPr>
        <w:t xml:space="preserve">the </w:t>
      </w:r>
      <w:r w:rsidRPr="004930C2">
        <w:rPr>
          <w:color w:val="000000" w:themeColor="text1"/>
          <w:sz w:val="20"/>
        </w:rPr>
        <w:t>above</w:t>
      </w:r>
      <w:r w:rsidR="009B571F" w:rsidRPr="004930C2">
        <w:rPr>
          <w:color w:val="000000" w:themeColor="text1"/>
          <w:sz w:val="20"/>
        </w:rPr>
        <w:t>-</w:t>
      </w:r>
      <w:r w:rsidRPr="004930C2">
        <w:rPr>
          <w:color w:val="000000" w:themeColor="text1"/>
          <w:sz w:val="20"/>
        </w:rPr>
        <w:t>ground</w:t>
      </w:r>
      <w:r w:rsidR="009B571F" w:rsidRPr="004930C2">
        <w:rPr>
          <w:color w:val="000000" w:themeColor="text1"/>
          <w:sz w:val="20"/>
        </w:rPr>
        <w:t xml:space="preserve"> part</w:t>
      </w:r>
      <w:r w:rsidRPr="004930C2">
        <w:rPr>
          <w:color w:val="000000" w:themeColor="text1"/>
          <w:sz w:val="20"/>
        </w:rPr>
        <w:t xml:space="preserve"> of </w:t>
      </w:r>
      <w:r w:rsidR="009B571F" w:rsidRPr="004930C2">
        <w:rPr>
          <w:color w:val="000000" w:themeColor="text1"/>
          <w:sz w:val="20"/>
        </w:rPr>
        <w:t xml:space="preserve">the </w:t>
      </w:r>
      <w:r w:rsidRPr="004930C2">
        <w:rPr>
          <w:color w:val="000000" w:themeColor="text1"/>
          <w:sz w:val="20"/>
        </w:rPr>
        <w:t>oat plant.</w:t>
      </w:r>
    </w:p>
    <w:p w14:paraId="0D3878F4" w14:textId="77777777" w:rsidR="00B22C7A" w:rsidRPr="004930C2" w:rsidRDefault="00B22C7A" w:rsidP="00330D39">
      <w:pPr>
        <w:spacing w:line="480" w:lineRule="auto"/>
        <w:rPr>
          <w:color w:val="000000" w:themeColor="text1"/>
          <w:sz w:val="20"/>
        </w:rPr>
      </w:pPr>
    </w:p>
    <w:p w14:paraId="1A97D4F5" w14:textId="379C2EE3" w:rsidR="00B22C7A" w:rsidRPr="004930C2" w:rsidRDefault="00E40D4F" w:rsidP="00330D39">
      <w:pPr>
        <w:spacing w:line="480" w:lineRule="auto"/>
        <w:rPr>
          <w:b/>
          <w:color w:val="000000" w:themeColor="text1"/>
          <w:sz w:val="20"/>
        </w:rPr>
      </w:pPr>
      <w:r w:rsidRPr="004930C2">
        <w:rPr>
          <w:b/>
          <w:color w:val="000000" w:themeColor="text1"/>
          <w:sz w:val="20"/>
        </w:rPr>
        <w:t>2.</w:t>
      </w:r>
      <w:r w:rsidR="00A508B0" w:rsidRPr="004930C2">
        <w:rPr>
          <w:b/>
          <w:color w:val="000000" w:themeColor="text1"/>
          <w:sz w:val="20"/>
        </w:rPr>
        <w:t>4</w:t>
      </w:r>
      <w:r w:rsidRPr="004930C2">
        <w:rPr>
          <w:b/>
          <w:color w:val="000000" w:themeColor="text1"/>
          <w:sz w:val="20"/>
        </w:rPr>
        <w:t>.3 Nitrogen isotope analysis</w:t>
      </w:r>
    </w:p>
    <w:p w14:paraId="4A80A5D9" w14:textId="35E21CD5" w:rsidR="00E40D4F" w:rsidRPr="004930C2" w:rsidRDefault="00E40D4F" w:rsidP="00330D39">
      <w:pPr>
        <w:spacing w:line="480" w:lineRule="auto"/>
        <w:rPr>
          <w:b/>
          <w:color w:val="000000" w:themeColor="text1"/>
          <w:sz w:val="20"/>
        </w:rPr>
      </w:pPr>
      <w:r w:rsidRPr="004930C2">
        <w:rPr>
          <w:color w:val="000000" w:themeColor="text1"/>
          <w:sz w:val="20"/>
        </w:rPr>
        <w:t xml:space="preserve">Nitrogen isotope analysis was used to trace the nitrogen dynamics </w:t>
      </w:r>
      <w:r w:rsidR="00466B74" w:rsidRPr="004930C2">
        <w:rPr>
          <w:color w:val="000000" w:themeColor="text1"/>
          <w:sz w:val="20"/>
        </w:rPr>
        <w:t>in</w:t>
      </w:r>
      <w:r w:rsidRPr="004930C2">
        <w:rPr>
          <w:color w:val="000000" w:themeColor="text1"/>
          <w:sz w:val="20"/>
        </w:rPr>
        <w:t xml:space="preserve"> biochar application. The stable isotope composition</w:t>
      </w:r>
      <w:r w:rsidR="0012010F" w:rsidRPr="004930C2">
        <w:rPr>
          <w:color w:val="000000" w:themeColor="text1"/>
          <w:sz w:val="20"/>
        </w:rPr>
        <w:t>s</w:t>
      </w:r>
      <w:r w:rsidRPr="004930C2">
        <w:rPr>
          <w:color w:val="000000" w:themeColor="text1"/>
          <w:sz w:val="20"/>
        </w:rPr>
        <w:t xml:space="preserve"> of each sample (compost, biochar, cultivation soil, and above</w:t>
      </w:r>
      <w:r w:rsidR="00466B74" w:rsidRPr="004930C2">
        <w:rPr>
          <w:color w:val="000000" w:themeColor="text1"/>
          <w:sz w:val="20"/>
        </w:rPr>
        <w:t>-</w:t>
      </w:r>
      <w:r w:rsidRPr="004930C2">
        <w:rPr>
          <w:color w:val="000000" w:themeColor="text1"/>
          <w:sz w:val="20"/>
        </w:rPr>
        <w:t>ground plant</w:t>
      </w:r>
      <w:r w:rsidR="00466B74" w:rsidRPr="004930C2">
        <w:rPr>
          <w:color w:val="000000" w:themeColor="text1"/>
          <w:sz w:val="20"/>
        </w:rPr>
        <w:t xml:space="preserve"> part</w:t>
      </w:r>
      <w:r w:rsidRPr="004930C2">
        <w:rPr>
          <w:color w:val="000000" w:themeColor="text1"/>
          <w:sz w:val="20"/>
        </w:rPr>
        <w:t xml:space="preserve">) were measured </w:t>
      </w:r>
      <w:r w:rsidR="00466B74" w:rsidRPr="004930C2">
        <w:rPr>
          <w:color w:val="000000" w:themeColor="text1"/>
          <w:sz w:val="20"/>
        </w:rPr>
        <w:t>using</w:t>
      </w:r>
      <w:r w:rsidRPr="004930C2">
        <w:rPr>
          <w:color w:val="000000" w:themeColor="text1"/>
          <w:sz w:val="20"/>
        </w:rPr>
        <w:t xml:space="preserve"> an </w:t>
      </w:r>
      <w:r w:rsidR="008A588F" w:rsidRPr="004930C2">
        <w:rPr>
          <w:color w:val="000000" w:themeColor="text1"/>
          <w:sz w:val="20"/>
        </w:rPr>
        <w:t>isotope ratio mass spectrometer</w:t>
      </w:r>
      <w:r w:rsidRPr="004930C2">
        <w:rPr>
          <w:color w:val="000000" w:themeColor="text1"/>
          <w:sz w:val="20"/>
        </w:rPr>
        <w:t xml:space="preserve"> (</w:t>
      </w:r>
      <w:r w:rsidR="0012010F" w:rsidRPr="004930C2">
        <w:rPr>
          <w:color w:val="000000" w:themeColor="text1"/>
          <w:sz w:val="20"/>
        </w:rPr>
        <w:t>Delta V Advantage, Thermo Fisher Scientific Inc., Bremen, Germany</w:t>
      </w:r>
      <w:r w:rsidRPr="004930C2">
        <w:rPr>
          <w:color w:val="000000" w:themeColor="text1"/>
          <w:sz w:val="20"/>
        </w:rPr>
        <w:t>)</w:t>
      </w:r>
      <w:r w:rsidR="0012010F" w:rsidRPr="004930C2">
        <w:rPr>
          <w:color w:val="000000" w:themeColor="text1"/>
          <w:sz w:val="20"/>
        </w:rPr>
        <w:t>. The nitrogen was separated from each sample through complete oxidation at 1000°C and reduction at 680°C (Flash EA 1112, Thermo Fisher Scientific Inc., Bremen, Germany), and it was</w:t>
      </w:r>
      <w:r w:rsidR="00FE5B62" w:rsidRPr="004930C2">
        <w:rPr>
          <w:color w:val="000000" w:themeColor="text1"/>
          <w:sz w:val="20"/>
        </w:rPr>
        <w:t xml:space="preserve"> then</w:t>
      </w:r>
      <w:r w:rsidR="0012010F" w:rsidRPr="004930C2">
        <w:rPr>
          <w:color w:val="000000" w:themeColor="text1"/>
          <w:sz w:val="20"/>
        </w:rPr>
        <w:t xml:space="preserve"> introduced </w:t>
      </w:r>
      <w:r w:rsidR="00FF7C42" w:rsidRPr="004930C2">
        <w:rPr>
          <w:color w:val="000000" w:themeColor="text1"/>
          <w:sz w:val="20"/>
        </w:rPr>
        <w:t>into</w:t>
      </w:r>
      <w:r w:rsidR="0012010F" w:rsidRPr="004930C2">
        <w:rPr>
          <w:color w:val="000000" w:themeColor="text1"/>
          <w:sz w:val="20"/>
        </w:rPr>
        <w:t xml:space="preserve"> the mass spectrometer with </w:t>
      </w:r>
      <w:r w:rsidR="00F0572E" w:rsidRPr="004930C2">
        <w:rPr>
          <w:color w:val="000000" w:themeColor="text1"/>
          <w:sz w:val="20"/>
        </w:rPr>
        <w:t xml:space="preserve">a </w:t>
      </w:r>
      <w:r w:rsidR="0012010F" w:rsidRPr="004930C2">
        <w:rPr>
          <w:color w:val="000000" w:themeColor="text1"/>
          <w:sz w:val="20"/>
        </w:rPr>
        <w:t>helium carrier gas</w:t>
      </w:r>
      <w:r w:rsidRPr="004930C2">
        <w:rPr>
          <w:color w:val="000000" w:themeColor="text1"/>
          <w:sz w:val="20"/>
        </w:rPr>
        <w:t>. The stable isotope composition is expressed as δ</w:t>
      </w:r>
      <w:r w:rsidRPr="004930C2">
        <w:rPr>
          <w:color w:val="000000" w:themeColor="text1"/>
          <w:sz w:val="20"/>
          <w:vertAlign w:val="superscript"/>
        </w:rPr>
        <w:t>15</w:t>
      </w:r>
      <w:r w:rsidRPr="004930C2">
        <w:rPr>
          <w:color w:val="000000" w:themeColor="text1"/>
          <w:sz w:val="20"/>
        </w:rPr>
        <w:t>N value = ((</w:t>
      </w:r>
      <w:r w:rsidRPr="004930C2">
        <w:rPr>
          <w:color w:val="000000" w:themeColor="text1"/>
          <w:sz w:val="20"/>
          <w:vertAlign w:val="superscript"/>
        </w:rPr>
        <w:t>15</w:t>
      </w:r>
      <w:r w:rsidRPr="004930C2">
        <w:rPr>
          <w:color w:val="000000" w:themeColor="text1"/>
          <w:sz w:val="20"/>
        </w:rPr>
        <w:t>N/</w:t>
      </w:r>
      <w:r w:rsidRPr="004930C2">
        <w:rPr>
          <w:color w:val="000000" w:themeColor="text1"/>
          <w:sz w:val="20"/>
          <w:vertAlign w:val="superscript"/>
        </w:rPr>
        <w:t>14</w:t>
      </w:r>
      <w:r w:rsidRPr="004930C2">
        <w:rPr>
          <w:color w:val="000000" w:themeColor="text1"/>
          <w:sz w:val="20"/>
        </w:rPr>
        <w:t>N</w:t>
      </w:r>
      <w:r w:rsidRPr="004930C2">
        <w:rPr>
          <w:color w:val="000000" w:themeColor="text1"/>
          <w:sz w:val="20"/>
          <w:vertAlign w:val="subscript"/>
        </w:rPr>
        <w:t>sample</w:t>
      </w:r>
      <w:r w:rsidRPr="004930C2">
        <w:rPr>
          <w:color w:val="000000" w:themeColor="text1"/>
          <w:sz w:val="20"/>
        </w:rPr>
        <w:t>)/(</w:t>
      </w:r>
      <w:r w:rsidRPr="004930C2">
        <w:rPr>
          <w:color w:val="000000" w:themeColor="text1"/>
          <w:sz w:val="20"/>
          <w:vertAlign w:val="superscript"/>
        </w:rPr>
        <w:t>15</w:t>
      </w:r>
      <w:r w:rsidRPr="004930C2">
        <w:rPr>
          <w:color w:val="000000" w:themeColor="text1"/>
          <w:sz w:val="20"/>
        </w:rPr>
        <w:t>N/</w:t>
      </w:r>
      <w:r w:rsidRPr="004930C2">
        <w:rPr>
          <w:color w:val="000000" w:themeColor="text1"/>
          <w:sz w:val="20"/>
          <w:vertAlign w:val="superscript"/>
        </w:rPr>
        <w:t>14</w:t>
      </w:r>
      <w:r w:rsidRPr="004930C2">
        <w:rPr>
          <w:color w:val="000000" w:themeColor="text1"/>
          <w:sz w:val="20"/>
        </w:rPr>
        <w:t>N</w:t>
      </w:r>
      <w:r w:rsidRPr="004930C2">
        <w:rPr>
          <w:color w:val="000000" w:themeColor="text1"/>
          <w:sz w:val="20"/>
          <w:vertAlign w:val="subscript"/>
        </w:rPr>
        <w:t>standard</w:t>
      </w:r>
      <w:r w:rsidRPr="004930C2">
        <w:rPr>
          <w:color w:val="000000" w:themeColor="text1"/>
          <w:sz w:val="20"/>
        </w:rPr>
        <w:t xml:space="preserve">) − 1) × 1000 [‰], where </w:t>
      </w:r>
      <w:r w:rsidRPr="004930C2">
        <w:rPr>
          <w:color w:val="000000" w:themeColor="text1"/>
          <w:sz w:val="20"/>
          <w:vertAlign w:val="superscript"/>
        </w:rPr>
        <w:t>15</w:t>
      </w:r>
      <w:r w:rsidRPr="004930C2">
        <w:rPr>
          <w:color w:val="000000" w:themeColor="text1"/>
          <w:sz w:val="20"/>
        </w:rPr>
        <w:t>N/</w:t>
      </w:r>
      <w:r w:rsidRPr="004930C2">
        <w:rPr>
          <w:color w:val="000000" w:themeColor="text1"/>
          <w:sz w:val="20"/>
          <w:vertAlign w:val="superscript"/>
        </w:rPr>
        <w:t>14</w:t>
      </w:r>
      <w:r w:rsidRPr="004930C2">
        <w:rPr>
          <w:color w:val="000000" w:themeColor="text1"/>
          <w:sz w:val="20"/>
        </w:rPr>
        <w:t>N</w:t>
      </w:r>
      <w:r w:rsidRPr="004930C2">
        <w:rPr>
          <w:color w:val="000000" w:themeColor="text1"/>
          <w:sz w:val="20"/>
          <w:vertAlign w:val="subscript"/>
        </w:rPr>
        <w:t>sample</w:t>
      </w:r>
      <w:r w:rsidRPr="004930C2">
        <w:rPr>
          <w:color w:val="000000" w:themeColor="text1"/>
          <w:sz w:val="20"/>
        </w:rPr>
        <w:t xml:space="preserve"> and </w:t>
      </w:r>
      <w:r w:rsidRPr="004930C2">
        <w:rPr>
          <w:color w:val="000000" w:themeColor="text1"/>
          <w:sz w:val="20"/>
          <w:vertAlign w:val="superscript"/>
        </w:rPr>
        <w:t>15</w:t>
      </w:r>
      <w:r w:rsidRPr="004930C2">
        <w:rPr>
          <w:color w:val="000000" w:themeColor="text1"/>
          <w:sz w:val="20"/>
        </w:rPr>
        <w:t>N/</w:t>
      </w:r>
      <w:r w:rsidRPr="004930C2">
        <w:rPr>
          <w:color w:val="000000" w:themeColor="text1"/>
          <w:sz w:val="20"/>
          <w:vertAlign w:val="superscript"/>
        </w:rPr>
        <w:t>14</w:t>
      </w:r>
      <w:r w:rsidRPr="004930C2">
        <w:rPr>
          <w:color w:val="000000" w:themeColor="text1"/>
          <w:sz w:val="20"/>
        </w:rPr>
        <w:t>N</w:t>
      </w:r>
      <w:r w:rsidRPr="004930C2">
        <w:rPr>
          <w:color w:val="000000" w:themeColor="text1"/>
          <w:sz w:val="20"/>
          <w:vertAlign w:val="subscript"/>
        </w:rPr>
        <w:t>standard</w:t>
      </w:r>
      <w:r w:rsidRPr="004930C2">
        <w:rPr>
          <w:color w:val="000000" w:themeColor="text1"/>
          <w:sz w:val="20"/>
        </w:rPr>
        <w:t xml:space="preserve"> are the atom ratio of </w:t>
      </w:r>
      <w:r w:rsidRPr="004930C2">
        <w:rPr>
          <w:color w:val="000000" w:themeColor="text1"/>
          <w:sz w:val="20"/>
          <w:vertAlign w:val="superscript"/>
        </w:rPr>
        <w:t>15</w:t>
      </w:r>
      <w:r w:rsidRPr="004930C2">
        <w:rPr>
          <w:color w:val="000000" w:themeColor="text1"/>
          <w:sz w:val="20"/>
        </w:rPr>
        <w:t xml:space="preserve">N to </w:t>
      </w:r>
      <w:r w:rsidRPr="004930C2">
        <w:rPr>
          <w:color w:val="000000" w:themeColor="text1"/>
          <w:sz w:val="20"/>
          <w:vertAlign w:val="superscript"/>
        </w:rPr>
        <w:t>14</w:t>
      </w:r>
      <w:r w:rsidRPr="004930C2">
        <w:rPr>
          <w:color w:val="000000" w:themeColor="text1"/>
          <w:sz w:val="20"/>
        </w:rPr>
        <w:t>N in the sample and atmospheric N</w:t>
      </w:r>
      <w:r w:rsidRPr="004930C2">
        <w:rPr>
          <w:color w:val="000000" w:themeColor="text1"/>
          <w:sz w:val="20"/>
          <w:vertAlign w:val="subscript"/>
        </w:rPr>
        <w:t>2</w:t>
      </w:r>
      <w:r w:rsidRPr="004930C2">
        <w:rPr>
          <w:color w:val="000000" w:themeColor="text1"/>
          <w:sz w:val="20"/>
        </w:rPr>
        <w:t>, respectively.</w:t>
      </w:r>
    </w:p>
    <w:p w14:paraId="44674D33" w14:textId="77777777" w:rsidR="00E40D4F" w:rsidRPr="004930C2" w:rsidRDefault="00E40D4F" w:rsidP="00330D39">
      <w:pPr>
        <w:spacing w:line="480" w:lineRule="auto"/>
        <w:rPr>
          <w:color w:val="000000" w:themeColor="text1"/>
          <w:sz w:val="20"/>
        </w:rPr>
      </w:pPr>
    </w:p>
    <w:p w14:paraId="4A096F6C" w14:textId="7DBF9F04" w:rsidR="00E40D4F" w:rsidRPr="004930C2" w:rsidRDefault="00E40D4F" w:rsidP="00330D39">
      <w:pPr>
        <w:spacing w:line="480" w:lineRule="auto"/>
        <w:rPr>
          <w:b/>
          <w:color w:val="000000" w:themeColor="text1"/>
          <w:sz w:val="20"/>
        </w:rPr>
      </w:pPr>
      <w:r w:rsidRPr="004930C2">
        <w:rPr>
          <w:b/>
          <w:color w:val="000000" w:themeColor="text1"/>
          <w:sz w:val="20"/>
        </w:rPr>
        <w:t>2.</w:t>
      </w:r>
      <w:r w:rsidR="00A508B0" w:rsidRPr="004930C2">
        <w:rPr>
          <w:b/>
          <w:color w:val="000000" w:themeColor="text1"/>
          <w:sz w:val="20"/>
        </w:rPr>
        <w:t>5</w:t>
      </w:r>
      <w:r w:rsidRPr="004930C2">
        <w:rPr>
          <w:b/>
          <w:color w:val="000000" w:themeColor="text1"/>
          <w:sz w:val="20"/>
        </w:rPr>
        <w:t xml:space="preserve"> Statistical analysis</w:t>
      </w:r>
    </w:p>
    <w:p w14:paraId="67047087" w14:textId="140753B0" w:rsidR="00E40D4F" w:rsidRPr="004930C2" w:rsidRDefault="00CF45DD" w:rsidP="00330D39">
      <w:pPr>
        <w:spacing w:line="480" w:lineRule="auto"/>
        <w:rPr>
          <w:color w:val="000000" w:themeColor="text1"/>
          <w:sz w:val="20"/>
        </w:rPr>
      </w:pPr>
      <w:r w:rsidRPr="004930C2">
        <w:rPr>
          <w:color w:val="000000" w:themeColor="text1"/>
          <w:sz w:val="20"/>
        </w:rPr>
        <w:t>A total of 35 assays, corresponding to 7 treatments (I</w:t>
      </w:r>
      <w:r w:rsidR="00C85A6F" w:rsidRPr="004930C2">
        <w:rPr>
          <w:color w:val="000000" w:themeColor="text1"/>
          <w:sz w:val="20"/>
        </w:rPr>
        <w:t>–</w:t>
      </w:r>
      <w:r w:rsidRPr="004930C2">
        <w:rPr>
          <w:color w:val="000000" w:themeColor="text1"/>
          <w:sz w:val="20"/>
        </w:rPr>
        <w:t>VII) with 5 replicates, were subjected to Dunnett</w:t>
      </w:r>
      <w:r w:rsidR="00675625" w:rsidRPr="004930C2">
        <w:rPr>
          <w:color w:val="000000" w:themeColor="text1"/>
          <w:sz w:val="20"/>
        </w:rPr>
        <w:t>’</w:t>
      </w:r>
      <w:r w:rsidRPr="004930C2">
        <w:rPr>
          <w:color w:val="000000" w:themeColor="text1"/>
          <w:sz w:val="20"/>
        </w:rPr>
        <w:t xml:space="preserve">s test (α = 0.05) to compare each of </w:t>
      </w:r>
      <w:r w:rsidR="007B776F" w:rsidRPr="004930C2">
        <w:rPr>
          <w:color w:val="000000" w:themeColor="text1"/>
          <w:sz w:val="20"/>
        </w:rPr>
        <w:t xml:space="preserve">the </w:t>
      </w:r>
      <w:r w:rsidRPr="004930C2">
        <w:rPr>
          <w:color w:val="000000" w:themeColor="text1"/>
          <w:sz w:val="20"/>
        </w:rPr>
        <w:t>biochar-compost application (II</w:t>
      </w:r>
      <w:r w:rsidR="008A062F" w:rsidRPr="004930C2">
        <w:rPr>
          <w:color w:val="000000" w:themeColor="text1"/>
          <w:sz w:val="20"/>
        </w:rPr>
        <w:t>–</w:t>
      </w:r>
      <w:r w:rsidRPr="004930C2">
        <w:rPr>
          <w:color w:val="000000" w:themeColor="text1"/>
          <w:sz w:val="20"/>
        </w:rPr>
        <w:t xml:space="preserve">VII) with </w:t>
      </w:r>
      <w:r w:rsidR="000479C6" w:rsidRPr="004930C2">
        <w:rPr>
          <w:color w:val="000000" w:themeColor="text1"/>
          <w:sz w:val="20"/>
        </w:rPr>
        <w:t>the</w:t>
      </w:r>
      <w:r w:rsidRPr="004930C2">
        <w:rPr>
          <w:color w:val="000000" w:themeColor="text1"/>
          <w:sz w:val="20"/>
        </w:rPr>
        <w:t xml:space="preserve"> control (I).</w:t>
      </w:r>
      <w:r w:rsidR="00295C91" w:rsidRPr="004930C2">
        <w:rPr>
          <w:color w:val="000000" w:themeColor="text1"/>
          <w:sz w:val="20"/>
        </w:rPr>
        <w:t xml:space="preserve"> </w:t>
      </w:r>
      <w:r w:rsidR="007B776F" w:rsidRPr="004930C2">
        <w:rPr>
          <w:color w:val="000000" w:themeColor="text1"/>
          <w:sz w:val="20"/>
        </w:rPr>
        <w:t>Besides</w:t>
      </w:r>
      <w:r w:rsidRPr="004930C2">
        <w:rPr>
          <w:color w:val="000000" w:themeColor="text1"/>
          <w:sz w:val="20"/>
        </w:rPr>
        <w:t xml:space="preserve">, to clarify the influence of biochar </w:t>
      </w:r>
      <w:r w:rsidR="000479C6" w:rsidRPr="004930C2">
        <w:rPr>
          <w:color w:val="000000" w:themeColor="text1"/>
          <w:sz w:val="20"/>
        </w:rPr>
        <w:t>type</w:t>
      </w:r>
      <w:r w:rsidRPr="004930C2">
        <w:rPr>
          <w:color w:val="000000" w:themeColor="text1"/>
          <w:sz w:val="20"/>
        </w:rPr>
        <w:t xml:space="preserve"> in </w:t>
      </w:r>
      <w:r w:rsidR="007B776F" w:rsidRPr="004930C2">
        <w:rPr>
          <w:color w:val="000000" w:themeColor="text1"/>
          <w:sz w:val="20"/>
        </w:rPr>
        <w:t xml:space="preserve">the </w:t>
      </w:r>
      <w:r w:rsidRPr="004930C2">
        <w:rPr>
          <w:color w:val="000000" w:themeColor="text1"/>
          <w:sz w:val="20"/>
        </w:rPr>
        <w:t xml:space="preserve">biochar-compost application, a total of 30 assays, corresponding to 6 treatments </w:t>
      </w:r>
      <w:r w:rsidRPr="004930C2">
        <w:rPr>
          <w:color w:val="000000" w:themeColor="text1"/>
          <w:sz w:val="20"/>
        </w:rPr>
        <w:lastRenderedPageBreak/>
        <w:t>(II</w:t>
      </w:r>
      <w:r w:rsidR="00292E9D" w:rsidRPr="004930C2">
        <w:rPr>
          <w:color w:val="000000" w:themeColor="text1"/>
          <w:sz w:val="20"/>
        </w:rPr>
        <w:t>–</w:t>
      </w:r>
      <w:r w:rsidRPr="004930C2">
        <w:rPr>
          <w:color w:val="000000" w:themeColor="text1"/>
          <w:sz w:val="20"/>
        </w:rPr>
        <w:t>VII) with 5 replicates, were used to conduct a two-way analysis of variance (two-way ANOVA) with the feedstock type and carbonization temperature as two factors</w:t>
      </w:r>
      <w:r w:rsidR="000D1054" w:rsidRPr="004930C2">
        <w:rPr>
          <w:color w:val="000000" w:themeColor="text1"/>
          <w:sz w:val="20"/>
        </w:rPr>
        <w:t xml:space="preserve"> (α = 0.05)</w:t>
      </w:r>
      <w:r w:rsidRPr="004930C2">
        <w:rPr>
          <w:color w:val="000000" w:themeColor="text1"/>
          <w:sz w:val="20"/>
        </w:rPr>
        <w:t>. In both analyses, biomass production, plant nitrogen uptake, plant nitrogen content, and δ</w:t>
      </w:r>
      <w:r w:rsidRPr="004930C2">
        <w:rPr>
          <w:color w:val="000000" w:themeColor="text1"/>
          <w:sz w:val="20"/>
          <w:vertAlign w:val="superscript"/>
        </w:rPr>
        <w:t>15</w:t>
      </w:r>
      <w:r w:rsidRPr="004930C2">
        <w:rPr>
          <w:color w:val="000000" w:themeColor="text1"/>
          <w:sz w:val="20"/>
        </w:rPr>
        <w:t>N value</w:t>
      </w:r>
      <w:r w:rsidRPr="004930C2" w:rsidDel="00EE65FF">
        <w:rPr>
          <w:color w:val="000000" w:themeColor="text1"/>
          <w:sz w:val="20"/>
        </w:rPr>
        <w:t xml:space="preserve"> </w:t>
      </w:r>
      <w:r w:rsidRPr="004930C2">
        <w:rPr>
          <w:color w:val="000000" w:themeColor="text1"/>
          <w:sz w:val="20"/>
        </w:rPr>
        <w:t xml:space="preserve">of plant were considered as response variables. </w:t>
      </w:r>
      <w:r w:rsidR="00466B74" w:rsidRPr="004930C2">
        <w:rPr>
          <w:color w:val="000000" w:themeColor="text1"/>
          <w:sz w:val="20"/>
        </w:rPr>
        <w:t xml:space="preserve">All analyses were performed </w:t>
      </w:r>
      <w:r w:rsidR="00E40D4F" w:rsidRPr="004930C2">
        <w:rPr>
          <w:color w:val="000000" w:themeColor="text1"/>
          <w:sz w:val="20"/>
        </w:rPr>
        <w:t xml:space="preserve">using R </w:t>
      </w:r>
      <w:r w:rsidR="00BD45B2" w:rsidRPr="004930C2">
        <w:rPr>
          <w:color w:val="000000" w:themeColor="text1"/>
          <w:sz w:val="20"/>
        </w:rPr>
        <w:t>statistical software</w:t>
      </w:r>
      <w:r w:rsidR="00466B74" w:rsidRPr="004930C2">
        <w:rPr>
          <w:color w:val="000000" w:themeColor="text1"/>
          <w:sz w:val="20"/>
        </w:rPr>
        <w:t xml:space="preserve"> (version 3.</w:t>
      </w:r>
      <w:r w:rsidR="00BD45B2" w:rsidRPr="004930C2">
        <w:rPr>
          <w:color w:val="000000" w:themeColor="text1"/>
          <w:sz w:val="20"/>
        </w:rPr>
        <w:t>6</w:t>
      </w:r>
      <w:r w:rsidR="00466B74" w:rsidRPr="004930C2">
        <w:rPr>
          <w:color w:val="000000" w:themeColor="text1"/>
          <w:sz w:val="20"/>
        </w:rPr>
        <w:t>.</w:t>
      </w:r>
      <w:r w:rsidR="00BD45B2" w:rsidRPr="004930C2">
        <w:rPr>
          <w:color w:val="000000" w:themeColor="text1"/>
          <w:sz w:val="20"/>
        </w:rPr>
        <w:t>2 for Windows</w:t>
      </w:r>
      <w:r w:rsidR="00466B74" w:rsidRPr="004930C2">
        <w:rPr>
          <w:color w:val="000000" w:themeColor="text1"/>
          <w:sz w:val="20"/>
        </w:rPr>
        <w:t xml:space="preserve">. R Core Team, </w:t>
      </w:r>
      <w:r w:rsidR="00295C91" w:rsidRPr="004930C2">
        <w:rPr>
          <w:color w:val="000000" w:themeColor="text1"/>
          <w:sz w:val="20"/>
        </w:rPr>
        <w:t>2019</w:t>
      </w:r>
      <w:r w:rsidR="008947EF" w:rsidRPr="004930C2">
        <w:rPr>
          <w:color w:val="000000" w:themeColor="text1"/>
          <w:sz w:val="20"/>
        </w:rPr>
        <w:t>).</w:t>
      </w:r>
    </w:p>
    <w:p w14:paraId="6B5FFABB" w14:textId="77777777" w:rsidR="005A2B76" w:rsidRPr="004930C2" w:rsidRDefault="005A2B76" w:rsidP="00330D39">
      <w:pPr>
        <w:spacing w:line="480" w:lineRule="auto"/>
        <w:rPr>
          <w:color w:val="000000" w:themeColor="text1"/>
          <w:sz w:val="20"/>
        </w:rPr>
      </w:pPr>
    </w:p>
    <w:p w14:paraId="1A7ECAF2" w14:textId="48BC3D70" w:rsidR="00E40D4F" w:rsidRPr="004930C2" w:rsidRDefault="00E40D4F" w:rsidP="00330D39">
      <w:pPr>
        <w:spacing w:line="480" w:lineRule="auto"/>
        <w:rPr>
          <w:b/>
          <w:color w:val="000000" w:themeColor="text1"/>
          <w:sz w:val="20"/>
        </w:rPr>
      </w:pPr>
      <w:r w:rsidRPr="004930C2">
        <w:rPr>
          <w:b/>
          <w:color w:val="000000" w:themeColor="text1"/>
          <w:sz w:val="20"/>
        </w:rPr>
        <w:t>3. Results</w:t>
      </w:r>
    </w:p>
    <w:p w14:paraId="236897B2" w14:textId="63FFAE7D" w:rsidR="00B22C7A" w:rsidRPr="004930C2" w:rsidRDefault="00E40D4F" w:rsidP="00330D39">
      <w:pPr>
        <w:spacing w:line="480" w:lineRule="auto"/>
        <w:rPr>
          <w:b/>
          <w:color w:val="000000" w:themeColor="text1"/>
          <w:sz w:val="20"/>
        </w:rPr>
      </w:pPr>
      <w:r w:rsidRPr="004930C2">
        <w:rPr>
          <w:b/>
          <w:color w:val="000000" w:themeColor="text1"/>
          <w:sz w:val="20"/>
        </w:rPr>
        <w:t>3.1 Properties of biomass feedstocks and</w:t>
      </w:r>
      <w:r w:rsidR="00DB1405" w:rsidRPr="004930C2">
        <w:rPr>
          <w:b/>
          <w:color w:val="000000" w:themeColor="text1"/>
          <w:sz w:val="20"/>
        </w:rPr>
        <w:t xml:space="preserve"> </w:t>
      </w:r>
      <w:r w:rsidRPr="004930C2">
        <w:rPr>
          <w:b/>
          <w:color w:val="000000" w:themeColor="text1"/>
          <w:sz w:val="20"/>
        </w:rPr>
        <w:t>biochar</w:t>
      </w:r>
    </w:p>
    <w:p w14:paraId="01234DB3" w14:textId="23CF4B09" w:rsidR="00352F13" w:rsidRPr="004930C2" w:rsidRDefault="008947EF" w:rsidP="00330D39">
      <w:pPr>
        <w:spacing w:line="480" w:lineRule="auto"/>
        <w:rPr>
          <w:b/>
          <w:color w:val="000000" w:themeColor="text1"/>
          <w:sz w:val="20"/>
        </w:rPr>
      </w:pPr>
      <w:r w:rsidRPr="004930C2">
        <w:rPr>
          <w:color w:val="000000" w:themeColor="text1"/>
          <w:sz w:val="20"/>
        </w:rPr>
        <w:t>The p</w:t>
      </w:r>
      <w:r w:rsidR="00E40D4F" w:rsidRPr="004930C2">
        <w:rPr>
          <w:color w:val="000000" w:themeColor="text1"/>
          <w:sz w:val="20"/>
        </w:rPr>
        <w:t xml:space="preserve">hysical and chemical properties of biomass feedstocks and biochar </w:t>
      </w:r>
      <w:r w:rsidRPr="004930C2">
        <w:rPr>
          <w:color w:val="000000" w:themeColor="text1"/>
          <w:sz w:val="20"/>
        </w:rPr>
        <w:t>are</w:t>
      </w:r>
      <w:r w:rsidR="00E40D4F" w:rsidRPr="004930C2">
        <w:rPr>
          <w:color w:val="000000" w:themeColor="text1"/>
          <w:sz w:val="20"/>
        </w:rPr>
        <w:t xml:space="preserve"> summarized in Table 2. </w:t>
      </w:r>
      <w:r w:rsidRPr="004930C2">
        <w:rPr>
          <w:color w:val="000000" w:themeColor="text1"/>
          <w:sz w:val="20"/>
        </w:rPr>
        <w:t>The c</w:t>
      </w:r>
      <w:r w:rsidR="00E40D4F" w:rsidRPr="004930C2">
        <w:rPr>
          <w:color w:val="000000" w:themeColor="text1"/>
          <w:sz w:val="20"/>
        </w:rPr>
        <w:t>arbon content of WD and WD</w:t>
      </w:r>
      <w:r w:rsidR="00E40D4F" w:rsidRPr="004930C2">
        <w:rPr>
          <w:color w:val="000000" w:themeColor="text1"/>
          <w:sz w:val="20"/>
          <w:vertAlign w:val="subscript"/>
        </w:rPr>
        <w:t>BC</w:t>
      </w:r>
      <w:r w:rsidR="00E40D4F" w:rsidRPr="004930C2">
        <w:rPr>
          <w:color w:val="000000" w:themeColor="text1"/>
          <w:sz w:val="20"/>
        </w:rPr>
        <w:t xml:space="preserve"> </w:t>
      </w:r>
      <w:r w:rsidR="007B776F" w:rsidRPr="004930C2">
        <w:rPr>
          <w:color w:val="000000" w:themeColor="text1"/>
          <w:sz w:val="20"/>
        </w:rPr>
        <w:t xml:space="preserve">was </w:t>
      </w:r>
      <w:r w:rsidR="00E40D4F" w:rsidRPr="004930C2">
        <w:rPr>
          <w:color w:val="000000" w:themeColor="text1"/>
          <w:sz w:val="20"/>
        </w:rPr>
        <w:t>higher than that of DM and DM</w:t>
      </w:r>
      <w:r w:rsidR="00E40D4F" w:rsidRPr="004930C2">
        <w:rPr>
          <w:color w:val="000000" w:themeColor="text1"/>
          <w:sz w:val="20"/>
          <w:vertAlign w:val="subscript"/>
        </w:rPr>
        <w:t>BC</w:t>
      </w:r>
      <w:r w:rsidR="00E40D4F" w:rsidRPr="004930C2">
        <w:rPr>
          <w:color w:val="000000" w:themeColor="text1"/>
          <w:sz w:val="20"/>
        </w:rPr>
        <w:t xml:space="preserve">, increasing </w:t>
      </w:r>
      <w:r w:rsidRPr="004930C2">
        <w:rPr>
          <w:color w:val="000000" w:themeColor="text1"/>
          <w:sz w:val="20"/>
        </w:rPr>
        <w:t xml:space="preserve">with higher </w:t>
      </w:r>
      <w:r w:rsidR="00E40D4F" w:rsidRPr="004930C2">
        <w:rPr>
          <w:color w:val="000000" w:themeColor="text1"/>
          <w:sz w:val="20"/>
        </w:rPr>
        <w:t>carbonization temperature. Nitrogen content was higher in DM and DM</w:t>
      </w:r>
      <w:r w:rsidR="00E40D4F" w:rsidRPr="004930C2">
        <w:rPr>
          <w:color w:val="000000" w:themeColor="text1"/>
          <w:sz w:val="20"/>
          <w:vertAlign w:val="subscript"/>
        </w:rPr>
        <w:t>BC</w:t>
      </w:r>
      <w:r w:rsidR="00E40D4F" w:rsidRPr="004930C2">
        <w:rPr>
          <w:color w:val="000000" w:themeColor="text1"/>
          <w:sz w:val="20"/>
        </w:rPr>
        <w:t xml:space="preserve"> </w:t>
      </w:r>
      <w:r w:rsidR="00884522" w:rsidRPr="004930C2">
        <w:rPr>
          <w:color w:val="000000" w:themeColor="text1"/>
          <w:sz w:val="20"/>
        </w:rPr>
        <w:t>than</w:t>
      </w:r>
      <w:r w:rsidR="00E40D4F" w:rsidRPr="004930C2">
        <w:rPr>
          <w:color w:val="000000" w:themeColor="text1"/>
          <w:sz w:val="20"/>
        </w:rPr>
        <w:t xml:space="preserve"> </w:t>
      </w:r>
      <w:r w:rsidR="00464C2C" w:rsidRPr="004930C2">
        <w:rPr>
          <w:color w:val="000000" w:themeColor="text1"/>
          <w:sz w:val="20"/>
        </w:rPr>
        <w:t xml:space="preserve">in </w:t>
      </w:r>
      <w:r w:rsidR="00E40D4F" w:rsidRPr="004930C2">
        <w:rPr>
          <w:color w:val="000000" w:themeColor="text1"/>
          <w:sz w:val="20"/>
        </w:rPr>
        <w:t>WD and WD</w:t>
      </w:r>
      <w:r w:rsidR="00E40D4F" w:rsidRPr="004930C2">
        <w:rPr>
          <w:color w:val="000000" w:themeColor="text1"/>
          <w:sz w:val="20"/>
          <w:vertAlign w:val="subscript"/>
        </w:rPr>
        <w:t>BC</w:t>
      </w:r>
      <w:r w:rsidR="00E40D4F" w:rsidRPr="004930C2">
        <w:rPr>
          <w:color w:val="000000" w:themeColor="text1"/>
          <w:sz w:val="20"/>
        </w:rPr>
        <w:t>. DM</w:t>
      </w:r>
      <w:r w:rsidR="00E40D4F" w:rsidRPr="004930C2">
        <w:rPr>
          <w:color w:val="000000" w:themeColor="text1"/>
          <w:sz w:val="20"/>
          <w:vertAlign w:val="subscript"/>
        </w:rPr>
        <w:t>BC</w:t>
      </w:r>
      <w:r w:rsidR="00E40D4F" w:rsidRPr="004930C2">
        <w:rPr>
          <w:color w:val="000000" w:themeColor="text1"/>
          <w:sz w:val="20"/>
        </w:rPr>
        <w:t xml:space="preserve"> </w:t>
      </w:r>
      <w:r w:rsidRPr="004930C2">
        <w:rPr>
          <w:color w:val="000000" w:themeColor="text1"/>
          <w:sz w:val="20"/>
        </w:rPr>
        <w:t>showed</w:t>
      </w:r>
      <w:r w:rsidR="00E40D4F" w:rsidRPr="004930C2">
        <w:rPr>
          <w:color w:val="000000" w:themeColor="text1"/>
          <w:sz w:val="20"/>
        </w:rPr>
        <w:t xml:space="preserve"> higher nitrogen content than raw DM</w:t>
      </w:r>
      <w:r w:rsidRPr="004930C2">
        <w:rPr>
          <w:color w:val="000000" w:themeColor="text1"/>
          <w:sz w:val="20"/>
        </w:rPr>
        <w:t>,</w:t>
      </w:r>
      <w:r w:rsidR="00E40D4F" w:rsidRPr="004930C2">
        <w:rPr>
          <w:color w:val="000000" w:themeColor="text1"/>
          <w:sz w:val="20"/>
        </w:rPr>
        <w:t xml:space="preserve"> </w:t>
      </w:r>
      <w:r w:rsidRPr="004930C2">
        <w:rPr>
          <w:color w:val="000000" w:themeColor="text1"/>
          <w:sz w:val="20"/>
        </w:rPr>
        <w:t>due to</w:t>
      </w:r>
      <w:r w:rsidR="00E40D4F" w:rsidRPr="004930C2">
        <w:rPr>
          <w:color w:val="000000" w:themeColor="text1"/>
          <w:sz w:val="20"/>
        </w:rPr>
        <w:t xml:space="preserve"> larger organic matter volatilization than nitrogen volatilization during carbonization. On the other hand, </w:t>
      </w:r>
      <w:r w:rsidRPr="004930C2">
        <w:rPr>
          <w:color w:val="000000" w:themeColor="text1"/>
          <w:sz w:val="20"/>
        </w:rPr>
        <w:t xml:space="preserve">the </w:t>
      </w:r>
      <w:r w:rsidR="00E40D4F" w:rsidRPr="004930C2">
        <w:rPr>
          <w:color w:val="000000" w:themeColor="text1"/>
          <w:sz w:val="20"/>
        </w:rPr>
        <w:t>nitrogen content of DM</w:t>
      </w:r>
      <w:r w:rsidR="00E40D4F" w:rsidRPr="004930C2">
        <w:rPr>
          <w:color w:val="000000" w:themeColor="text1"/>
          <w:sz w:val="20"/>
          <w:vertAlign w:val="subscript"/>
        </w:rPr>
        <w:t>BC</w:t>
      </w:r>
      <w:r w:rsidR="00E40D4F" w:rsidRPr="004930C2">
        <w:rPr>
          <w:color w:val="000000" w:themeColor="text1"/>
          <w:sz w:val="20"/>
        </w:rPr>
        <w:t xml:space="preserve"> decreased with </w:t>
      </w:r>
      <w:r w:rsidR="00884522" w:rsidRPr="004930C2">
        <w:rPr>
          <w:color w:val="000000" w:themeColor="text1"/>
          <w:sz w:val="20"/>
        </w:rPr>
        <w:t xml:space="preserve">the </w:t>
      </w:r>
      <w:r w:rsidRPr="004930C2">
        <w:rPr>
          <w:color w:val="000000" w:themeColor="text1"/>
          <w:sz w:val="20"/>
        </w:rPr>
        <w:t>higher</w:t>
      </w:r>
      <w:r w:rsidR="00E40D4F" w:rsidRPr="004930C2">
        <w:rPr>
          <w:color w:val="000000" w:themeColor="text1"/>
          <w:sz w:val="20"/>
        </w:rPr>
        <w:t xml:space="preserve"> carbonization temperature</w:t>
      </w:r>
      <w:r w:rsidRPr="004930C2">
        <w:rPr>
          <w:color w:val="000000" w:themeColor="text1"/>
          <w:sz w:val="20"/>
        </w:rPr>
        <w:t>, due to</w:t>
      </w:r>
      <w:r w:rsidR="00E40D4F" w:rsidRPr="004930C2">
        <w:rPr>
          <w:color w:val="000000" w:themeColor="text1"/>
          <w:sz w:val="20"/>
        </w:rPr>
        <w:t xml:space="preserve"> active nitrogen volatilization </w:t>
      </w:r>
      <w:r w:rsidRPr="004930C2">
        <w:rPr>
          <w:color w:val="000000" w:themeColor="text1"/>
          <w:sz w:val="20"/>
        </w:rPr>
        <w:t>at high</w:t>
      </w:r>
      <w:r w:rsidR="00E40D4F" w:rsidRPr="004930C2">
        <w:rPr>
          <w:color w:val="000000" w:themeColor="text1"/>
          <w:sz w:val="20"/>
        </w:rPr>
        <w:t xml:space="preserve"> temperatures. </w:t>
      </w:r>
      <w:r w:rsidRPr="004930C2">
        <w:rPr>
          <w:color w:val="000000" w:themeColor="text1"/>
          <w:sz w:val="20"/>
        </w:rPr>
        <w:t>I</w:t>
      </w:r>
      <w:r w:rsidR="00E40D4F" w:rsidRPr="004930C2">
        <w:rPr>
          <w:color w:val="000000" w:themeColor="text1"/>
          <w:sz w:val="20"/>
        </w:rPr>
        <w:t xml:space="preserve">norganic elemental content and ash content were </w:t>
      </w:r>
      <w:r w:rsidRPr="004930C2">
        <w:rPr>
          <w:color w:val="000000" w:themeColor="text1"/>
          <w:sz w:val="20"/>
        </w:rPr>
        <w:t xml:space="preserve">both </w:t>
      </w:r>
      <w:r w:rsidR="00884522" w:rsidRPr="004930C2">
        <w:rPr>
          <w:color w:val="000000" w:themeColor="text1"/>
          <w:sz w:val="20"/>
        </w:rPr>
        <w:t>higher</w:t>
      </w:r>
      <w:r w:rsidR="00E40D4F" w:rsidRPr="004930C2">
        <w:rPr>
          <w:color w:val="000000" w:themeColor="text1"/>
          <w:sz w:val="20"/>
        </w:rPr>
        <w:t xml:space="preserve"> in D</w:t>
      </w:r>
      <w:r w:rsidR="00884522" w:rsidRPr="004930C2">
        <w:rPr>
          <w:color w:val="000000" w:themeColor="text1"/>
          <w:sz w:val="20"/>
        </w:rPr>
        <w:t>M</w:t>
      </w:r>
      <w:r w:rsidR="00E40D4F" w:rsidRPr="004930C2">
        <w:rPr>
          <w:color w:val="000000" w:themeColor="text1"/>
          <w:sz w:val="20"/>
        </w:rPr>
        <w:t xml:space="preserve"> and D</w:t>
      </w:r>
      <w:r w:rsidR="00884522" w:rsidRPr="004930C2">
        <w:rPr>
          <w:color w:val="000000" w:themeColor="text1"/>
          <w:sz w:val="20"/>
        </w:rPr>
        <w:t>M</w:t>
      </w:r>
      <w:r w:rsidR="00E40D4F" w:rsidRPr="004930C2">
        <w:rPr>
          <w:color w:val="000000" w:themeColor="text1"/>
          <w:sz w:val="20"/>
          <w:vertAlign w:val="subscript"/>
        </w:rPr>
        <w:t>BC</w:t>
      </w:r>
      <w:r w:rsidR="00E40D4F" w:rsidRPr="004930C2">
        <w:rPr>
          <w:color w:val="000000" w:themeColor="text1"/>
          <w:sz w:val="20"/>
        </w:rPr>
        <w:t xml:space="preserve"> </w:t>
      </w:r>
      <w:r w:rsidR="00884522" w:rsidRPr="004930C2">
        <w:rPr>
          <w:color w:val="000000" w:themeColor="text1"/>
          <w:sz w:val="20"/>
        </w:rPr>
        <w:t>than</w:t>
      </w:r>
      <w:r w:rsidR="00E40D4F" w:rsidRPr="004930C2">
        <w:rPr>
          <w:color w:val="000000" w:themeColor="text1"/>
          <w:sz w:val="20"/>
        </w:rPr>
        <w:t xml:space="preserve"> </w:t>
      </w:r>
      <w:r w:rsidR="00464C2C" w:rsidRPr="004930C2">
        <w:rPr>
          <w:color w:val="000000" w:themeColor="text1"/>
          <w:sz w:val="20"/>
        </w:rPr>
        <w:t xml:space="preserve">in </w:t>
      </w:r>
      <w:r w:rsidR="00884522" w:rsidRPr="004930C2">
        <w:rPr>
          <w:color w:val="000000" w:themeColor="text1"/>
          <w:sz w:val="20"/>
        </w:rPr>
        <w:t>W</w:t>
      </w:r>
      <w:r w:rsidR="00E40D4F" w:rsidRPr="004930C2">
        <w:rPr>
          <w:color w:val="000000" w:themeColor="text1"/>
          <w:sz w:val="20"/>
        </w:rPr>
        <w:t xml:space="preserve">D and </w:t>
      </w:r>
      <w:r w:rsidR="00884522" w:rsidRPr="004930C2">
        <w:rPr>
          <w:color w:val="000000" w:themeColor="text1"/>
          <w:sz w:val="20"/>
        </w:rPr>
        <w:t>W</w:t>
      </w:r>
      <w:r w:rsidR="00E40D4F" w:rsidRPr="004930C2">
        <w:rPr>
          <w:color w:val="000000" w:themeColor="text1"/>
          <w:sz w:val="20"/>
        </w:rPr>
        <w:t>D</w:t>
      </w:r>
      <w:r w:rsidR="00E40D4F" w:rsidRPr="004930C2">
        <w:rPr>
          <w:color w:val="000000" w:themeColor="text1"/>
          <w:sz w:val="20"/>
          <w:vertAlign w:val="subscript"/>
        </w:rPr>
        <w:t>BC</w:t>
      </w:r>
      <w:r w:rsidR="00E40D4F" w:rsidRPr="004930C2">
        <w:rPr>
          <w:color w:val="000000" w:themeColor="text1"/>
          <w:sz w:val="20"/>
        </w:rPr>
        <w:t xml:space="preserve">. They became higher with increasing carbonization temperature due to the reduction of organic matter by volatilization. The pH values were </w:t>
      </w:r>
      <w:r w:rsidRPr="004930C2">
        <w:rPr>
          <w:color w:val="000000" w:themeColor="text1"/>
          <w:sz w:val="20"/>
        </w:rPr>
        <w:t>higher</w:t>
      </w:r>
      <w:r w:rsidR="00E40D4F" w:rsidRPr="004930C2">
        <w:rPr>
          <w:color w:val="000000" w:themeColor="text1"/>
          <w:sz w:val="20"/>
        </w:rPr>
        <w:t xml:space="preserve"> in </w:t>
      </w:r>
      <w:r w:rsidRPr="004930C2">
        <w:rPr>
          <w:color w:val="000000" w:themeColor="text1"/>
          <w:sz w:val="20"/>
        </w:rPr>
        <w:t>DM and DM</w:t>
      </w:r>
      <w:r w:rsidRPr="004930C2">
        <w:rPr>
          <w:color w:val="000000" w:themeColor="text1"/>
          <w:sz w:val="20"/>
          <w:vertAlign w:val="subscript"/>
        </w:rPr>
        <w:t>BC</w:t>
      </w:r>
      <w:r w:rsidRPr="004930C2">
        <w:rPr>
          <w:color w:val="000000" w:themeColor="text1"/>
          <w:sz w:val="20"/>
        </w:rPr>
        <w:t xml:space="preserve"> than </w:t>
      </w:r>
      <w:r w:rsidR="00122D02" w:rsidRPr="004930C2">
        <w:rPr>
          <w:color w:val="000000" w:themeColor="text1"/>
          <w:sz w:val="20"/>
        </w:rPr>
        <w:t xml:space="preserve">in </w:t>
      </w:r>
      <w:r w:rsidR="00E40D4F" w:rsidRPr="004930C2">
        <w:rPr>
          <w:color w:val="000000" w:themeColor="text1"/>
          <w:sz w:val="20"/>
        </w:rPr>
        <w:t>WD and WD</w:t>
      </w:r>
      <w:r w:rsidR="00E40D4F" w:rsidRPr="004930C2">
        <w:rPr>
          <w:color w:val="000000" w:themeColor="text1"/>
          <w:sz w:val="20"/>
          <w:vertAlign w:val="subscript"/>
        </w:rPr>
        <w:t>BC</w:t>
      </w:r>
      <w:r w:rsidRPr="004930C2">
        <w:rPr>
          <w:color w:val="000000" w:themeColor="text1"/>
          <w:sz w:val="20"/>
        </w:rPr>
        <w:t xml:space="preserve">, </w:t>
      </w:r>
      <w:r w:rsidR="00122D02" w:rsidRPr="004930C2">
        <w:rPr>
          <w:color w:val="000000" w:themeColor="text1"/>
          <w:sz w:val="20"/>
        </w:rPr>
        <w:t>and</w:t>
      </w:r>
      <w:r w:rsidRPr="004930C2">
        <w:rPr>
          <w:color w:val="000000" w:themeColor="text1"/>
          <w:sz w:val="20"/>
        </w:rPr>
        <w:t xml:space="preserve"> </w:t>
      </w:r>
      <w:r w:rsidR="009D3BAE" w:rsidRPr="004930C2">
        <w:rPr>
          <w:color w:val="000000" w:themeColor="text1"/>
          <w:sz w:val="20"/>
        </w:rPr>
        <w:t xml:space="preserve">the values </w:t>
      </w:r>
      <w:r w:rsidR="00E40D4F" w:rsidRPr="004930C2">
        <w:rPr>
          <w:color w:val="000000" w:themeColor="text1"/>
          <w:sz w:val="20"/>
        </w:rPr>
        <w:t>increas</w:t>
      </w:r>
      <w:r w:rsidRPr="004930C2">
        <w:rPr>
          <w:color w:val="000000" w:themeColor="text1"/>
          <w:sz w:val="20"/>
        </w:rPr>
        <w:t>ed with high</w:t>
      </w:r>
      <w:r w:rsidR="00E40D4F" w:rsidRPr="004930C2">
        <w:rPr>
          <w:color w:val="000000" w:themeColor="text1"/>
          <w:sz w:val="20"/>
        </w:rPr>
        <w:t xml:space="preserve"> carbonization temperature due to high ash content.</w:t>
      </w:r>
      <w:r w:rsidR="00FF246F" w:rsidRPr="004930C2">
        <w:rPr>
          <w:color w:val="000000" w:themeColor="text1"/>
          <w:sz w:val="20"/>
        </w:rPr>
        <w:t xml:space="preserve"> </w:t>
      </w:r>
      <w:r w:rsidR="00E40D4F" w:rsidRPr="004930C2">
        <w:rPr>
          <w:color w:val="000000" w:themeColor="text1"/>
          <w:sz w:val="20"/>
        </w:rPr>
        <w:t>SSA of DM</w:t>
      </w:r>
      <w:r w:rsidR="00E40D4F" w:rsidRPr="004930C2">
        <w:rPr>
          <w:color w:val="000000" w:themeColor="text1"/>
          <w:sz w:val="20"/>
          <w:vertAlign w:val="subscript"/>
        </w:rPr>
        <w:t>BC</w:t>
      </w:r>
      <w:r w:rsidR="00E40D4F" w:rsidRPr="004930C2">
        <w:rPr>
          <w:color w:val="000000" w:themeColor="text1"/>
          <w:sz w:val="20"/>
        </w:rPr>
        <w:t xml:space="preserve"> </w:t>
      </w:r>
      <w:r w:rsidRPr="004930C2">
        <w:rPr>
          <w:color w:val="000000" w:themeColor="text1"/>
          <w:sz w:val="20"/>
        </w:rPr>
        <w:t xml:space="preserve">increased </w:t>
      </w:r>
      <w:r w:rsidR="00BE21AA" w:rsidRPr="004930C2">
        <w:rPr>
          <w:color w:val="000000" w:themeColor="text1"/>
          <w:sz w:val="20"/>
        </w:rPr>
        <w:t xml:space="preserve">approximately </w:t>
      </w:r>
      <w:r w:rsidR="00CA1C25" w:rsidRPr="004930C2">
        <w:rPr>
          <w:color w:val="000000" w:themeColor="text1"/>
          <w:sz w:val="20"/>
        </w:rPr>
        <w:t>50</w:t>
      </w:r>
      <w:r w:rsidR="00E40D4F" w:rsidRPr="004930C2">
        <w:rPr>
          <w:color w:val="000000" w:themeColor="text1"/>
          <w:sz w:val="20"/>
        </w:rPr>
        <w:t xml:space="preserve">-fold at the carbonization temperature of </w:t>
      </w:r>
      <w:r w:rsidR="00CA1C25" w:rsidRPr="004930C2">
        <w:rPr>
          <w:color w:val="000000" w:themeColor="text1"/>
          <w:sz w:val="20"/>
        </w:rPr>
        <w:t>600</w:t>
      </w:r>
      <w:r w:rsidR="00E40D4F" w:rsidRPr="004930C2">
        <w:rPr>
          <w:color w:val="000000" w:themeColor="text1"/>
          <w:sz w:val="20"/>
        </w:rPr>
        <w:t>°C</w:t>
      </w:r>
      <w:r w:rsidR="00A51BD7" w:rsidRPr="004930C2">
        <w:rPr>
          <w:color w:val="000000" w:themeColor="text1"/>
          <w:sz w:val="20"/>
        </w:rPr>
        <w:t xml:space="preserve"> compared </w:t>
      </w:r>
      <w:r w:rsidR="00787F70" w:rsidRPr="004930C2">
        <w:rPr>
          <w:color w:val="000000" w:themeColor="text1"/>
          <w:sz w:val="20"/>
        </w:rPr>
        <w:t xml:space="preserve">with </w:t>
      </w:r>
      <w:r w:rsidR="00A51BD7" w:rsidRPr="004930C2">
        <w:rPr>
          <w:color w:val="000000" w:themeColor="text1"/>
          <w:sz w:val="20"/>
        </w:rPr>
        <w:t xml:space="preserve">that of </w:t>
      </w:r>
      <w:r w:rsidR="00F47177" w:rsidRPr="004930C2">
        <w:rPr>
          <w:color w:val="000000" w:themeColor="text1"/>
          <w:sz w:val="20"/>
        </w:rPr>
        <w:t>DM</w:t>
      </w:r>
      <w:r w:rsidR="00A51BD7" w:rsidRPr="004930C2">
        <w:rPr>
          <w:color w:val="000000" w:themeColor="text1"/>
          <w:sz w:val="20"/>
        </w:rPr>
        <w:t>,</w:t>
      </w:r>
      <w:r w:rsidR="00E40D4F" w:rsidRPr="004930C2">
        <w:rPr>
          <w:color w:val="000000" w:themeColor="text1"/>
          <w:sz w:val="20"/>
        </w:rPr>
        <w:t xml:space="preserve"> and </w:t>
      </w:r>
      <w:r w:rsidR="00F47177" w:rsidRPr="004930C2">
        <w:rPr>
          <w:color w:val="000000" w:themeColor="text1"/>
          <w:sz w:val="20"/>
        </w:rPr>
        <w:t>SSA</w:t>
      </w:r>
      <w:r w:rsidR="00E40D4F" w:rsidRPr="004930C2">
        <w:rPr>
          <w:color w:val="000000" w:themeColor="text1"/>
          <w:sz w:val="20"/>
        </w:rPr>
        <w:t xml:space="preserve"> of WD</w:t>
      </w:r>
      <w:r w:rsidR="00E40D4F" w:rsidRPr="004930C2">
        <w:rPr>
          <w:color w:val="000000" w:themeColor="text1"/>
          <w:sz w:val="20"/>
          <w:vertAlign w:val="subscript"/>
        </w:rPr>
        <w:t>BC</w:t>
      </w:r>
      <w:r w:rsidR="00E40D4F" w:rsidRPr="004930C2">
        <w:rPr>
          <w:color w:val="000000" w:themeColor="text1"/>
          <w:sz w:val="20"/>
        </w:rPr>
        <w:t xml:space="preserve"> </w:t>
      </w:r>
      <w:r w:rsidRPr="004930C2">
        <w:rPr>
          <w:color w:val="000000" w:themeColor="text1"/>
          <w:sz w:val="20"/>
        </w:rPr>
        <w:t>increased</w:t>
      </w:r>
      <w:r w:rsidR="00E40D4F" w:rsidRPr="004930C2">
        <w:rPr>
          <w:color w:val="000000" w:themeColor="text1"/>
          <w:sz w:val="20"/>
        </w:rPr>
        <w:t xml:space="preserve"> </w:t>
      </w:r>
      <w:r w:rsidR="00787F70" w:rsidRPr="004930C2">
        <w:rPr>
          <w:color w:val="000000" w:themeColor="text1"/>
          <w:sz w:val="20"/>
        </w:rPr>
        <w:t>approximately</w:t>
      </w:r>
      <w:r w:rsidR="00787F70" w:rsidRPr="004930C2" w:rsidDel="00787F70">
        <w:rPr>
          <w:color w:val="000000" w:themeColor="text1"/>
          <w:sz w:val="20"/>
        </w:rPr>
        <w:t xml:space="preserve"> </w:t>
      </w:r>
      <w:r w:rsidR="00CA1C25" w:rsidRPr="004930C2">
        <w:rPr>
          <w:color w:val="000000" w:themeColor="text1"/>
          <w:sz w:val="20"/>
        </w:rPr>
        <w:t>120</w:t>
      </w:r>
      <w:r w:rsidR="00E40D4F" w:rsidRPr="004930C2">
        <w:rPr>
          <w:color w:val="000000" w:themeColor="text1"/>
          <w:sz w:val="20"/>
        </w:rPr>
        <w:t>-fold at 600°C</w:t>
      </w:r>
      <w:r w:rsidR="00A51BD7" w:rsidRPr="004930C2">
        <w:rPr>
          <w:color w:val="000000" w:themeColor="text1"/>
          <w:sz w:val="20"/>
        </w:rPr>
        <w:t xml:space="preserve"> compared </w:t>
      </w:r>
      <w:r w:rsidR="00787F70" w:rsidRPr="004930C2">
        <w:rPr>
          <w:color w:val="000000" w:themeColor="text1"/>
          <w:sz w:val="20"/>
        </w:rPr>
        <w:t>with</w:t>
      </w:r>
      <w:r w:rsidR="00096136" w:rsidRPr="004930C2">
        <w:rPr>
          <w:color w:val="000000" w:themeColor="text1"/>
          <w:sz w:val="20"/>
        </w:rPr>
        <w:t xml:space="preserve"> </w:t>
      </w:r>
      <w:r w:rsidR="00F47177" w:rsidRPr="004930C2">
        <w:rPr>
          <w:color w:val="000000" w:themeColor="text1"/>
          <w:sz w:val="20"/>
        </w:rPr>
        <w:t>that</w:t>
      </w:r>
      <w:r w:rsidR="00A51BD7" w:rsidRPr="004930C2">
        <w:rPr>
          <w:color w:val="000000" w:themeColor="text1"/>
          <w:sz w:val="20"/>
        </w:rPr>
        <w:t xml:space="preserve"> of </w:t>
      </w:r>
      <w:r w:rsidR="00F47177" w:rsidRPr="004930C2">
        <w:rPr>
          <w:color w:val="000000" w:themeColor="text1"/>
          <w:sz w:val="20"/>
        </w:rPr>
        <w:t>WD</w:t>
      </w:r>
      <w:r w:rsidR="00E40D4F" w:rsidRPr="004930C2">
        <w:rPr>
          <w:color w:val="000000" w:themeColor="text1"/>
          <w:sz w:val="20"/>
        </w:rPr>
        <w:t xml:space="preserve">. </w:t>
      </w:r>
      <w:r w:rsidR="00CA1C25" w:rsidRPr="004930C2">
        <w:rPr>
          <w:color w:val="000000" w:themeColor="text1"/>
          <w:sz w:val="20"/>
        </w:rPr>
        <w:t xml:space="preserve">The similar trend of </w:t>
      </w:r>
      <w:r w:rsidR="007B776F" w:rsidRPr="004930C2">
        <w:rPr>
          <w:color w:val="000000" w:themeColor="text1"/>
          <w:sz w:val="20"/>
        </w:rPr>
        <w:t xml:space="preserve">a </w:t>
      </w:r>
      <w:r w:rsidR="00CA1C25" w:rsidRPr="004930C2">
        <w:rPr>
          <w:color w:val="000000" w:themeColor="text1"/>
          <w:sz w:val="20"/>
        </w:rPr>
        <w:t xml:space="preserve">sudden increase in SSA at higher carbonization temperatures was also reported in previous </w:t>
      </w:r>
      <w:r w:rsidR="00CA1C25" w:rsidRPr="004930C2">
        <w:rPr>
          <w:color w:val="000000" w:themeColor="text1"/>
          <w:sz w:val="20"/>
        </w:rPr>
        <w:lastRenderedPageBreak/>
        <w:t xml:space="preserve">studies: the SSA of plant-based biochar tends to increase suddenly at </w:t>
      </w:r>
      <w:r w:rsidR="00C01A1E" w:rsidRPr="004930C2">
        <w:rPr>
          <w:color w:val="000000" w:themeColor="text1"/>
          <w:sz w:val="20"/>
        </w:rPr>
        <w:t>approximately</w:t>
      </w:r>
      <w:r w:rsidR="00CA1C25" w:rsidRPr="004930C2">
        <w:rPr>
          <w:color w:val="000000" w:themeColor="text1"/>
          <w:sz w:val="20"/>
        </w:rPr>
        <w:t xml:space="preserve"> 500°C because of the active removal of volatile matter deposited in pore</w:t>
      </w:r>
      <w:r w:rsidR="00096136" w:rsidRPr="004930C2">
        <w:rPr>
          <w:color w:val="000000" w:themeColor="text1"/>
          <w:sz w:val="20"/>
        </w:rPr>
        <w:t>s</w:t>
      </w:r>
      <w:r w:rsidR="00CA1C25" w:rsidRPr="004930C2">
        <w:rPr>
          <w:color w:val="000000" w:themeColor="text1"/>
          <w:sz w:val="20"/>
        </w:rPr>
        <w:t xml:space="preserve"> during carbonization (Xiao et al. 2018) and </w:t>
      </w:r>
      <w:r w:rsidR="00CA1C25" w:rsidRPr="00634126">
        <w:rPr>
          <w:iCs/>
          <w:color w:val="000000" w:themeColor="text1"/>
          <w:sz w:val="20"/>
        </w:rPr>
        <w:t>Zhang</w:t>
      </w:r>
      <w:r w:rsidR="00CA1C25" w:rsidRPr="004930C2">
        <w:rPr>
          <w:color w:val="000000" w:themeColor="text1"/>
          <w:sz w:val="20"/>
        </w:rPr>
        <w:t xml:space="preserve"> et al. (2018) observed that the SSA of manure-based biochar suddenly increased </w:t>
      </w:r>
      <w:r w:rsidR="00096136" w:rsidRPr="004930C2">
        <w:rPr>
          <w:color w:val="000000" w:themeColor="text1"/>
          <w:sz w:val="20"/>
        </w:rPr>
        <w:t xml:space="preserve">to </w:t>
      </w:r>
      <w:r w:rsidR="00CA1C25" w:rsidRPr="004930C2">
        <w:rPr>
          <w:color w:val="000000" w:themeColor="text1"/>
          <w:sz w:val="20"/>
        </w:rPr>
        <w:t xml:space="preserve">more than 500°C due to the significant increase </w:t>
      </w:r>
      <w:r w:rsidR="00096136" w:rsidRPr="004930C2">
        <w:rPr>
          <w:color w:val="000000" w:themeColor="text1"/>
          <w:sz w:val="20"/>
        </w:rPr>
        <w:t>in</w:t>
      </w:r>
      <w:r w:rsidR="00CA1C25" w:rsidRPr="004930C2">
        <w:rPr>
          <w:color w:val="000000" w:themeColor="text1"/>
          <w:sz w:val="20"/>
        </w:rPr>
        <w:t xml:space="preserve"> volatile release. </w:t>
      </w:r>
      <w:r w:rsidR="00704B58" w:rsidRPr="004930C2">
        <w:rPr>
          <w:color w:val="000000" w:themeColor="text1"/>
          <w:sz w:val="20"/>
        </w:rPr>
        <w:t xml:space="preserve">The </w:t>
      </w:r>
      <w:r w:rsidR="00464C2C" w:rsidRPr="004930C2">
        <w:rPr>
          <w:color w:val="000000" w:themeColor="text1"/>
          <w:sz w:val="20"/>
        </w:rPr>
        <w:t xml:space="preserve">APS </w:t>
      </w:r>
      <w:r w:rsidR="00704B58" w:rsidRPr="004930C2">
        <w:rPr>
          <w:color w:val="000000" w:themeColor="text1"/>
          <w:sz w:val="20"/>
        </w:rPr>
        <w:t>tended to decrease with increasing temperature</w:t>
      </w:r>
      <w:r w:rsidR="00096136" w:rsidRPr="004930C2">
        <w:rPr>
          <w:color w:val="000000" w:themeColor="text1"/>
          <w:sz w:val="20"/>
        </w:rPr>
        <w:t>,</w:t>
      </w:r>
      <w:r w:rsidR="00704B58" w:rsidRPr="004930C2">
        <w:rPr>
          <w:color w:val="000000" w:themeColor="text1"/>
          <w:sz w:val="20"/>
        </w:rPr>
        <w:t xml:space="preserve"> and </w:t>
      </w:r>
      <w:r w:rsidR="00096136" w:rsidRPr="004930C2">
        <w:rPr>
          <w:color w:val="000000" w:themeColor="text1"/>
          <w:sz w:val="20"/>
        </w:rPr>
        <w:t>the AP</w:t>
      </w:r>
      <w:r w:rsidR="005B01AB" w:rsidRPr="004930C2">
        <w:rPr>
          <w:color w:val="000000" w:themeColor="text1"/>
          <w:sz w:val="20"/>
        </w:rPr>
        <w:t>S</w:t>
      </w:r>
      <w:r w:rsidR="00096136" w:rsidRPr="004930C2">
        <w:rPr>
          <w:color w:val="000000" w:themeColor="text1"/>
          <w:sz w:val="20"/>
        </w:rPr>
        <w:t xml:space="preserve"> </w:t>
      </w:r>
      <w:r w:rsidR="00704B58" w:rsidRPr="004930C2">
        <w:rPr>
          <w:color w:val="000000" w:themeColor="text1"/>
          <w:sz w:val="20"/>
        </w:rPr>
        <w:t xml:space="preserve">of </w:t>
      </w:r>
      <w:r w:rsidR="00464C2C" w:rsidRPr="004930C2">
        <w:rPr>
          <w:color w:val="000000" w:themeColor="text1"/>
          <w:sz w:val="20"/>
        </w:rPr>
        <w:t>DM</w:t>
      </w:r>
      <w:r w:rsidR="00464C2C" w:rsidRPr="004930C2">
        <w:rPr>
          <w:color w:val="000000" w:themeColor="text1"/>
          <w:sz w:val="20"/>
          <w:vertAlign w:val="subscript"/>
        </w:rPr>
        <w:t>BC</w:t>
      </w:r>
      <w:r w:rsidR="00464C2C" w:rsidRPr="004930C2">
        <w:rPr>
          <w:color w:val="000000" w:themeColor="text1"/>
          <w:sz w:val="20"/>
        </w:rPr>
        <w:t xml:space="preserve"> </w:t>
      </w:r>
      <w:r w:rsidR="00704B58" w:rsidRPr="004930C2">
        <w:rPr>
          <w:color w:val="000000" w:themeColor="text1"/>
          <w:sz w:val="20"/>
        </w:rPr>
        <w:t xml:space="preserve">was larger </w:t>
      </w:r>
      <w:r w:rsidR="00464C2C" w:rsidRPr="004930C2">
        <w:rPr>
          <w:color w:val="000000" w:themeColor="text1"/>
          <w:sz w:val="20"/>
        </w:rPr>
        <w:t xml:space="preserve">than </w:t>
      </w:r>
      <w:r w:rsidR="00704B58" w:rsidRPr="004930C2">
        <w:rPr>
          <w:color w:val="000000" w:themeColor="text1"/>
          <w:sz w:val="20"/>
        </w:rPr>
        <w:t>that of</w:t>
      </w:r>
      <w:r w:rsidR="00464C2C" w:rsidRPr="004930C2">
        <w:rPr>
          <w:color w:val="000000" w:themeColor="text1"/>
          <w:sz w:val="20"/>
        </w:rPr>
        <w:t xml:space="preserve"> WD</w:t>
      </w:r>
      <w:r w:rsidR="00464C2C" w:rsidRPr="004930C2">
        <w:rPr>
          <w:color w:val="000000" w:themeColor="text1"/>
          <w:sz w:val="20"/>
          <w:vertAlign w:val="subscript"/>
        </w:rPr>
        <w:t>BC</w:t>
      </w:r>
      <w:r w:rsidR="00464C2C" w:rsidRPr="004930C2">
        <w:rPr>
          <w:color w:val="000000" w:themeColor="text1"/>
          <w:sz w:val="20"/>
        </w:rPr>
        <w:t>.</w:t>
      </w:r>
    </w:p>
    <w:p w14:paraId="143E28D3" w14:textId="77777777" w:rsidR="00954E7E" w:rsidRPr="004930C2" w:rsidRDefault="00954E7E" w:rsidP="00330D39">
      <w:pPr>
        <w:spacing w:line="480" w:lineRule="auto"/>
        <w:rPr>
          <w:color w:val="000000" w:themeColor="text1"/>
          <w:sz w:val="20"/>
        </w:rPr>
      </w:pPr>
    </w:p>
    <w:p w14:paraId="08DACF37" w14:textId="5237515E" w:rsidR="002F3249" w:rsidRPr="004930C2" w:rsidRDefault="002F3249" w:rsidP="00330D39">
      <w:pPr>
        <w:spacing w:line="480" w:lineRule="auto"/>
        <w:rPr>
          <w:b/>
          <w:color w:val="000000" w:themeColor="text1"/>
          <w:sz w:val="20"/>
        </w:rPr>
      </w:pPr>
      <w:r w:rsidRPr="004930C2">
        <w:rPr>
          <w:rFonts w:hint="eastAsia"/>
          <w:b/>
          <w:color w:val="000000" w:themeColor="text1"/>
          <w:sz w:val="20"/>
        </w:rPr>
        <w:t>3</w:t>
      </w:r>
      <w:r w:rsidRPr="004930C2">
        <w:rPr>
          <w:b/>
          <w:color w:val="000000" w:themeColor="text1"/>
          <w:sz w:val="20"/>
        </w:rPr>
        <w:t>.2 Biomass production of oat plant</w:t>
      </w:r>
    </w:p>
    <w:p w14:paraId="30665C6D" w14:textId="002BB734" w:rsidR="003913A1" w:rsidRPr="004930C2" w:rsidRDefault="007B776F" w:rsidP="00330D39">
      <w:pPr>
        <w:spacing w:line="480" w:lineRule="auto"/>
        <w:rPr>
          <w:color w:val="000000" w:themeColor="text1"/>
          <w:sz w:val="20"/>
        </w:rPr>
      </w:pPr>
      <w:r w:rsidRPr="004930C2">
        <w:rPr>
          <w:color w:val="000000" w:themeColor="text1"/>
          <w:sz w:val="20"/>
        </w:rPr>
        <w:t>The b</w:t>
      </w:r>
      <w:r w:rsidR="00C24FEB" w:rsidRPr="004930C2">
        <w:rPr>
          <w:color w:val="000000" w:themeColor="text1"/>
          <w:sz w:val="20"/>
        </w:rPr>
        <w:t xml:space="preserve">iomass production of </w:t>
      </w:r>
      <w:r w:rsidRPr="004930C2">
        <w:rPr>
          <w:color w:val="000000" w:themeColor="text1"/>
          <w:sz w:val="20"/>
        </w:rPr>
        <w:t xml:space="preserve">the </w:t>
      </w:r>
      <w:r w:rsidR="00C24FEB" w:rsidRPr="004930C2">
        <w:rPr>
          <w:color w:val="000000" w:themeColor="text1"/>
          <w:sz w:val="20"/>
        </w:rPr>
        <w:t>oat plant is shown in Fi</w:t>
      </w:r>
      <w:r w:rsidR="007E2F1F">
        <w:rPr>
          <w:color w:val="000000" w:themeColor="text1"/>
          <w:sz w:val="20"/>
        </w:rPr>
        <w:t>g.</w:t>
      </w:r>
      <w:r w:rsidR="00C24FEB" w:rsidRPr="004930C2">
        <w:rPr>
          <w:color w:val="000000" w:themeColor="text1"/>
          <w:sz w:val="20"/>
        </w:rPr>
        <w:t xml:space="preserve"> 1.</w:t>
      </w:r>
      <w:r w:rsidR="00342B3E" w:rsidRPr="004930C2">
        <w:rPr>
          <w:color w:val="000000" w:themeColor="text1"/>
          <w:sz w:val="20"/>
        </w:rPr>
        <w:t xml:space="preserve"> </w:t>
      </w:r>
      <w:r w:rsidR="00981DC1" w:rsidRPr="004930C2">
        <w:rPr>
          <w:color w:val="000000" w:themeColor="text1"/>
          <w:sz w:val="20"/>
        </w:rPr>
        <w:t>Although a</w:t>
      </w:r>
      <w:r w:rsidR="00342B3E" w:rsidRPr="004930C2">
        <w:rPr>
          <w:color w:val="000000" w:themeColor="text1"/>
          <w:sz w:val="20"/>
        </w:rPr>
        <w:t xml:space="preserve">ll biochar-compost </w:t>
      </w:r>
      <w:r w:rsidR="004249AF" w:rsidRPr="004930C2">
        <w:rPr>
          <w:color w:val="000000" w:themeColor="text1"/>
          <w:sz w:val="20"/>
        </w:rPr>
        <w:t>treatments</w:t>
      </w:r>
      <w:r w:rsidR="00342B3E" w:rsidRPr="004930C2">
        <w:rPr>
          <w:color w:val="000000" w:themeColor="text1"/>
          <w:sz w:val="20"/>
        </w:rPr>
        <w:t xml:space="preserve"> (II</w:t>
      </w:r>
      <w:r w:rsidR="005019AA" w:rsidRPr="004930C2">
        <w:rPr>
          <w:color w:val="000000" w:themeColor="text1"/>
          <w:sz w:val="20"/>
        </w:rPr>
        <w:t>–</w:t>
      </w:r>
      <w:r w:rsidR="00342B3E" w:rsidRPr="004930C2">
        <w:rPr>
          <w:color w:val="000000" w:themeColor="text1"/>
          <w:sz w:val="20"/>
        </w:rPr>
        <w:t xml:space="preserve">VII) increased </w:t>
      </w:r>
      <w:r w:rsidR="00C24FEB" w:rsidRPr="004930C2">
        <w:rPr>
          <w:color w:val="000000" w:themeColor="text1"/>
          <w:sz w:val="20"/>
        </w:rPr>
        <w:t xml:space="preserve">biomass production </w:t>
      </w:r>
      <w:r w:rsidR="00342B3E" w:rsidRPr="004930C2">
        <w:rPr>
          <w:color w:val="000000" w:themeColor="text1"/>
          <w:sz w:val="20"/>
        </w:rPr>
        <w:t xml:space="preserve">by </w:t>
      </w:r>
      <w:r w:rsidR="00C24FEB" w:rsidRPr="004930C2">
        <w:rPr>
          <w:color w:val="000000" w:themeColor="text1"/>
          <w:sz w:val="20"/>
        </w:rPr>
        <w:t xml:space="preserve">13.1%–64.2% compared </w:t>
      </w:r>
      <w:r w:rsidR="005019AA" w:rsidRPr="004930C2">
        <w:rPr>
          <w:color w:val="000000" w:themeColor="text1"/>
          <w:sz w:val="20"/>
        </w:rPr>
        <w:t>with</w:t>
      </w:r>
      <w:r w:rsidR="00C24FEB" w:rsidRPr="004930C2">
        <w:rPr>
          <w:color w:val="000000" w:themeColor="text1"/>
          <w:sz w:val="20"/>
        </w:rPr>
        <w:t xml:space="preserve"> the </w:t>
      </w:r>
      <w:r w:rsidR="00420C98" w:rsidRPr="004930C2">
        <w:rPr>
          <w:color w:val="000000" w:themeColor="text1"/>
          <w:sz w:val="20"/>
        </w:rPr>
        <w:t xml:space="preserve">compost </w:t>
      </w:r>
      <w:r w:rsidR="004249AF" w:rsidRPr="004930C2">
        <w:rPr>
          <w:color w:val="000000" w:themeColor="text1"/>
          <w:sz w:val="20"/>
        </w:rPr>
        <w:t>treatment</w:t>
      </w:r>
      <w:r w:rsidR="005019AA" w:rsidRPr="004930C2">
        <w:rPr>
          <w:color w:val="000000" w:themeColor="text1"/>
          <w:sz w:val="20"/>
        </w:rPr>
        <w:t xml:space="preserve"> alone</w:t>
      </w:r>
      <w:r w:rsidR="00420C98" w:rsidRPr="004930C2">
        <w:rPr>
          <w:color w:val="000000" w:themeColor="text1"/>
          <w:sz w:val="20"/>
        </w:rPr>
        <w:t xml:space="preserve"> (I)</w:t>
      </w:r>
      <w:r w:rsidR="00BC1680" w:rsidRPr="004930C2">
        <w:rPr>
          <w:color w:val="000000" w:themeColor="text1"/>
          <w:sz w:val="20"/>
        </w:rPr>
        <w:t xml:space="preserve">, </w:t>
      </w:r>
      <w:r w:rsidR="009D32CA" w:rsidRPr="004930C2">
        <w:rPr>
          <w:color w:val="000000" w:themeColor="text1"/>
          <w:sz w:val="20"/>
        </w:rPr>
        <w:t xml:space="preserve">a significant difference was confirmed </w:t>
      </w:r>
      <w:r w:rsidR="0036380A" w:rsidRPr="004930C2">
        <w:rPr>
          <w:color w:val="000000" w:themeColor="text1"/>
          <w:sz w:val="20"/>
        </w:rPr>
        <w:t xml:space="preserve">only </w:t>
      </w:r>
      <w:r w:rsidR="009035D9" w:rsidRPr="004930C2">
        <w:rPr>
          <w:color w:val="000000" w:themeColor="text1"/>
          <w:sz w:val="20"/>
        </w:rPr>
        <w:t>in</w:t>
      </w:r>
      <w:r w:rsidR="004F2F54" w:rsidRPr="004930C2">
        <w:rPr>
          <w:color w:val="000000" w:themeColor="text1"/>
          <w:sz w:val="20"/>
        </w:rPr>
        <w:t xml:space="preserve"> the</w:t>
      </w:r>
      <w:r w:rsidR="00420C98" w:rsidRPr="004930C2">
        <w:rPr>
          <w:color w:val="000000" w:themeColor="text1"/>
          <w:sz w:val="20"/>
        </w:rPr>
        <w:t xml:space="preserve"> </w:t>
      </w:r>
      <w:r w:rsidR="004F2F54" w:rsidRPr="004930C2">
        <w:rPr>
          <w:color w:val="000000" w:themeColor="text1"/>
          <w:sz w:val="20"/>
        </w:rPr>
        <w:t>DM</w:t>
      </w:r>
      <w:r w:rsidR="004F2F54" w:rsidRPr="004930C2">
        <w:rPr>
          <w:color w:val="000000" w:themeColor="text1"/>
          <w:sz w:val="20"/>
          <w:vertAlign w:val="subscript"/>
        </w:rPr>
        <w:t>BC</w:t>
      </w:r>
      <w:r w:rsidR="00BD45B2" w:rsidRPr="004930C2">
        <w:rPr>
          <w:color w:val="000000" w:themeColor="text1"/>
          <w:sz w:val="20"/>
          <w:vertAlign w:val="subscript"/>
        </w:rPr>
        <w:t>450</w:t>
      </w:r>
      <w:r w:rsidR="004F2F54" w:rsidRPr="004930C2">
        <w:rPr>
          <w:color w:val="000000" w:themeColor="text1"/>
          <w:sz w:val="20"/>
        </w:rPr>
        <w:t>-compost and DM</w:t>
      </w:r>
      <w:r w:rsidR="004F2F54" w:rsidRPr="004930C2">
        <w:rPr>
          <w:color w:val="000000" w:themeColor="text1"/>
          <w:sz w:val="20"/>
          <w:vertAlign w:val="subscript"/>
        </w:rPr>
        <w:t>BC</w:t>
      </w:r>
      <w:r w:rsidR="00BD45B2" w:rsidRPr="004930C2">
        <w:rPr>
          <w:color w:val="000000" w:themeColor="text1"/>
          <w:sz w:val="20"/>
          <w:vertAlign w:val="subscript"/>
        </w:rPr>
        <w:t>600</w:t>
      </w:r>
      <w:r w:rsidR="004F2F54" w:rsidRPr="004930C2">
        <w:rPr>
          <w:color w:val="000000" w:themeColor="text1"/>
          <w:sz w:val="20"/>
        </w:rPr>
        <w:t>-compost treatments</w:t>
      </w:r>
      <w:r w:rsidR="00981DC1" w:rsidRPr="004930C2">
        <w:rPr>
          <w:color w:val="000000" w:themeColor="text1"/>
          <w:sz w:val="20"/>
        </w:rPr>
        <w:t>, according to the Dunnett’s test</w:t>
      </w:r>
      <w:r w:rsidR="004F2F54" w:rsidRPr="004930C2">
        <w:rPr>
          <w:color w:val="000000" w:themeColor="text1"/>
          <w:sz w:val="20"/>
        </w:rPr>
        <w:t xml:space="preserve"> (</w:t>
      </w:r>
      <w:r w:rsidR="00BC1680" w:rsidRPr="004930C2">
        <w:rPr>
          <w:color w:val="000000" w:themeColor="text1"/>
          <w:sz w:val="20"/>
        </w:rPr>
        <w:t>I vs VI</w:t>
      </w:r>
      <w:r w:rsidR="004F2F54" w:rsidRPr="004930C2">
        <w:rPr>
          <w:color w:val="000000" w:themeColor="text1"/>
          <w:sz w:val="20"/>
        </w:rPr>
        <w:t xml:space="preserve">: </w:t>
      </w:r>
      <w:r w:rsidR="004F2F54" w:rsidRPr="004930C2">
        <w:rPr>
          <w:i/>
          <w:color w:val="000000" w:themeColor="text1"/>
          <w:sz w:val="20"/>
        </w:rPr>
        <w:t>p</w:t>
      </w:r>
      <w:r w:rsidR="004F2F54" w:rsidRPr="004930C2">
        <w:rPr>
          <w:color w:val="000000" w:themeColor="text1"/>
          <w:sz w:val="20"/>
        </w:rPr>
        <w:t xml:space="preserve"> = 0.021; </w:t>
      </w:r>
      <w:r w:rsidR="00BC1680" w:rsidRPr="004930C2">
        <w:rPr>
          <w:color w:val="000000" w:themeColor="text1"/>
          <w:sz w:val="20"/>
        </w:rPr>
        <w:t>I vs VII</w:t>
      </w:r>
      <w:r w:rsidR="00D41A41" w:rsidRPr="004930C2">
        <w:rPr>
          <w:color w:val="000000" w:themeColor="text1"/>
          <w:sz w:val="20"/>
        </w:rPr>
        <w:t>:</w:t>
      </w:r>
      <w:r w:rsidR="004F2F54" w:rsidRPr="004930C2">
        <w:rPr>
          <w:color w:val="000000" w:themeColor="text1"/>
          <w:sz w:val="20"/>
        </w:rPr>
        <w:t xml:space="preserve"> </w:t>
      </w:r>
      <w:r w:rsidR="004F2F54" w:rsidRPr="004930C2">
        <w:rPr>
          <w:i/>
          <w:color w:val="000000" w:themeColor="text1"/>
          <w:sz w:val="20"/>
        </w:rPr>
        <w:t>p</w:t>
      </w:r>
      <w:r w:rsidR="004F2F54" w:rsidRPr="004930C2">
        <w:rPr>
          <w:color w:val="000000" w:themeColor="text1"/>
          <w:sz w:val="20"/>
        </w:rPr>
        <w:t xml:space="preserve"> = 0.039) (Table 3).</w:t>
      </w:r>
    </w:p>
    <w:p w14:paraId="17E16D2C" w14:textId="63AC73FB" w:rsidR="00352F13" w:rsidRPr="004930C2" w:rsidRDefault="003913A1" w:rsidP="00330D39">
      <w:pPr>
        <w:spacing w:line="480" w:lineRule="auto"/>
        <w:ind w:firstLine="840"/>
        <w:rPr>
          <w:color w:val="000000" w:themeColor="text1"/>
          <w:sz w:val="20"/>
        </w:rPr>
      </w:pPr>
      <w:r w:rsidRPr="004930C2">
        <w:rPr>
          <w:color w:val="000000" w:themeColor="text1"/>
          <w:sz w:val="20"/>
        </w:rPr>
        <w:t xml:space="preserve">To </w:t>
      </w:r>
      <w:r w:rsidR="00E950D4" w:rsidRPr="004930C2">
        <w:rPr>
          <w:color w:val="000000" w:themeColor="text1"/>
          <w:sz w:val="20"/>
        </w:rPr>
        <w:t>understand</w:t>
      </w:r>
      <w:r w:rsidRPr="004930C2">
        <w:rPr>
          <w:color w:val="000000" w:themeColor="text1"/>
          <w:sz w:val="20"/>
        </w:rPr>
        <w:t xml:space="preserve"> the influence of biochar type on biomass production</w:t>
      </w:r>
      <w:r w:rsidR="0036210B" w:rsidRPr="004930C2">
        <w:rPr>
          <w:color w:val="000000" w:themeColor="text1"/>
          <w:sz w:val="20"/>
        </w:rPr>
        <w:t xml:space="preserve"> in </w:t>
      </w:r>
      <w:r w:rsidR="000E77B0" w:rsidRPr="004930C2">
        <w:rPr>
          <w:color w:val="000000" w:themeColor="text1"/>
          <w:sz w:val="20"/>
        </w:rPr>
        <w:t xml:space="preserve">the </w:t>
      </w:r>
      <w:r w:rsidR="0036210B" w:rsidRPr="004930C2">
        <w:rPr>
          <w:color w:val="000000" w:themeColor="text1"/>
          <w:sz w:val="20"/>
        </w:rPr>
        <w:t>biochar-compost treatments (II</w:t>
      </w:r>
      <w:r w:rsidR="004529F1" w:rsidRPr="004930C2">
        <w:rPr>
          <w:color w:val="000000" w:themeColor="text1"/>
          <w:sz w:val="20"/>
        </w:rPr>
        <w:t>–</w:t>
      </w:r>
      <w:r w:rsidR="0036210B" w:rsidRPr="004930C2">
        <w:rPr>
          <w:color w:val="000000" w:themeColor="text1"/>
          <w:sz w:val="20"/>
        </w:rPr>
        <w:t>VII)</w:t>
      </w:r>
      <w:r w:rsidRPr="004930C2">
        <w:rPr>
          <w:color w:val="000000" w:themeColor="text1"/>
          <w:sz w:val="20"/>
        </w:rPr>
        <w:t xml:space="preserve">, </w:t>
      </w:r>
      <w:r w:rsidR="00E950D4" w:rsidRPr="004930C2">
        <w:rPr>
          <w:color w:val="000000" w:themeColor="text1"/>
          <w:sz w:val="20"/>
        </w:rPr>
        <w:t>a</w:t>
      </w:r>
      <w:r w:rsidRPr="004930C2">
        <w:rPr>
          <w:color w:val="000000" w:themeColor="text1"/>
          <w:sz w:val="20"/>
        </w:rPr>
        <w:t xml:space="preserve"> two-way ANOVA was conducted (Table 4). The statistical analysis indicated that there were no significant differences in an interaction between feedstock type and carbonization temperature (</w:t>
      </w:r>
      <w:r w:rsidRPr="004930C2">
        <w:rPr>
          <w:i/>
          <w:color w:val="000000" w:themeColor="text1"/>
          <w:sz w:val="20"/>
        </w:rPr>
        <w:t>p</w:t>
      </w:r>
      <w:r w:rsidRPr="004930C2">
        <w:rPr>
          <w:color w:val="000000" w:themeColor="text1"/>
          <w:sz w:val="20"/>
        </w:rPr>
        <w:t xml:space="preserve"> = 0.658) </w:t>
      </w:r>
      <w:r w:rsidR="007E2F1F">
        <w:rPr>
          <w:color w:val="000000" w:themeColor="text1"/>
          <w:sz w:val="20"/>
        </w:rPr>
        <w:t>and</w:t>
      </w:r>
      <w:r w:rsidRPr="004930C2">
        <w:rPr>
          <w:color w:val="000000" w:themeColor="text1"/>
          <w:sz w:val="20"/>
        </w:rPr>
        <w:t xml:space="preserve"> carbonization temperature (</w:t>
      </w:r>
      <w:r w:rsidRPr="004930C2">
        <w:rPr>
          <w:i/>
          <w:color w:val="000000" w:themeColor="text1"/>
          <w:sz w:val="20"/>
        </w:rPr>
        <w:t>p</w:t>
      </w:r>
      <w:r w:rsidRPr="004930C2">
        <w:rPr>
          <w:color w:val="000000" w:themeColor="text1"/>
          <w:sz w:val="20"/>
        </w:rPr>
        <w:t xml:space="preserve"> = 0.445). Meanwhile</w:t>
      </w:r>
      <w:r w:rsidR="000A4603" w:rsidRPr="004930C2">
        <w:rPr>
          <w:color w:val="000000" w:themeColor="text1"/>
          <w:sz w:val="20"/>
        </w:rPr>
        <w:t xml:space="preserve">, </w:t>
      </w:r>
      <w:r w:rsidR="004A2EBB" w:rsidRPr="004930C2">
        <w:rPr>
          <w:color w:val="000000" w:themeColor="text1"/>
          <w:sz w:val="20"/>
        </w:rPr>
        <w:t xml:space="preserve">the feedstock type </w:t>
      </w:r>
      <w:r w:rsidR="00750199" w:rsidRPr="004930C2">
        <w:rPr>
          <w:color w:val="000000" w:themeColor="text1"/>
          <w:sz w:val="20"/>
        </w:rPr>
        <w:t xml:space="preserve">showed a considerable association </w:t>
      </w:r>
      <w:r w:rsidR="00FB2F7C" w:rsidRPr="004930C2">
        <w:rPr>
          <w:color w:val="000000" w:themeColor="text1"/>
          <w:sz w:val="20"/>
        </w:rPr>
        <w:t xml:space="preserve">with </w:t>
      </w:r>
      <w:r w:rsidR="00C24FEB" w:rsidRPr="004930C2">
        <w:rPr>
          <w:color w:val="000000" w:themeColor="text1"/>
          <w:sz w:val="20"/>
        </w:rPr>
        <w:t>biomass production (</w:t>
      </w:r>
      <w:r w:rsidRPr="004930C2">
        <w:rPr>
          <w:i/>
          <w:color w:val="000000" w:themeColor="text1"/>
          <w:sz w:val="20"/>
        </w:rPr>
        <w:t>p</w:t>
      </w:r>
      <w:r w:rsidRPr="004930C2">
        <w:rPr>
          <w:color w:val="000000" w:themeColor="text1"/>
          <w:sz w:val="20"/>
        </w:rPr>
        <w:t xml:space="preserve"> = 0.016</w:t>
      </w:r>
      <w:r w:rsidR="00C24FEB" w:rsidRPr="004930C2">
        <w:rPr>
          <w:color w:val="000000" w:themeColor="text1"/>
          <w:sz w:val="20"/>
        </w:rPr>
        <w:t>)</w:t>
      </w:r>
      <w:r w:rsidR="00B22C7A" w:rsidRPr="004930C2">
        <w:rPr>
          <w:color w:val="000000" w:themeColor="text1"/>
          <w:sz w:val="20"/>
        </w:rPr>
        <w:t xml:space="preserve">; </w:t>
      </w:r>
      <w:r w:rsidR="00C24FEB" w:rsidRPr="004930C2">
        <w:rPr>
          <w:color w:val="000000" w:themeColor="text1"/>
          <w:sz w:val="20"/>
        </w:rPr>
        <w:t>DM</w:t>
      </w:r>
      <w:r w:rsidR="00C24FEB" w:rsidRPr="004930C2">
        <w:rPr>
          <w:color w:val="000000" w:themeColor="text1"/>
          <w:sz w:val="20"/>
          <w:vertAlign w:val="subscript"/>
        </w:rPr>
        <w:t>BC</w:t>
      </w:r>
      <w:r w:rsidR="00C24FEB" w:rsidRPr="004930C2">
        <w:rPr>
          <w:color w:val="000000" w:themeColor="text1"/>
          <w:sz w:val="20"/>
        </w:rPr>
        <w:t xml:space="preserve"> treatments </w:t>
      </w:r>
      <w:r w:rsidR="008B7095" w:rsidRPr="004930C2">
        <w:rPr>
          <w:color w:val="000000" w:themeColor="text1"/>
          <w:sz w:val="20"/>
        </w:rPr>
        <w:t xml:space="preserve">increased </w:t>
      </w:r>
      <w:r w:rsidR="001161B0" w:rsidRPr="004930C2">
        <w:rPr>
          <w:color w:val="000000" w:themeColor="text1"/>
          <w:sz w:val="20"/>
        </w:rPr>
        <w:t xml:space="preserve">the </w:t>
      </w:r>
      <w:r w:rsidR="008B7095" w:rsidRPr="004930C2">
        <w:rPr>
          <w:color w:val="000000" w:themeColor="text1"/>
          <w:sz w:val="20"/>
        </w:rPr>
        <w:t>average</w:t>
      </w:r>
      <w:r w:rsidR="00C24FEB" w:rsidRPr="004930C2">
        <w:rPr>
          <w:color w:val="000000" w:themeColor="text1"/>
          <w:sz w:val="20"/>
        </w:rPr>
        <w:t xml:space="preserve"> biomass production</w:t>
      </w:r>
      <w:r w:rsidR="003302DF" w:rsidRPr="004930C2">
        <w:rPr>
          <w:color w:val="000000" w:themeColor="text1"/>
          <w:sz w:val="20"/>
        </w:rPr>
        <w:t xml:space="preserve"> by 26.0%</w:t>
      </w:r>
      <w:r w:rsidR="00C24FEB" w:rsidRPr="004930C2">
        <w:rPr>
          <w:color w:val="000000" w:themeColor="text1"/>
          <w:sz w:val="20"/>
        </w:rPr>
        <w:t xml:space="preserve"> </w:t>
      </w:r>
      <w:r w:rsidR="003302DF" w:rsidRPr="004930C2">
        <w:rPr>
          <w:color w:val="000000" w:themeColor="text1"/>
          <w:sz w:val="20"/>
        </w:rPr>
        <w:t xml:space="preserve">compared with </w:t>
      </w:r>
      <w:r w:rsidR="00C24FEB" w:rsidRPr="004930C2">
        <w:rPr>
          <w:color w:val="000000" w:themeColor="text1"/>
          <w:sz w:val="20"/>
        </w:rPr>
        <w:t>WD</w:t>
      </w:r>
      <w:r w:rsidR="00C24FEB" w:rsidRPr="004930C2">
        <w:rPr>
          <w:color w:val="000000" w:themeColor="text1"/>
          <w:sz w:val="20"/>
          <w:vertAlign w:val="subscript"/>
        </w:rPr>
        <w:t>BC</w:t>
      </w:r>
      <w:r w:rsidR="00C24FEB" w:rsidRPr="004930C2">
        <w:rPr>
          <w:color w:val="000000" w:themeColor="text1"/>
          <w:sz w:val="20"/>
        </w:rPr>
        <w:t xml:space="preserve"> treatments </w:t>
      </w:r>
      <w:r w:rsidR="00796B83" w:rsidRPr="004930C2">
        <w:rPr>
          <w:color w:val="000000" w:themeColor="text1"/>
          <w:sz w:val="20"/>
        </w:rPr>
        <w:t>(</w:t>
      </w:r>
      <w:r w:rsidR="007E2F1F">
        <w:rPr>
          <w:color w:val="000000" w:themeColor="text1"/>
          <w:sz w:val="20"/>
        </w:rPr>
        <w:t>Fig.</w:t>
      </w:r>
      <w:r w:rsidR="00796B83" w:rsidRPr="004930C2">
        <w:rPr>
          <w:color w:val="000000" w:themeColor="text1"/>
          <w:sz w:val="20"/>
        </w:rPr>
        <w:t xml:space="preserve"> 1 and Table 4)</w:t>
      </w:r>
      <w:r w:rsidR="00C24FEB" w:rsidRPr="004930C2">
        <w:rPr>
          <w:color w:val="000000" w:themeColor="text1"/>
          <w:sz w:val="20"/>
        </w:rPr>
        <w:t>.</w:t>
      </w:r>
    </w:p>
    <w:p w14:paraId="6CF0B530" w14:textId="77777777" w:rsidR="00954E7E" w:rsidRPr="004930C2" w:rsidRDefault="00954E7E" w:rsidP="00330D39">
      <w:pPr>
        <w:spacing w:line="480" w:lineRule="auto"/>
        <w:rPr>
          <w:color w:val="000000" w:themeColor="text1"/>
          <w:sz w:val="20"/>
        </w:rPr>
      </w:pPr>
    </w:p>
    <w:p w14:paraId="1684D854" w14:textId="55330D00" w:rsidR="002F3249" w:rsidRPr="004930C2" w:rsidRDefault="002F3249" w:rsidP="00330D39">
      <w:pPr>
        <w:spacing w:line="480" w:lineRule="auto"/>
        <w:rPr>
          <w:b/>
          <w:color w:val="000000" w:themeColor="text1"/>
          <w:sz w:val="20"/>
        </w:rPr>
      </w:pPr>
      <w:r w:rsidRPr="004930C2">
        <w:rPr>
          <w:b/>
          <w:color w:val="000000" w:themeColor="text1"/>
          <w:sz w:val="20"/>
        </w:rPr>
        <w:t>3.3 Nitrogen uptake and nitrogen content of oat plant</w:t>
      </w:r>
    </w:p>
    <w:p w14:paraId="4706970A" w14:textId="48C27D10" w:rsidR="00BA59A7" w:rsidRPr="004930C2" w:rsidRDefault="008916D6" w:rsidP="00330D39">
      <w:pPr>
        <w:spacing w:line="480" w:lineRule="auto"/>
        <w:rPr>
          <w:color w:val="000000" w:themeColor="text1"/>
          <w:sz w:val="20"/>
        </w:rPr>
      </w:pPr>
      <w:r w:rsidRPr="004930C2">
        <w:rPr>
          <w:color w:val="000000" w:themeColor="text1"/>
          <w:sz w:val="20"/>
        </w:rPr>
        <w:lastRenderedPageBreak/>
        <w:t>Nitrogen uptake</w:t>
      </w:r>
      <w:r w:rsidRPr="004930C2">
        <w:rPr>
          <w:rFonts w:hint="eastAsia"/>
          <w:color w:val="000000" w:themeColor="text1"/>
          <w:sz w:val="20"/>
        </w:rPr>
        <w:t xml:space="preserve"> </w:t>
      </w:r>
      <w:r w:rsidRPr="004930C2">
        <w:rPr>
          <w:color w:val="000000" w:themeColor="text1"/>
          <w:sz w:val="20"/>
        </w:rPr>
        <w:t xml:space="preserve">and nitrogen content of </w:t>
      </w:r>
      <w:r w:rsidR="007B776F" w:rsidRPr="004930C2">
        <w:rPr>
          <w:color w:val="000000" w:themeColor="text1"/>
          <w:sz w:val="20"/>
        </w:rPr>
        <w:t xml:space="preserve">the </w:t>
      </w:r>
      <w:r w:rsidRPr="004930C2">
        <w:rPr>
          <w:color w:val="000000" w:themeColor="text1"/>
          <w:sz w:val="20"/>
        </w:rPr>
        <w:t xml:space="preserve">oat plant are shown in </w:t>
      </w:r>
      <w:r w:rsidR="007E2F1F">
        <w:rPr>
          <w:color w:val="000000" w:themeColor="text1"/>
          <w:sz w:val="20"/>
        </w:rPr>
        <w:t>Figs.</w:t>
      </w:r>
      <w:r w:rsidRPr="004930C2">
        <w:rPr>
          <w:color w:val="000000" w:themeColor="text1"/>
          <w:sz w:val="20"/>
        </w:rPr>
        <w:t xml:space="preserve"> 2 and 3, respectively. </w:t>
      </w:r>
      <w:r w:rsidR="00B53801" w:rsidRPr="004930C2">
        <w:rPr>
          <w:color w:val="000000" w:themeColor="text1"/>
          <w:sz w:val="20"/>
        </w:rPr>
        <w:t xml:space="preserve">Similar to biomass production, the </w:t>
      </w:r>
      <w:r w:rsidR="00352F13" w:rsidRPr="004930C2">
        <w:rPr>
          <w:color w:val="000000" w:themeColor="text1"/>
          <w:sz w:val="20"/>
        </w:rPr>
        <w:t xml:space="preserve">plant </w:t>
      </w:r>
      <w:r w:rsidR="00EB0285" w:rsidRPr="004930C2">
        <w:rPr>
          <w:color w:val="000000" w:themeColor="text1"/>
          <w:sz w:val="20"/>
        </w:rPr>
        <w:t xml:space="preserve">nitrogen uptake and nitrogen content increased </w:t>
      </w:r>
      <w:r w:rsidR="0036210B" w:rsidRPr="004930C2">
        <w:rPr>
          <w:color w:val="000000" w:themeColor="text1"/>
          <w:sz w:val="20"/>
        </w:rPr>
        <w:t>by 49.7–76.0% and 14.0–45.2% for WD</w:t>
      </w:r>
      <w:r w:rsidR="0036210B" w:rsidRPr="004930C2">
        <w:rPr>
          <w:color w:val="000000" w:themeColor="text1"/>
          <w:sz w:val="20"/>
          <w:vertAlign w:val="subscript"/>
        </w:rPr>
        <w:t>BC</w:t>
      </w:r>
      <w:r w:rsidR="0036210B" w:rsidRPr="004930C2">
        <w:rPr>
          <w:color w:val="000000" w:themeColor="text1"/>
          <w:sz w:val="20"/>
        </w:rPr>
        <w:t>-compost treatments (II</w:t>
      </w:r>
      <w:r w:rsidR="005B01AB" w:rsidRPr="004930C2">
        <w:rPr>
          <w:color w:val="000000" w:themeColor="text1"/>
          <w:sz w:val="20"/>
        </w:rPr>
        <w:t>–</w:t>
      </w:r>
      <w:r w:rsidR="00DE7FA8" w:rsidRPr="004930C2">
        <w:rPr>
          <w:rFonts w:ascii="Cambria Math" w:hAnsi="Cambria Math"/>
          <w:color w:val="000000" w:themeColor="text1"/>
          <w:sz w:val="20"/>
        </w:rPr>
        <w:t>IV</w:t>
      </w:r>
      <w:r w:rsidR="0036210B" w:rsidRPr="004930C2">
        <w:rPr>
          <w:color w:val="000000" w:themeColor="text1"/>
          <w:sz w:val="20"/>
        </w:rPr>
        <w:t>)</w:t>
      </w:r>
      <w:r w:rsidR="00DE7FA8" w:rsidRPr="004930C2">
        <w:rPr>
          <w:color w:val="000000" w:themeColor="text1"/>
          <w:sz w:val="20"/>
        </w:rPr>
        <w:t xml:space="preserve"> </w:t>
      </w:r>
      <w:r w:rsidR="0036210B" w:rsidRPr="004930C2">
        <w:rPr>
          <w:color w:val="000000" w:themeColor="text1"/>
          <w:sz w:val="20"/>
        </w:rPr>
        <w:t xml:space="preserve">and </w:t>
      </w:r>
      <w:r w:rsidR="00B53801" w:rsidRPr="004930C2">
        <w:rPr>
          <w:color w:val="000000" w:themeColor="text1"/>
          <w:sz w:val="20"/>
        </w:rPr>
        <w:t xml:space="preserve">by </w:t>
      </w:r>
      <w:r w:rsidR="00EB0285" w:rsidRPr="004930C2">
        <w:rPr>
          <w:color w:val="000000" w:themeColor="text1"/>
          <w:sz w:val="20"/>
        </w:rPr>
        <w:t>113.6–186.8% and 36.7–70.6% for DM</w:t>
      </w:r>
      <w:r w:rsidR="00EB0285" w:rsidRPr="004930C2">
        <w:rPr>
          <w:color w:val="000000" w:themeColor="text1"/>
          <w:sz w:val="20"/>
          <w:vertAlign w:val="subscript"/>
        </w:rPr>
        <w:t>BC</w:t>
      </w:r>
      <w:r w:rsidR="00B53801" w:rsidRPr="004930C2">
        <w:rPr>
          <w:color w:val="000000" w:themeColor="text1"/>
          <w:sz w:val="20"/>
        </w:rPr>
        <w:t>-compost</w:t>
      </w:r>
      <w:r w:rsidR="00EB0285" w:rsidRPr="004930C2">
        <w:rPr>
          <w:color w:val="000000" w:themeColor="text1"/>
          <w:sz w:val="20"/>
        </w:rPr>
        <w:t xml:space="preserve"> treatments </w:t>
      </w:r>
      <w:r w:rsidR="00DE7FA8" w:rsidRPr="004930C2">
        <w:rPr>
          <w:color w:val="000000" w:themeColor="text1"/>
          <w:sz w:val="20"/>
        </w:rPr>
        <w:t>(V</w:t>
      </w:r>
      <w:r w:rsidR="00515A63" w:rsidRPr="004930C2">
        <w:rPr>
          <w:color w:val="000000" w:themeColor="text1"/>
          <w:sz w:val="20"/>
        </w:rPr>
        <w:t>–</w:t>
      </w:r>
      <w:r w:rsidR="00DE7FA8" w:rsidRPr="004930C2">
        <w:rPr>
          <w:color w:val="000000" w:themeColor="text1"/>
          <w:sz w:val="20"/>
        </w:rPr>
        <w:t xml:space="preserve">VII) </w:t>
      </w:r>
      <w:r w:rsidR="00EB0285" w:rsidRPr="004930C2">
        <w:rPr>
          <w:color w:val="000000" w:themeColor="text1"/>
          <w:sz w:val="20"/>
        </w:rPr>
        <w:t xml:space="preserve">compared </w:t>
      </w:r>
      <w:r w:rsidR="009444BF" w:rsidRPr="004930C2">
        <w:rPr>
          <w:color w:val="000000" w:themeColor="text1"/>
          <w:sz w:val="20"/>
        </w:rPr>
        <w:t xml:space="preserve">with </w:t>
      </w:r>
      <w:r w:rsidR="00B53801" w:rsidRPr="004930C2">
        <w:rPr>
          <w:color w:val="000000" w:themeColor="text1"/>
          <w:sz w:val="20"/>
        </w:rPr>
        <w:t xml:space="preserve">the </w:t>
      </w:r>
      <w:r w:rsidR="00EB0285" w:rsidRPr="004930C2">
        <w:rPr>
          <w:color w:val="000000" w:themeColor="text1"/>
          <w:sz w:val="20"/>
        </w:rPr>
        <w:t>control (</w:t>
      </w:r>
      <w:r w:rsidR="00DE7FA8" w:rsidRPr="004930C2">
        <w:rPr>
          <w:color w:val="000000" w:themeColor="text1"/>
          <w:sz w:val="20"/>
        </w:rPr>
        <w:t>I</w:t>
      </w:r>
      <w:r w:rsidR="00EB0285" w:rsidRPr="004930C2">
        <w:rPr>
          <w:color w:val="000000" w:themeColor="text1"/>
          <w:sz w:val="20"/>
        </w:rPr>
        <w:t xml:space="preserve">), even in the equivalent nitrogen input. </w:t>
      </w:r>
      <w:r w:rsidR="00B53801" w:rsidRPr="004930C2">
        <w:rPr>
          <w:color w:val="000000" w:themeColor="text1"/>
          <w:sz w:val="20"/>
        </w:rPr>
        <w:t>Dunnett</w:t>
      </w:r>
      <w:r w:rsidR="009444BF" w:rsidRPr="004930C2">
        <w:rPr>
          <w:color w:val="000000" w:themeColor="text1"/>
          <w:sz w:val="20"/>
        </w:rPr>
        <w:t>’</w:t>
      </w:r>
      <w:r w:rsidR="00B53801" w:rsidRPr="004930C2">
        <w:rPr>
          <w:color w:val="000000" w:themeColor="text1"/>
          <w:sz w:val="20"/>
        </w:rPr>
        <w:t xml:space="preserve">s test </w:t>
      </w:r>
      <w:r w:rsidR="002743EB" w:rsidRPr="004930C2">
        <w:rPr>
          <w:color w:val="000000" w:themeColor="text1"/>
          <w:sz w:val="20"/>
        </w:rPr>
        <w:t>determined</w:t>
      </w:r>
      <w:r w:rsidR="00B53801" w:rsidRPr="004930C2">
        <w:rPr>
          <w:color w:val="000000" w:themeColor="text1"/>
          <w:sz w:val="20"/>
        </w:rPr>
        <w:t xml:space="preserve"> </w:t>
      </w:r>
      <w:r w:rsidR="002743EB" w:rsidRPr="004930C2">
        <w:rPr>
          <w:color w:val="000000" w:themeColor="text1"/>
          <w:sz w:val="20"/>
        </w:rPr>
        <w:t>significan</w:t>
      </w:r>
      <w:r w:rsidR="007B776F" w:rsidRPr="004930C2">
        <w:rPr>
          <w:color w:val="000000" w:themeColor="text1"/>
          <w:sz w:val="20"/>
        </w:rPr>
        <w:t>t</w:t>
      </w:r>
      <w:r w:rsidR="002743EB" w:rsidRPr="004930C2">
        <w:rPr>
          <w:color w:val="000000" w:themeColor="text1"/>
          <w:sz w:val="20"/>
        </w:rPr>
        <w:t xml:space="preserve"> differences in nitrogen uptake and nitrogen content between each of all the DM</w:t>
      </w:r>
      <w:r w:rsidR="002743EB" w:rsidRPr="004930C2">
        <w:rPr>
          <w:color w:val="000000" w:themeColor="text1"/>
          <w:sz w:val="20"/>
          <w:vertAlign w:val="subscript"/>
        </w:rPr>
        <w:t>BC</w:t>
      </w:r>
      <w:r w:rsidR="002743EB" w:rsidRPr="004930C2">
        <w:rPr>
          <w:color w:val="000000" w:themeColor="text1"/>
          <w:sz w:val="20"/>
        </w:rPr>
        <w:t>-compost treatments and the control (Table 3). In contrast, the WD</w:t>
      </w:r>
      <w:r w:rsidR="002743EB" w:rsidRPr="004930C2">
        <w:rPr>
          <w:color w:val="000000" w:themeColor="text1"/>
          <w:sz w:val="20"/>
          <w:vertAlign w:val="subscript"/>
        </w:rPr>
        <w:t>BC</w:t>
      </w:r>
      <w:r w:rsidR="00A84287" w:rsidRPr="004930C2">
        <w:rPr>
          <w:color w:val="000000" w:themeColor="text1"/>
          <w:sz w:val="20"/>
          <w:vertAlign w:val="subscript"/>
        </w:rPr>
        <w:t>300</w:t>
      </w:r>
      <w:r w:rsidR="002743EB" w:rsidRPr="004930C2">
        <w:rPr>
          <w:color w:val="000000" w:themeColor="text1"/>
          <w:sz w:val="20"/>
        </w:rPr>
        <w:t xml:space="preserve">-compost </w:t>
      </w:r>
      <w:r w:rsidR="00A84287" w:rsidRPr="004930C2">
        <w:rPr>
          <w:color w:val="000000" w:themeColor="text1"/>
          <w:sz w:val="20"/>
        </w:rPr>
        <w:t>and WD</w:t>
      </w:r>
      <w:r w:rsidR="00A84287" w:rsidRPr="004930C2">
        <w:rPr>
          <w:color w:val="000000" w:themeColor="text1"/>
          <w:sz w:val="20"/>
          <w:vertAlign w:val="subscript"/>
        </w:rPr>
        <w:t>BC450</w:t>
      </w:r>
      <w:r w:rsidR="00A84287" w:rsidRPr="004930C2">
        <w:rPr>
          <w:color w:val="000000" w:themeColor="text1"/>
          <w:sz w:val="20"/>
        </w:rPr>
        <w:t xml:space="preserve">-compost </w:t>
      </w:r>
      <w:r w:rsidR="002743EB" w:rsidRPr="004930C2">
        <w:rPr>
          <w:color w:val="000000" w:themeColor="text1"/>
          <w:sz w:val="20"/>
        </w:rPr>
        <w:t xml:space="preserve">treatments </w:t>
      </w:r>
      <w:r w:rsidR="00606EF0" w:rsidRPr="004930C2">
        <w:rPr>
          <w:color w:val="000000" w:themeColor="text1"/>
          <w:sz w:val="20"/>
        </w:rPr>
        <w:t xml:space="preserve">(II and III) </w:t>
      </w:r>
      <w:r w:rsidR="002743EB" w:rsidRPr="004930C2">
        <w:rPr>
          <w:color w:val="000000" w:themeColor="text1"/>
          <w:sz w:val="20"/>
        </w:rPr>
        <w:t xml:space="preserve">had no significant </w:t>
      </w:r>
      <w:r w:rsidR="0036210B" w:rsidRPr="004930C2">
        <w:rPr>
          <w:color w:val="000000" w:themeColor="text1"/>
          <w:sz w:val="20"/>
        </w:rPr>
        <w:t xml:space="preserve">differences </w:t>
      </w:r>
      <w:r w:rsidR="00A84287" w:rsidRPr="004930C2">
        <w:rPr>
          <w:color w:val="000000" w:themeColor="text1"/>
          <w:sz w:val="20"/>
        </w:rPr>
        <w:t xml:space="preserve">in nitrogen uptake and nitrogen content compared </w:t>
      </w:r>
      <w:r w:rsidR="009444BF" w:rsidRPr="004930C2">
        <w:rPr>
          <w:color w:val="000000" w:themeColor="text1"/>
          <w:sz w:val="20"/>
        </w:rPr>
        <w:t xml:space="preserve">with </w:t>
      </w:r>
      <w:r w:rsidR="00A84287" w:rsidRPr="004930C2">
        <w:rPr>
          <w:color w:val="000000" w:themeColor="text1"/>
          <w:sz w:val="20"/>
        </w:rPr>
        <w:t xml:space="preserve">the control, </w:t>
      </w:r>
      <w:r w:rsidR="001014D7" w:rsidRPr="004930C2">
        <w:rPr>
          <w:color w:val="000000" w:themeColor="text1"/>
          <w:sz w:val="20"/>
        </w:rPr>
        <w:t>whereas</w:t>
      </w:r>
      <w:r w:rsidR="00A84287" w:rsidRPr="004930C2">
        <w:rPr>
          <w:color w:val="000000" w:themeColor="text1"/>
          <w:sz w:val="20"/>
        </w:rPr>
        <w:t xml:space="preserve"> the WD</w:t>
      </w:r>
      <w:r w:rsidR="00A84287" w:rsidRPr="004930C2">
        <w:rPr>
          <w:color w:val="000000" w:themeColor="text1"/>
          <w:sz w:val="20"/>
          <w:vertAlign w:val="subscript"/>
        </w:rPr>
        <w:t>BC600</w:t>
      </w:r>
      <w:r w:rsidR="00A84287" w:rsidRPr="004930C2">
        <w:rPr>
          <w:color w:val="000000" w:themeColor="text1"/>
          <w:sz w:val="20"/>
        </w:rPr>
        <w:t xml:space="preserve">-compost treatment </w:t>
      </w:r>
      <w:r w:rsidR="00606EF0" w:rsidRPr="004930C2">
        <w:rPr>
          <w:color w:val="000000" w:themeColor="text1"/>
          <w:sz w:val="20"/>
        </w:rPr>
        <w:t xml:space="preserve">(IV) </w:t>
      </w:r>
      <w:r w:rsidR="00A84287" w:rsidRPr="004930C2">
        <w:rPr>
          <w:color w:val="000000" w:themeColor="text1"/>
          <w:sz w:val="20"/>
        </w:rPr>
        <w:t xml:space="preserve">showed a significant difference in nitrogen content (Table 3). </w:t>
      </w:r>
      <w:r w:rsidR="00BA59A7" w:rsidRPr="004930C2">
        <w:rPr>
          <w:color w:val="000000" w:themeColor="text1"/>
          <w:sz w:val="20"/>
        </w:rPr>
        <w:t>Overall, the biochar-compost application promote</w:t>
      </w:r>
      <w:r w:rsidR="0096174D" w:rsidRPr="004930C2">
        <w:rPr>
          <w:color w:val="000000" w:themeColor="text1"/>
          <w:sz w:val="20"/>
        </w:rPr>
        <w:t>d</w:t>
      </w:r>
      <w:r w:rsidR="00BA59A7" w:rsidRPr="004930C2">
        <w:rPr>
          <w:color w:val="000000" w:themeColor="text1"/>
          <w:sz w:val="20"/>
        </w:rPr>
        <w:t xml:space="preserve"> the </w:t>
      </w:r>
      <w:r w:rsidR="00656CD5" w:rsidRPr="004930C2">
        <w:rPr>
          <w:color w:val="000000" w:themeColor="text1"/>
          <w:sz w:val="20"/>
        </w:rPr>
        <w:t xml:space="preserve">supply of </w:t>
      </w:r>
      <w:r w:rsidR="00BA59A7" w:rsidRPr="004930C2">
        <w:rPr>
          <w:color w:val="000000" w:themeColor="text1"/>
          <w:sz w:val="20"/>
        </w:rPr>
        <w:t xml:space="preserve">nitrogen to </w:t>
      </w:r>
      <w:r w:rsidR="007B776F" w:rsidRPr="004930C2">
        <w:rPr>
          <w:color w:val="000000" w:themeColor="text1"/>
          <w:sz w:val="20"/>
        </w:rPr>
        <w:t xml:space="preserve">the </w:t>
      </w:r>
      <w:r w:rsidR="00BA59A7" w:rsidRPr="004930C2">
        <w:rPr>
          <w:color w:val="000000" w:themeColor="text1"/>
          <w:sz w:val="20"/>
        </w:rPr>
        <w:t xml:space="preserve">plant, resulting in higher nitrogen uptake and nitrogen content of </w:t>
      </w:r>
      <w:r w:rsidR="007B776F" w:rsidRPr="004930C2">
        <w:rPr>
          <w:color w:val="000000" w:themeColor="text1"/>
          <w:sz w:val="20"/>
        </w:rPr>
        <w:t xml:space="preserve">the </w:t>
      </w:r>
      <w:r w:rsidR="00BA59A7" w:rsidRPr="004930C2">
        <w:rPr>
          <w:color w:val="000000" w:themeColor="text1"/>
          <w:sz w:val="20"/>
        </w:rPr>
        <w:t xml:space="preserve">plant compared </w:t>
      </w:r>
      <w:r w:rsidR="00656CD5" w:rsidRPr="004930C2">
        <w:rPr>
          <w:color w:val="000000" w:themeColor="text1"/>
          <w:sz w:val="20"/>
        </w:rPr>
        <w:t>with</w:t>
      </w:r>
      <w:r w:rsidR="00BA59A7" w:rsidRPr="004930C2">
        <w:rPr>
          <w:color w:val="000000" w:themeColor="text1"/>
          <w:sz w:val="20"/>
        </w:rPr>
        <w:t xml:space="preserve"> the </w:t>
      </w:r>
      <w:r w:rsidR="00656CD5" w:rsidRPr="004930C2">
        <w:rPr>
          <w:color w:val="000000" w:themeColor="text1"/>
          <w:sz w:val="20"/>
        </w:rPr>
        <w:t xml:space="preserve">application of </w:t>
      </w:r>
      <w:r w:rsidR="00BA59A7" w:rsidRPr="004930C2">
        <w:rPr>
          <w:color w:val="000000" w:themeColor="text1"/>
          <w:sz w:val="20"/>
        </w:rPr>
        <w:t>compost alone.</w:t>
      </w:r>
    </w:p>
    <w:p w14:paraId="2286941D" w14:textId="3E2B49B5" w:rsidR="002F3249" w:rsidRPr="004930C2" w:rsidRDefault="00862F81" w:rsidP="00330D39">
      <w:pPr>
        <w:spacing w:line="480" w:lineRule="auto"/>
        <w:ind w:firstLine="840"/>
        <w:rPr>
          <w:color w:val="000000" w:themeColor="text1"/>
          <w:sz w:val="20"/>
        </w:rPr>
      </w:pPr>
      <w:r w:rsidRPr="004930C2">
        <w:rPr>
          <w:color w:val="000000" w:themeColor="text1"/>
          <w:sz w:val="20"/>
        </w:rPr>
        <w:t>When</w:t>
      </w:r>
      <w:r w:rsidR="0036210B" w:rsidRPr="004930C2">
        <w:rPr>
          <w:color w:val="000000" w:themeColor="text1"/>
          <w:sz w:val="20"/>
        </w:rPr>
        <w:t xml:space="preserve"> </w:t>
      </w:r>
      <w:r w:rsidR="00DE7FA8" w:rsidRPr="004930C2">
        <w:rPr>
          <w:color w:val="000000" w:themeColor="text1"/>
          <w:sz w:val="20"/>
        </w:rPr>
        <w:t xml:space="preserve">comparisons </w:t>
      </w:r>
      <w:r w:rsidRPr="004930C2">
        <w:rPr>
          <w:color w:val="000000" w:themeColor="text1"/>
          <w:sz w:val="20"/>
        </w:rPr>
        <w:t>were made between</w:t>
      </w:r>
      <w:r w:rsidR="00FB2F7C" w:rsidRPr="004930C2">
        <w:rPr>
          <w:color w:val="000000" w:themeColor="text1"/>
          <w:sz w:val="20"/>
        </w:rPr>
        <w:t xml:space="preserve"> the</w:t>
      </w:r>
      <w:r w:rsidR="00DE7FA8" w:rsidRPr="004930C2">
        <w:rPr>
          <w:color w:val="000000" w:themeColor="text1"/>
          <w:sz w:val="20"/>
        </w:rPr>
        <w:t xml:space="preserve"> </w:t>
      </w:r>
      <w:r w:rsidR="0036210B" w:rsidRPr="004930C2">
        <w:rPr>
          <w:color w:val="000000" w:themeColor="text1"/>
          <w:sz w:val="20"/>
        </w:rPr>
        <w:t>biochar-compost treatments</w:t>
      </w:r>
      <w:r w:rsidR="00DE7FA8" w:rsidRPr="004930C2">
        <w:rPr>
          <w:color w:val="000000" w:themeColor="text1"/>
          <w:sz w:val="20"/>
        </w:rPr>
        <w:t xml:space="preserve"> (II</w:t>
      </w:r>
      <w:r w:rsidR="001014D7" w:rsidRPr="004930C2">
        <w:rPr>
          <w:color w:val="000000" w:themeColor="text1"/>
          <w:sz w:val="20"/>
        </w:rPr>
        <w:t>–</w:t>
      </w:r>
      <w:r w:rsidR="00DE7FA8" w:rsidRPr="004930C2">
        <w:rPr>
          <w:color w:val="000000" w:themeColor="text1"/>
          <w:sz w:val="20"/>
        </w:rPr>
        <w:t xml:space="preserve">VII) </w:t>
      </w:r>
      <w:r w:rsidRPr="004930C2">
        <w:rPr>
          <w:color w:val="000000" w:themeColor="text1"/>
          <w:sz w:val="20"/>
        </w:rPr>
        <w:t xml:space="preserve">using a </w:t>
      </w:r>
      <w:r w:rsidR="00DE7FA8" w:rsidRPr="004930C2">
        <w:rPr>
          <w:color w:val="000000" w:themeColor="text1"/>
          <w:sz w:val="20"/>
        </w:rPr>
        <w:t>two-way ANOVA</w:t>
      </w:r>
      <w:r w:rsidR="00112914" w:rsidRPr="004930C2">
        <w:rPr>
          <w:color w:val="000000" w:themeColor="text1"/>
          <w:sz w:val="20"/>
        </w:rPr>
        <w:t>,</w:t>
      </w:r>
      <w:r w:rsidR="00DE7FA8" w:rsidRPr="004930C2">
        <w:rPr>
          <w:color w:val="000000" w:themeColor="text1"/>
          <w:sz w:val="20"/>
        </w:rPr>
        <w:t xml:space="preserve"> </w:t>
      </w:r>
      <w:r w:rsidRPr="004930C2">
        <w:rPr>
          <w:color w:val="000000" w:themeColor="text1"/>
          <w:sz w:val="20"/>
        </w:rPr>
        <w:t xml:space="preserve">no </w:t>
      </w:r>
      <w:r w:rsidR="0036210B" w:rsidRPr="004930C2">
        <w:rPr>
          <w:color w:val="000000" w:themeColor="text1"/>
          <w:sz w:val="20"/>
        </w:rPr>
        <w:t xml:space="preserve">significant differences </w:t>
      </w:r>
      <w:r w:rsidRPr="004930C2">
        <w:rPr>
          <w:color w:val="000000" w:themeColor="text1"/>
          <w:sz w:val="20"/>
        </w:rPr>
        <w:t xml:space="preserve">were found </w:t>
      </w:r>
      <w:r w:rsidR="00DE7FA8" w:rsidRPr="004930C2">
        <w:rPr>
          <w:color w:val="000000" w:themeColor="text1"/>
          <w:sz w:val="20"/>
        </w:rPr>
        <w:t xml:space="preserve">in </w:t>
      </w:r>
      <w:r w:rsidR="00FB2F7C" w:rsidRPr="004930C2">
        <w:rPr>
          <w:color w:val="000000" w:themeColor="text1"/>
          <w:sz w:val="20"/>
        </w:rPr>
        <w:t>the</w:t>
      </w:r>
      <w:r w:rsidR="00DE7FA8" w:rsidRPr="004930C2">
        <w:rPr>
          <w:color w:val="000000" w:themeColor="text1"/>
          <w:sz w:val="20"/>
        </w:rPr>
        <w:t xml:space="preserve"> interaction between feedstock </w:t>
      </w:r>
      <w:r w:rsidR="00FB2F7C" w:rsidRPr="004930C2">
        <w:rPr>
          <w:color w:val="000000" w:themeColor="text1"/>
          <w:sz w:val="20"/>
        </w:rPr>
        <w:t xml:space="preserve">type </w:t>
      </w:r>
      <w:r w:rsidR="00DE7FA8" w:rsidRPr="004930C2">
        <w:rPr>
          <w:color w:val="000000" w:themeColor="text1"/>
          <w:sz w:val="20"/>
        </w:rPr>
        <w:t xml:space="preserve">and carbonization temperature </w:t>
      </w:r>
      <w:r w:rsidR="00FB2F7C" w:rsidRPr="004930C2">
        <w:rPr>
          <w:color w:val="000000" w:themeColor="text1"/>
          <w:sz w:val="20"/>
        </w:rPr>
        <w:t>to</w:t>
      </w:r>
      <w:r w:rsidR="00DE7FA8" w:rsidRPr="004930C2">
        <w:rPr>
          <w:color w:val="000000" w:themeColor="text1"/>
          <w:sz w:val="20"/>
        </w:rPr>
        <w:t xml:space="preserve"> nitrogen uptake and nitrogen content (Table 4). </w:t>
      </w:r>
      <w:r w:rsidR="00B22C7A" w:rsidRPr="004930C2">
        <w:rPr>
          <w:color w:val="000000" w:themeColor="text1"/>
          <w:sz w:val="20"/>
        </w:rPr>
        <w:t>With regard</w:t>
      </w:r>
      <w:r w:rsidR="000A4603" w:rsidRPr="004930C2">
        <w:rPr>
          <w:color w:val="000000" w:themeColor="text1"/>
          <w:sz w:val="20"/>
        </w:rPr>
        <w:t xml:space="preserve"> to feedstock type,</w:t>
      </w:r>
      <w:r w:rsidR="008916D6" w:rsidRPr="004930C2">
        <w:rPr>
          <w:color w:val="000000" w:themeColor="text1"/>
          <w:sz w:val="20"/>
        </w:rPr>
        <w:t xml:space="preserve"> </w:t>
      </w:r>
      <w:r w:rsidR="00E71202" w:rsidRPr="004930C2">
        <w:rPr>
          <w:color w:val="000000" w:themeColor="text1"/>
          <w:sz w:val="20"/>
        </w:rPr>
        <w:t xml:space="preserve">the </w:t>
      </w:r>
      <w:r w:rsidR="008916D6" w:rsidRPr="004930C2">
        <w:rPr>
          <w:color w:val="000000" w:themeColor="text1"/>
          <w:sz w:val="20"/>
        </w:rPr>
        <w:t>DM</w:t>
      </w:r>
      <w:r w:rsidR="008916D6" w:rsidRPr="004930C2">
        <w:rPr>
          <w:color w:val="000000" w:themeColor="text1"/>
          <w:sz w:val="20"/>
          <w:vertAlign w:val="subscript"/>
        </w:rPr>
        <w:t>BC</w:t>
      </w:r>
      <w:r w:rsidR="007939C8" w:rsidRPr="004930C2">
        <w:rPr>
          <w:color w:val="000000" w:themeColor="text1"/>
          <w:sz w:val="20"/>
        </w:rPr>
        <w:t>-compost</w:t>
      </w:r>
      <w:r w:rsidR="008916D6" w:rsidRPr="004930C2">
        <w:rPr>
          <w:color w:val="000000" w:themeColor="text1"/>
          <w:sz w:val="20"/>
        </w:rPr>
        <w:t xml:space="preserve"> </w:t>
      </w:r>
      <w:r w:rsidR="00606EF0" w:rsidRPr="004930C2">
        <w:rPr>
          <w:color w:val="000000" w:themeColor="text1"/>
          <w:sz w:val="20"/>
        </w:rPr>
        <w:t>treatments (V</w:t>
      </w:r>
      <w:r w:rsidR="00C61E8E" w:rsidRPr="004930C2">
        <w:rPr>
          <w:color w:val="000000" w:themeColor="text1"/>
          <w:sz w:val="20"/>
        </w:rPr>
        <w:t>–</w:t>
      </w:r>
      <w:r w:rsidR="00606EF0" w:rsidRPr="004930C2">
        <w:rPr>
          <w:color w:val="000000" w:themeColor="text1"/>
          <w:sz w:val="20"/>
        </w:rPr>
        <w:t xml:space="preserve">VII) </w:t>
      </w:r>
      <w:r w:rsidR="00E71202" w:rsidRPr="004930C2">
        <w:rPr>
          <w:color w:val="000000" w:themeColor="text1"/>
          <w:sz w:val="20"/>
        </w:rPr>
        <w:t xml:space="preserve">increased both </w:t>
      </w:r>
      <w:r w:rsidR="00352F13" w:rsidRPr="004930C2">
        <w:rPr>
          <w:color w:val="000000" w:themeColor="text1"/>
          <w:sz w:val="20"/>
        </w:rPr>
        <w:t xml:space="preserve">plant </w:t>
      </w:r>
      <w:r w:rsidR="008916D6" w:rsidRPr="004930C2">
        <w:rPr>
          <w:color w:val="000000" w:themeColor="text1"/>
          <w:sz w:val="20"/>
        </w:rPr>
        <w:t xml:space="preserve">nitrogen uptake </w:t>
      </w:r>
      <w:r w:rsidR="00E71202" w:rsidRPr="004930C2">
        <w:rPr>
          <w:color w:val="000000" w:themeColor="text1"/>
          <w:sz w:val="20"/>
        </w:rPr>
        <w:t>by 42.6–62.9% (</w:t>
      </w:r>
      <w:r w:rsidR="00E71202" w:rsidRPr="004930C2">
        <w:rPr>
          <w:i/>
          <w:color w:val="000000" w:themeColor="text1"/>
          <w:sz w:val="20"/>
        </w:rPr>
        <w:t>p</w:t>
      </w:r>
      <w:r w:rsidR="00E71202" w:rsidRPr="004930C2">
        <w:rPr>
          <w:color w:val="000000" w:themeColor="text1"/>
          <w:sz w:val="20"/>
        </w:rPr>
        <w:t xml:space="preserve"> &lt; 0.001) </w:t>
      </w:r>
      <w:r w:rsidR="008916D6" w:rsidRPr="004930C2">
        <w:rPr>
          <w:color w:val="000000" w:themeColor="text1"/>
          <w:sz w:val="20"/>
        </w:rPr>
        <w:t xml:space="preserve">and nitrogen content </w:t>
      </w:r>
      <w:r w:rsidR="00E71202" w:rsidRPr="004930C2">
        <w:rPr>
          <w:color w:val="000000" w:themeColor="text1"/>
          <w:sz w:val="20"/>
        </w:rPr>
        <w:t>by 15.7–19.9% (</w:t>
      </w:r>
      <w:r w:rsidR="00E71202" w:rsidRPr="004930C2">
        <w:rPr>
          <w:i/>
          <w:color w:val="000000" w:themeColor="text1"/>
          <w:sz w:val="20"/>
        </w:rPr>
        <w:t>p</w:t>
      </w:r>
      <w:r w:rsidR="00E71202" w:rsidRPr="004930C2">
        <w:rPr>
          <w:color w:val="000000" w:themeColor="text1"/>
          <w:sz w:val="20"/>
        </w:rPr>
        <w:t xml:space="preserve"> =</w:t>
      </w:r>
      <w:r w:rsidR="00632A35" w:rsidRPr="004930C2">
        <w:rPr>
          <w:color w:val="000000" w:themeColor="text1"/>
          <w:sz w:val="20"/>
        </w:rPr>
        <w:t xml:space="preserve"> </w:t>
      </w:r>
      <w:r w:rsidR="00E71202" w:rsidRPr="004930C2">
        <w:rPr>
          <w:color w:val="000000" w:themeColor="text1"/>
          <w:sz w:val="20"/>
        </w:rPr>
        <w:t xml:space="preserve">0.002) compared </w:t>
      </w:r>
      <w:r w:rsidR="00A70AB1" w:rsidRPr="004930C2">
        <w:rPr>
          <w:color w:val="000000" w:themeColor="text1"/>
          <w:sz w:val="20"/>
        </w:rPr>
        <w:t>with</w:t>
      </w:r>
      <w:r w:rsidR="00E71202" w:rsidRPr="004930C2">
        <w:rPr>
          <w:color w:val="000000" w:themeColor="text1"/>
          <w:sz w:val="20"/>
        </w:rPr>
        <w:t xml:space="preserve"> the </w:t>
      </w:r>
      <w:r w:rsidR="008916D6" w:rsidRPr="004930C2">
        <w:rPr>
          <w:color w:val="000000" w:themeColor="text1"/>
          <w:sz w:val="20"/>
        </w:rPr>
        <w:t>WD</w:t>
      </w:r>
      <w:r w:rsidR="008916D6" w:rsidRPr="004930C2">
        <w:rPr>
          <w:color w:val="000000" w:themeColor="text1"/>
          <w:sz w:val="20"/>
          <w:vertAlign w:val="subscript"/>
        </w:rPr>
        <w:t>BC</w:t>
      </w:r>
      <w:r w:rsidR="007939C8" w:rsidRPr="004930C2">
        <w:rPr>
          <w:color w:val="000000" w:themeColor="text1"/>
          <w:sz w:val="20"/>
        </w:rPr>
        <w:t>-compost</w:t>
      </w:r>
      <w:r w:rsidR="008916D6" w:rsidRPr="004930C2">
        <w:rPr>
          <w:color w:val="000000" w:themeColor="text1"/>
          <w:sz w:val="20"/>
        </w:rPr>
        <w:t xml:space="preserve"> </w:t>
      </w:r>
      <w:r w:rsidR="00606EF0" w:rsidRPr="004930C2">
        <w:rPr>
          <w:color w:val="000000" w:themeColor="text1"/>
          <w:sz w:val="20"/>
        </w:rPr>
        <w:t>treatments (II</w:t>
      </w:r>
      <w:r w:rsidR="00570D09" w:rsidRPr="004930C2">
        <w:rPr>
          <w:color w:val="000000" w:themeColor="text1"/>
          <w:sz w:val="20"/>
        </w:rPr>
        <w:t>–</w:t>
      </w:r>
      <w:r w:rsidR="00606EF0" w:rsidRPr="004930C2">
        <w:rPr>
          <w:color w:val="000000" w:themeColor="text1"/>
          <w:sz w:val="20"/>
        </w:rPr>
        <w:t xml:space="preserve">IV) </w:t>
      </w:r>
      <w:r w:rsidR="008916D6" w:rsidRPr="004930C2">
        <w:rPr>
          <w:color w:val="000000" w:themeColor="text1"/>
          <w:sz w:val="20"/>
        </w:rPr>
        <w:t>(</w:t>
      </w:r>
      <w:r w:rsidR="007E2F1F">
        <w:rPr>
          <w:color w:val="000000" w:themeColor="text1"/>
          <w:sz w:val="20"/>
        </w:rPr>
        <w:t>Figs.</w:t>
      </w:r>
      <w:r w:rsidR="008916D6" w:rsidRPr="004930C2">
        <w:rPr>
          <w:color w:val="000000" w:themeColor="text1"/>
          <w:sz w:val="20"/>
        </w:rPr>
        <w:t xml:space="preserve"> 2 and 3</w:t>
      </w:r>
      <w:r w:rsidR="00E71202" w:rsidRPr="004930C2">
        <w:rPr>
          <w:color w:val="000000" w:themeColor="text1"/>
          <w:sz w:val="20"/>
        </w:rPr>
        <w:t>, Table 4</w:t>
      </w:r>
      <w:r w:rsidR="008916D6" w:rsidRPr="004930C2">
        <w:rPr>
          <w:color w:val="000000" w:themeColor="text1"/>
          <w:sz w:val="20"/>
        </w:rPr>
        <w:t xml:space="preserve">), despite the fact that only half the amount of compost was applied compared </w:t>
      </w:r>
      <w:r w:rsidR="00B22C7A" w:rsidRPr="004930C2">
        <w:rPr>
          <w:color w:val="000000" w:themeColor="text1"/>
          <w:sz w:val="20"/>
        </w:rPr>
        <w:t>with</w:t>
      </w:r>
      <w:r w:rsidR="008916D6" w:rsidRPr="004930C2">
        <w:rPr>
          <w:color w:val="000000" w:themeColor="text1"/>
          <w:sz w:val="20"/>
        </w:rPr>
        <w:t xml:space="preserve"> the WD</w:t>
      </w:r>
      <w:r w:rsidR="008916D6" w:rsidRPr="004930C2">
        <w:rPr>
          <w:color w:val="000000" w:themeColor="text1"/>
          <w:sz w:val="20"/>
          <w:vertAlign w:val="subscript"/>
        </w:rPr>
        <w:t>BC</w:t>
      </w:r>
      <w:r w:rsidR="008916D6" w:rsidRPr="004930C2">
        <w:rPr>
          <w:color w:val="000000" w:themeColor="text1"/>
          <w:sz w:val="20"/>
        </w:rPr>
        <w:t xml:space="preserve"> application (Table 1).</w:t>
      </w:r>
      <w:r w:rsidR="009E2137" w:rsidRPr="004930C2">
        <w:rPr>
          <w:color w:val="000000" w:themeColor="text1"/>
          <w:sz w:val="20"/>
        </w:rPr>
        <w:t xml:space="preserve"> </w:t>
      </w:r>
      <w:r w:rsidR="005C4B41" w:rsidRPr="004930C2">
        <w:rPr>
          <w:color w:val="000000" w:themeColor="text1"/>
          <w:sz w:val="20"/>
        </w:rPr>
        <w:t>As for</w:t>
      </w:r>
      <w:r w:rsidR="000A4603" w:rsidRPr="004930C2">
        <w:rPr>
          <w:color w:val="000000" w:themeColor="text1"/>
          <w:sz w:val="20"/>
        </w:rPr>
        <w:t xml:space="preserve"> carbonization temperature, </w:t>
      </w:r>
      <w:r w:rsidR="005C4B41" w:rsidRPr="004930C2">
        <w:rPr>
          <w:color w:val="000000" w:themeColor="text1"/>
          <w:sz w:val="20"/>
        </w:rPr>
        <w:t xml:space="preserve">higher temperatures increased </w:t>
      </w:r>
      <w:r w:rsidR="000A4603" w:rsidRPr="004930C2">
        <w:rPr>
          <w:color w:val="000000" w:themeColor="text1"/>
          <w:sz w:val="20"/>
        </w:rPr>
        <w:t>p</w:t>
      </w:r>
      <w:r w:rsidR="008916D6" w:rsidRPr="004930C2">
        <w:rPr>
          <w:color w:val="000000" w:themeColor="text1"/>
          <w:sz w:val="20"/>
        </w:rPr>
        <w:t>lant nitrogen uptake</w:t>
      </w:r>
      <w:r w:rsidR="000A4603" w:rsidRPr="004930C2">
        <w:rPr>
          <w:color w:val="000000" w:themeColor="text1"/>
          <w:sz w:val="20"/>
        </w:rPr>
        <w:t xml:space="preserve"> </w:t>
      </w:r>
      <w:r w:rsidR="005C4B41" w:rsidRPr="004930C2">
        <w:rPr>
          <w:color w:val="000000" w:themeColor="text1"/>
          <w:sz w:val="20"/>
        </w:rPr>
        <w:t>to some extent but there was no significant difference (</w:t>
      </w:r>
      <w:r w:rsidR="005C4B41" w:rsidRPr="004930C2">
        <w:rPr>
          <w:i/>
          <w:color w:val="000000" w:themeColor="text1"/>
          <w:sz w:val="20"/>
        </w:rPr>
        <w:t>p</w:t>
      </w:r>
      <w:r w:rsidR="005C4B41" w:rsidRPr="004930C2">
        <w:rPr>
          <w:color w:val="000000" w:themeColor="text1"/>
          <w:sz w:val="20"/>
        </w:rPr>
        <w:t xml:space="preserve"> = 0.098). Meanwhile</w:t>
      </w:r>
      <w:r w:rsidR="008916D6" w:rsidRPr="004930C2">
        <w:rPr>
          <w:color w:val="000000" w:themeColor="text1"/>
          <w:sz w:val="20"/>
        </w:rPr>
        <w:t xml:space="preserve">, </w:t>
      </w:r>
      <w:r w:rsidR="005C4B41" w:rsidRPr="004930C2">
        <w:rPr>
          <w:color w:val="000000" w:themeColor="text1"/>
          <w:sz w:val="20"/>
        </w:rPr>
        <w:t xml:space="preserve">the impact of carbonization temperature was significant on </w:t>
      </w:r>
      <w:r w:rsidR="005C4B41" w:rsidRPr="004930C2">
        <w:rPr>
          <w:color w:val="000000" w:themeColor="text1"/>
          <w:sz w:val="20"/>
        </w:rPr>
        <w:lastRenderedPageBreak/>
        <w:t>nitrogen content</w:t>
      </w:r>
      <w:r w:rsidR="000B5C10" w:rsidRPr="004930C2">
        <w:rPr>
          <w:color w:val="000000" w:themeColor="text1"/>
          <w:sz w:val="20"/>
        </w:rPr>
        <w:t xml:space="preserve"> (</w:t>
      </w:r>
      <w:r w:rsidR="000B5C10" w:rsidRPr="004930C2">
        <w:rPr>
          <w:i/>
          <w:color w:val="000000" w:themeColor="text1"/>
          <w:sz w:val="20"/>
        </w:rPr>
        <w:t>p</w:t>
      </w:r>
      <w:r w:rsidR="000B5C10" w:rsidRPr="004930C2">
        <w:rPr>
          <w:color w:val="000000" w:themeColor="text1"/>
          <w:sz w:val="20"/>
        </w:rPr>
        <w:t xml:space="preserve"> &lt; 0.001)</w:t>
      </w:r>
      <w:r w:rsidR="005C4B41" w:rsidRPr="004930C2">
        <w:rPr>
          <w:color w:val="000000" w:themeColor="text1"/>
          <w:sz w:val="20"/>
        </w:rPr>
        <w:t xml:space="preserve">, and the maximum value was </w:t>
      </w:r>
      <w:r w:rsidR="000B5C10" w:rsidRPr="004930C2">
        <w:rPr>
          <w:color w:val="000000" w:themeColor="text1"/>
          <w:sz w:val="20"/>
        </w:rPr>
        <w:t>observed</w:t>
      </w:r>
      <w:r w:rsidR="005C4B41" w:rsidRPr="004930C2">
        <w:rPr>
          <w:color w:val="000000" w:themeColor="text1"/>
          <w:sz w:val="20"/>
        </w:rPr>
        <w:t xml:space="preserve"> </w:t>
      </w:r>
      <w:r w:rsidR="005A7320" w:rsidRPr="004930C2">
        <w:rPr>
          <w:color w:val="000000" w:themeColor="text1"/>
          <w:sz w:val="20"/>
        </w:rPr>
        <w:t xml:space="preserve">for </w:t>
      </w:r>
      <w:r w:rsidR="005C4B41" w:rsidRPr="004930C2">
        <w:rPr>
          <w:color w:val="000000" w:themeColor="text1"/>
          <w:sz w:val="20"/>
        </w:rPr>
        <w:t>DM</w:t>
      </w:r>
      <w:r w:rsidR="005C4B41" w:rsidRPr="004930C2">
        <w:rPr>
          <w:color w:val="000000" w:themeColor="text1"/>
          <w:sz w:val="20"/>
          <w:vertAlign w:val="subscript"/>
        </w:rPr>
        <w:t>BC</w:t>
      </w:r>
      <w:r w:rsidR="000B5C10" w:rsidRPr="004930C2">
        <w:rPr>
          <w:color w:val="000000" w:themeColor="text1"/>
          <w:sz w:val="20"/>
          <w:vertAlign w:val="subscript"/>
        </w:rPr>
        <w:t>600</w:t>
      </w:r>
      <w:r w:rsidR="000B5C10" w:rsidRPr="004930C2">
        <w:rPr>
          <w:color w:val="000000" w:themeColor="text1"/>
          <w:sz w:val="20"/>
        </w:rPr>
        <w:t>-compost and WD</w:t>
      </w:r>
      <w:r w:rsidR="000B5C10" w:rsidRPr="004930C2">
        <w:rPr>
          <w:color w:val="000000" w:themeColor="text1"/>
          <w:sz w:val="20"/>
          <w:vertAlign w:val="subscript"/>
        </w:rPr>
        <w:t>BC600</w:t>
      </w:r>
      <w:r w:rsidR="000B5C10" w:rsidRPr="004930C2">
        <w:rPr>
          <w:color w:val="000000" w:themeColor="text1"/>
          <w:sz w:val="20"/>
        </w:rPr>
        <w:t>-compost, respectively</w:t>
      </w:r>
      <w:r w:rsidR="008916D6" w:rsidRPr="004930C2">
        <w:rPr>
          <w:color w:val="000000" w:themeColor="text1"/>
          <w:sz w:val="20"/>
        </w:rPr>
        <w:t xml:space="preserve"> (</w:t>
      </w:r>
      <w:r w:rsidR="007E2F1F">
        <w:rPr>
          <w:color w:val="000000" w:themeColor="text1"/>
          <w:sz w:val="20"/>
        </w:rPr>
        <w:t>Fig.</w:t>
      </w:r>
      <w:r w:rsidR="000B5C10" w:rsidRPr="004930C2">
        <w:rPr>
          <w:color w:val="000000" w:themeColor="text1"/>
          <w:sz w:val="20"/>
        </w:rPr>
        <w:t xml:space="preserve"> 3</w:t>
      </w:r>
      <w:r w:rsidR="008916D6" w:rsidRPr="004930C2">
        <w:rPr>
          <w:color w:val="000000" w:themeColor="text1"/>
          <w:sz w:val="20"/>
        </w:rPr>
        <w:t>).</w:t>
      </w:r>
    </w:p>
    <w:p w14:paraId="7CF28226" w14:textId="77777777" w:rsidR="008916D6" w:rsidRPr="004930C2" w:rsidRDefault="008916D6" w:rsidP="00330D39">
      <w:pPr>
        <w:spacing w:line="480" w:lineRule="auto"/>
        <w:rPr>
          <w:color w:val="000000" w:themeColor="text1"/>
          <w:sz w:val="20"/>
        </w:rPr>
      </w:pPr>
    </w:p>
    <w:p w14:paraId="460754CC" w14:textId="5E068078" w:rsidR="002F3249" w:rsidRPr="004930C2" w:rsidRDefault="002F3249" w:rsidP="00330D39">
      <w:pPr>
        <w:spacing w:line="480" w:lineRule="auto"/>
        <w:rPr>
          <w:b/>
          <w:color w:val="000000" w:themeColor="text1"/>
          <w:sz w:val="20"/>
        </w:rPr>
      </w:pPr>
      <w:r w:rsidRPr="004930C2">
        <w:rPr>
          <w:rFonts w:hint="eastAsia"/>
          <w:b/>
          <w:color w:val="000000" w:themeColor="text1"/>
          <w:sz w:val="20"/>
        </w:rPr>
        <w:t>3</w:t>
      </w:r>
      <w:r w:rsidRPr="004930C2">
        <w:rPr>
          <w:b/>
          <w:color w:val="000000" w:themeColor="text1"/>
          <w:sz w:val="20"/>
        </w:rPr>
        <w:t>.4 Nitrogen isotope analysis</w:t>
      </w:r>
    </w:p>
    <w:p w14:paraId="5F293EFC" w14:textId="4CB43DF2" w:rsidR="00C116CC" w:rsidRPr="004930C2" w:rsidRDefault="004B4EE1" w:rsidP="00330D39">
      <w:pPr>
        <w:spacing w:line="480" w:lineRule="auto"/>
        <w:rPr>
          <w:color w:val="000000" w:themeColor="text1"/>
          <w:sz w:val="20"/>
        </w:rPr>
      </w:pPr>
      <w:r w:rsidRPr="004930C2">
        <w:rPr>
          <w:color w:val="000000" w:themeColor="text1"/>
          <w:sz w:val="20"/>
        </w:rPr>
        <w:t xml:space="preserve">To trace </w:t>
      </w:r>
      <w:r w:rsidR="007B776F" w:rsidRPr="004930C2">
        <w:rPr>
          <w:color w:val="000000" w:themeColor="text1"/>
          <w:sz w:val="20"/>
        </w:rPr>
        <w:t xml:space="preserve">the </w:t>
      </w:r>
      <w:r w:rsidRPr="004930C2">
        <w:rPr>
          <w:color w:val="000000" w:themeColor="text1"/>
          <w:sz w:val="20"/>
        </w:rPr>
        <w:t xml:space="preserve">nitrogen source of </w:t>
      </w:r>
      <w:r w:rsidR="007B776F" w:rsidRPr="004930C2">
        <w:rPr>
          <w:color w:val="000000" w:themeColor="text1"/>
          <w:sz w:val="20"/>
        </w:rPr>
        <w:t xml:space="preserve">the </w:t>
      </w:r>
      <w:r w:rsidRPr="004930C2">
        <w:rPr>
          <w:color w:val="000000" w:themeColor="text1"/>
          <w:sz w:val="20"/>
        </w:rPr>
        <w:t xml:space="preserve">plant, </w:t>
      </w:r>
      <w:r w:rsidR="000A4603" w:rsidRPr="004930C2">
        <w:rPr>
          <w:color w:val="000000" w:themeColor="text1"/>
          <w:sz w:val="20"/>
        </w:rPr>
        <w:t xml:space="preserve">nitrogen isotope analysis </w:t>
      </w:r>
      <w:r w:rsidRPr="004930C2">
        <w:rPr>
          <w:color w:val="000000" w:themeColor="text1"/>
          <w:sz w:val="20"/>
        </w:rPr>
        <w:t xml:space="preserve">was </w:t>
      </w:r>
      <w:r w:rsidR="00CD4BF3" w:rsidRPr="004930C2">
        <w:rPr>
          <w:color w:val="000000" w:themeColor="text1"/>
          <w:sz w:val="20"/>
        </w:rPr>
        <w:t>conducted</w:t>
      </w:r>
      <w:r w:rsidRPr="004930C2">
        <w:rPr>
          <w:color w:val="000000" w:themeColor="text1"/>
          <w:sz w:val="20"/>
        </w:rPr>
        <w:t xml:space="preserve"> (</w:t>
      </w:r>
      <w:r w:rsidR="007E2F1F">
        <w:rPr>
          <w:color w:val="000000" w:themeColor="text1"/>
          <w:sz w:val="20"/>
        </w:rPr>
        <w:t>Fig.</w:t>
      </w:r>
      <w:r w:rsidR="000A4603" w:rsidRPr="004930C2">
        <w:rPr>
          <w:color w:val="000000" w:themeColor="text1"/>
          <w:sz w:val="20"/>
        </w:rPr>
        <w:t xml:space="preserve"> 4</w:t>
      </w:r>
      <w:r w:rsidRPr="004930C2">
        <w:rPr>
          <w:color w:val="000000" w:themeColor="text1"/>
          <w:sz w:val="20"/>
        </w:rPr>
        <w:t>)</w:t>
      </w:r>
      <w:r w:rsidR="000A4603" w:rsidRPr="004930C2">
        <w:rPr>
          <w:color w:val="000000" w:themeColor="text1"/>
          <w:sz w:val="20"/>
        </w:rPr>
        <w:t xml:space="preserve">. </w:t>
      </w:r>
      <w:r w:rsidR="001F1DDA" w:rsidRPr="004930C2">
        <w:rPr>
          <w:color w:val="000000" w:themeColor="text1"/>
          <w:sz w:val="20"/>
        </w:rPr>
        <w:t>Generally, the plant δ</w:t>
      </w:r>
      <w:r w:rsidR="001F1DDA" w:rsidRPr="004930C2">
        <w:rPr>
          <w:color w:val="000000" w:themeColor="text1"/>
          <w:sz w:val="20"/>
          <w:vertAlign w:val="superscript"/>
        </w:rPr>
        <w:t>15</w:t>
      </w:r>
      <w:r w:rsidR="001F1DDA" w:rsidRPr="004930C2">
        <w:rPr>
          <w:color w:val="000000" w:themeColor="text1"/>
          <w:sz w:val="20"/>
        </w:rPr>
        <w:t>N value is reflected by the δ</w:t>
      </w:r>
      <w:r w:rsidR="001F1DDA" w:rsidRPr="004930C2">
        <w:rPr>
          <w:color w:val="000000" w:themeColor="text1"/>
          <w:sz w:val="20"/>
          <w:vertAlign w:val="superscript"/>
        </w:rPr>
        <w:t>15</w:t>
      </w:r>
      <w:r w:rsidR="001F1DDA" w:rsidRPr="004930C2">
        <w:rPr>
          <w:color w:val="000000" w:themeColor="text1"/>
          <w:sz w:val="20"/>
        </w:rPr>
        <w:t xml:space="preserve">N value of </w:t>
      </w:r>
      <w:r w:rsidR="00CD4BF3" w:rsidRPr="004930C2">
        <w:rPr>
          <w:color w:val="000000" w:themeColor="text1"/>
          <w:sz w:val="20"/>
        </w:rPr>
        <w:t xml:space="preserve">the </w:t>
      </w:r>
      <w:r w:rsidR="001F1DDA" w:rsidRPr="004930C2">
        <w:rPr>
          <w:color w:val="000000" w:themeColor="text1"/>
          <w:sz w:val="20"/>
        </w:rPr>
        <w:t>cultivation soil (He et al. 2009</w:t>
      </w:r>
      <w:r w:rsidR="00295C91" w:rsidRPr="004930C2">
        <w:rPr>
          <w:color w:val="000000" w:themeColor="text1"/>
          <w:sz w:val="20"/>
        </w:rPr>
        <w:t xml:space="preserve">; </w:t>
      </w:r>
      <w:proofErr w:type="spellStart"/>
      <w:r w:rsidR="00295C91" w:rsidRPr="004930C2">
        <w:rPr>
          <w:color w:val="000000" w:themeColor="text1"/>
          <w:sz w:val="20"/>
        </w:rPr>
        <w:t>Yoneyama</w:t>
      </w:r>
      <w:proofErr w:type="spellEnd"/>
      <w:r w:rsidR="00295C91" w:rsidRPr="004930C2">
        <w:rPr>
          <w:color w:val="000000" w:themeColor="text1"/>
          <w:sz w:val="20"/>
        </w:rPr>
        <w:t xml:space="preserve"> et al. 1986</w:t>
      </w:r>
      <w:r w:rsidR="001F1DDA" w:rsidRPr="004930C2">
        <w:rPr>
          <w:color w:val="000000" w:themeColor="text1"/>
          <w:sz w:val="20"/>
        </w:rPr>
        <w:t xml:space="preserve">). </w:t>
      </w:r>
      <w:r w:rsidR="00D06B46" w:rsidRPr="004930C2">
        <w:rPr>
          <w:color w:val="000000" w:themeColor="text1"/>
          <w:sz w:val="20"/>
        </w:rPr>
        <w:t>Indeed</w:t>
      </w:r>
      <w:r w:rsidR="008916D6" w:rsidRPr="004930C2">
        <w:rPr>
          <w:color w:val="000000" w:themeColor="text1"/>
          <w:sz w:val="20"/>
        </w:rPr>
        <w:t>, the δ</w:t>
      </w:r>
      <w:r w:rsidR="008916D6" w:rsidRPr="004930C2">
        <w:rPr>
          <w:color w:val="000000" w:themeColor="text1"/>
          <w:sz w:val="20"/>
          <w:vertAlign w:val="superscript"/>
        </w:rPr>
        <w:t>15</w:t>
      </w:r>
      <w:r w:rsidR="008916D6" w:rsidRPr="004930C2">
        <w:rPr>
          <w:color w:val="000000" w:themeColor="text1"/>
          <w:sz w:val="20"/>
        </w:rPr>
        <w:t>N value of oat plant</w:t>
      </w:r>
      <w:r w:rsidR="00D06B46" w:rsidRPr="004930C2">
        <w:rPr>
          <w:color w:val="000000" w:themeColor="text1"/>
          <w:sz w:val="20"/>
        </w:rPr>
        <w:t xml:space="preserve"> in the control</w:t>
      </w:r>
      <w:r w:rsidR="008916D6" w:rsidRPr="004930C2">
        <w:rPr>
          <w:color w:val="000000" w:themeColor="text1"/>
          <w:sz w:val="20"/>
        </w:rPr>
        <w:t xml:space="preserve"> (</w:t>
      </w:r>
      <w:r w:rsidR="00870CB7" w:rsidRPr="004930C2">
        <w:rPr>
          <w:color w:val="000000" w:themeColor="text1"/>
          <w:sz w:val="20"/>
        </w:rPr>
        <w:t>I</w:t>
      </w:r>
      <w:r w:rsidR="00EC649F" w:rsidRPr="004930C2">
        <w:rPr>
          <w:color w:val="000000" w:themeColor="text1"/>
          <w:sz w:val="20"/>
        </w:rPr>
        <w:t>:</w:t>
      </w:r>
      <w:r w:rsidR="00870CB7" w:rsidRPr="004930C2">
        <w:rPr>
          <w:color w:val="000000" w:themeColor="text1"/>
          <w:sz w:val="20"/>
        </w:rPr>
        <w:t xml:space="preserve"> </w:t>
      </w:r>
      <w:r w:rsidR="008916D6" w:rsidRPr="004930C2">
        <w:rPr>
          <w:color w:val="000000" w:themeColor="text1"/>
          <w:sz w:val="20"/>
        </w:rPr>
        <w:t>10.0‰) was similarly high to that in compost and red soil (8.15 and 7.97‰)</w:t>
      </w:r>
      <w:r w:rsidR="001F1DDA" w:rsidRPr="004930C2">
        <w:rPr>
          <w:color w:val="000000" w:themeColor="text1"/>
          <w:sz w:val="20"/>
        </w:rPr>
        <w:t xml:space="preserve">, representing that the nitrogen source of </w:t>
      </w:r>
      <w:r w:rsidR="00D06B46" w:rsidRPr="004930C2">
        <w:rPr>
          <w:color w:val="000000" w:themeColor="text1"/>
          <w:sz w:val="20"/>
        </w:rPr>
        <w:t xml:space="preserve">the </w:t>
      </w:r>
      <w:r w:rsidR="001F1DDA" w:rsidRPr="004930C2">
        <w:rPr>
          <w:color w:val="000000" w:themeColor="text1"/>
          <w:sz w:val="20"/>
        </w:rPr>
        <w:t xml:space="preserve">oat plant </w:t>
      </w:r>
      <w:r w:rsidR="00D06B46" w:rsidRPr="004930C2">
        <w:rPr>
          <w:color w:val="000000" w:themeColor="text1"/>
          <w:sz w:val="20"/>
        </w:rPr>
        <w:t>was</w:t>
      </w:r>
      <w:r w:rsidR="001F1DDA" w:rsidRPr="004930C2">
        <w:rPr>
          <w:color w:val="000000" w:themeColor="text1"/>
          <w:sz w:val="20"/>
        </w:rPr>
        <w:t xml:space="preserve"> mainly from the red so</w:t>
      </w:r>
      <w:r w:rsidR="00295C91" w:rsidRPr="004930C2">
        <w:rPr>
          <w:color w:val="000000" w:themeColor="text1"/>
          <w:sz w:val="20"/>
        </w:rPr>
        <w:t>il</w:t>
      </w:r>
      <w:r w:rsidR="001F1DDA" w:rsidRPr="004930C2">
        <w:rPr>
          <w:color w:val="000000" w:themeColor="text1"/>
          <w:sz w:val="20"/>
        </w:rPr>
        <w:t xml:space="preserve"> and the applied compost</w:t>
      </w:r>
      <w:r w:rsidR="008916D6" w:rsidRPr="004930C2">
        <w:rPr>
          <w:color w:val="000000" w:themeColor="text1"/>
          <w:sz w:val="20"/>
        </w:rPr>
        <w:t xml:space="preserve">. </w:t>
      </w:r>
      <w:r w:rsidR="00B22C7A" w:rsidRPr="004930C2">
        <w:rPr>
          <w:color w:val="000000" w:themeColor="text1"/>
          <w:sz w:val="20"/>
        </w:rPr>
        <w:t>In contrast</w:t>
      </w:r>
      <w:r w:rsidR="008916D6" w:rsidRPr="004930C2">
        <w:rPr>
          <w:color w:val="000000" w:themeColor="text1"/>
          <w:sz w:val="20"/>
        </w:rPr>
        <w:t>, the plant δ</w:t>
      </w:r>
      <w:r w:rsidR="008916D6" w:rsidRPr="004930C2">
        <w:rPr>
          <w:color w:val="000000" w:themeColor="text1"/>
          <w:sz w:val="20"/>
          <w:vertAlign w:val="superscript"/>
        </w:rPr>
        <w:t>15</w:t>
      </w:r>
      <w:r w:rsidR="008916D6" w:rsidRPr="004930C2">
        <w:rPr>
          <w:color w:val="000000" w:themeColor="text1"/>
          <w:sz w:val="20"/>
        </w:rPr>
        <w:t xml:space="preserve">N values of </w:t>
      </w:r>
      <w:r w:rsidR="00D06B46" w:rsidRPr="004930C2">
        <w:rPr>
          <w:color w:val="000000" w:themeColor="text1"/>
          <w:sz w:val="20"/>
        </w:rPr>
        <w:t xml:space="preserve">all the biochar-compost </w:t>
      </w:r>
      <w:r w:rsidR="008916D6" w:rsidRPr="004930C2">
        <w:rPr>
          <w:color w:val="000000" w:themeColor="text1"/>
          <w:sz w:val="20"/>
        </w:rPr>
        <w:t>treatments (</w:t>
      </w:r>
      <w:r w:rsidR="00870CB7" w:rsidRPr="004930C2">
        <w:rPr>
          <w:color w:val="000000" w:themeColor="text1"/>
          <w:sz w:val="20"/>
        </w:rPr>
        <w:t>II</w:t>
      </w:r>
      <w:r w:rsidR="00CD4BF3" w:rsidRPr="004930C2">
        <w:rPr>
          <w:color w:val="000000" w:themeColor="text1"/>
          <w:sz w:val="20"/>
        </w:rPr>
        <w:t>–</w:t>
      </w:r>
      <w:r w:rsidR="00870CB7" w:rsidRPr="004930C2">
        <w:rPr>
          <w:color w:val="000000" w:themeColor="text1"/>
          <w:sz w:val="20"/>
        </w:rPr>
        <w:t>VII</w:t>
      </w:r>
      <w:r w:rsidR="00EC649F" w:rsidRPr="004930C2">
        <w:rPr>
          <w:color w:val="000000" w:themeColor="text1"/>
          <w:sz w:val="20"/>
        </w:rPr>
        <w:t>:</w:t>
      </w:r>
      <w:r w:rsidR="00870CB7" w:rsidRPr="004930C2">
        <w:rPr>
          <w:color w:val="000000" w:themeColor="text1"/>
          <w:sz w:val="20"/>
        </w:rPr>
        <w:t xml:space="preserve"> </w:t>
      </w:r>
      <w:r w:rsidR="008916D6" w:rsidRPr="004930C2">
        <w:rPr>
          <w:color w:val="000000" w:themeColor="text1"/>
          <w:sz w:val="20"/>
        </w:rPr>
        <w:t>4.71</w:t>
      </w:r>
      <w:r w:rsidR="00A21302" w:rsidRPr="004930C2">
        <w:rPr>
          <w:color w:val="000000" w:themeColor="text1"/>
          <w:sz w:val="20"/>
        </w:rPr>
        <w:t>–</w:t>
      </w:r>
      <w:r w:rsidR="008916D6" w:rsidRPr="004930C2">
        <w:rPr>
          <w:color w:val="000000" w:themeColor="text1"/>
          <w:sz w:val="20"/>
        </w:rPr>
        <w:t xml:space="preserve">6.58‰) were lower than </w:t>
      </w:r>
      <w:r w:rsidR="00D06B46" w:rsidRPr="004930C2">
        <w:rPr>
          <w:color w:val="000000" w:themeColor="text1"/>
          <w:sz w:val="20"/>
        </w:rPr>
        <w:t xml:space="preserve">not only </w:t>
      </w:r>
      <w:r w:rsidR="009F290C" w:rsidRPr="004930C2">
        <w:rPr>
          <w:color w:val="000000" w:themeColor="text1"/>
          <w:sz w:val="20"/>
        </w:rPr>
        <w:t>those</w:t>
      </w:r>
      <w:r w:rsidR="008916D6" w:rsidRPr="004930C2">
        <w:rPr>
          <w:color w:val="000000" w:themeColor="text1"/>
          <w:sz w:val="20"/>
        </w:rPr>
        <w:t xml:space="preserve"> of </w:t>
      </w:r>
      <w:r w:rsidR="00D06B46" w:rsidRPr="004930C2">
        <w:rPr>
          <w:color w:val="000000" w:themeColor="text1"/>
          <w:sz w:val="20"/>
        </w:rPr>
        <w:t>control (</w:t>
      </w:r>
      <w:r w:rsidR="00D06B46" w:rsidRPr="004930C2">
        <w:rPr>
          <w:i/>
          <w:color w:val="000000" w:themeColor="text1"/>
          <w:sz w:val="20"/>
        </w:rPr>
        <w:t>p</w:t>
      </w:r>
      <w:r w:rsidR="00D06B46" w:rsidRPr="004930C2">
        <w:rPr>
          <w:color w:val="000000" w:themeColor="text1"/>
          <w:sz w:val="20"/>
        </w:rPr>
        <w:t xml:space="preserve"> &lt; 0.001</w:t>
      </w:r>
      <w:r w:rsidR="00EC649F" w:rsidRPr="004930C2">
        <w:rPr>
          <w:color w:val="000000" w:themeColor="text1"/>
          <w:sz w:val="20"/>
        </w:rPr>
        <w:t>,</w:t>
      </w:r>
      <w:r w:rsidR="00C116CC" w:rsidRPr="004930C2">
        <w:rPr>
          <w:color w:val="000000" w:themeColor="text1"/>
          <w:sz w:val="20"/>
        </w:rPr>
        <w:t xml:space="preserve"> Table 3</w:t>
      </w:r>
      <w:r w:rsidR="00D06B46" w:rsidRPr="004930C2">
        <w:rPr>
          <w:color w:val="000000" w:themeColor="text1"/>
          <w:sz w:val="20"/>
        </w:rPr>
        <w:t xml:space="preserve">) but also </w:t>
      </w:r>
      <w:r w:rsidR="009F290C" w:rsidRPr="004930C2">
        <w:rPr>
          <w:color w:val="000000" w:themeColor="text1"/>
          <w:sz w:val="20"/>
        </w:rPr>
        <w:t xml:space="preserve">those </w:t>
      </w:r>
      <w:r w:rsidR="00D06B46" w:rsidRPr="004930C2">
        <w:rPr>
          <w:color w:val="000000" w:themeColor="text1"/>
          <w:sz w:val="20"/>
        </w:rPr>
        <w:t xml:space="preserve">of </w:t>
      </w:r>
      <w:r w:rsidR="009F290C" w:rsidRPr="004930C2">
        <w:rPr>
          <w:color w:val="000000" w:themeColor="text1"/>
          <w:sz w:val="20"/>
        </w:rPr>
        <w:t xml:space="preserve">the </w:t>
      </w:r>
      <w:r w:rsidR="008916D6" w:rsidRPr="004930C2">
        <w:rPr>
          <w:color w:val="000000" w:themeColor="text1"/>
          <w:sz w:val="20"/>
        </w:rPr>
        <w:t>red soil, compost, and DM</w:t>
      </w:r>
      <w:r w:rsidR="008916D6" w:rsidRPr="004930C2">
        <w:rPr>
          <w:color w:val="000000" w:themeColor="text1"/>
          <w:sz w:val="20"/>
          <w:vertAlign w:val="subscript"/>
        </w:rPr>
        <w:t>BC</w:t>
      </w:r>
      <w:r w:rsidR="008916D6" w:rsidRPr="004930C2">
        <w:rPr>
          <w:color w:val="000000" w:themeColor="text1"/>
          <w:sz w:val="20"/>
        </w:rPr>
        <w:t xml:space="preserve"> (7.86 to 8.15‰).</w:t>
      </w:r>
      <w:r w:rsidR="009E2137" w:rsidRPr="004930C2">
        <w:rPr>
          <w:color w:val="000000" w:themeColor="text1"/>
          <w:sz w:val="20"/>
        </w:rPr>
        <w:t xml:space="preserve"> </w:t>
      </w:r>
      <w:r w:rsidR="001F7D80" w:rsidRPr="004930C2">
        <w:rPr>
          <w:color w:val="000000" w:themeColor="text1"/>
          <w:sz w:val="20"/>
        </w:rPr>
        <w:t>Considering t</w:t>
      </w:r>
      <w:r w:rsidR="00632A35" w:rsidRPr="004930C2">
        <w:rPr>
          <w:color w:val="000000" w:themeColor="text1"/>
          <w:sz w:val="20"/>
        </w:rPr>
        <w:t xml:space="preserve">he </w:t>
      </w:r>
      <w:r w:rsidR="001F7D80" w:rsidRPr="004930C2">
        <w:rPr>
          <w:color w:val="000000" w:themeColor="text1"/>
          <w:sz w:val="20"/>
        </w:rPr>
        <w:t>δ</w:t>
      </w:r>
      <w:r w:rsidR="001F7D80" w:rsidRPr="004930C2">
        <w:rPr>
          <w:color w:val="000000" w:themeColor="text1"/>
          <w:sz w:val="20"/>
          <w:vertAlign w:val="superscript"/>
        </w:rPr>
        <w:t>15</w:t>
      </w:r>
      <w:r w:rsidR="001F7D80" w:rsidRPr="004930C2">
        <w:rPr>
          <w:color w:val="000000" w:themeColor="text1"/>
          <w:sz w:val="20"/>
        </w:rPr>
        <w:t xml:space="preserve">N value of </w:t>
      </w:r>
      <w:r w:rsidR="00632A35" w:rsidRPr="004930C2">
        <w:rPr>
          <w:color w:val="000000" w:themeColor="text1"/>
          <w:sz w:val="20"/>
        </w:rPr>
        <w:t xml:space="preserve">plant </w:t>
      </w:r>
      <w:r w:rsidR="001F7D80" w:rsidRPr="004930C2">
        <w:rPr>
          <w:color w:val="000000" w:themeColor="text1"/>
          <w:sz w:val="20"/>
        </w:rPr>
        <w:t xml:space="preserve">approaches to that of </w:t>
      </w:r>
      <w:r w:rsidR="007B776F" w:rsidRPr="004930C2">
        <w:rPr>
          <w:color w:val="000000" w:themeColor="text1"/>
          <w:sz w:val="20"/>
        </w:rPr>
        <w:t xml:space="preserve">the </w:t>
      </w:r>
      <w:r w:rsidR="001F7D80" w:rsidRPr="004930C2">
        <w:rPr>
          <w:color w:val="000000" w:themeColor="text1"/>
          <w:sz w:val="20"/>
        </w:rPr>
        <w:t>atmosphere (δ</w:t>
      </w:r>
      <w:r w:rsidR="001F7D80" w:rsidRPr="004930C2">
        <w:rPr>
          <w:color w:val="000000" w:themeColor="text1"/>
          <w:sz w:val="20"/>
          <w:vertAlign w:val="superscript"/>
        </w:rPr>
        <w:t>15</w:t>
      </w:r>
      <w:r w:rsidR="001F7D80" w:rsidRPr="004930C2">
        <w:rPr>
          <w:color w:val="000000" w:themeColor="text1"/>
          <w:sz w:val="20"/>
        </w:rPr>
        <w:t>N atm. = 0 [</w:t>
      </w:r>
      <w:r w:rsidR="00295C91" w:rsidRPr="004930C2">
        <w:rPr>
          <w:color w:val="000000" w:themeColor="text1"/>
          <w:sz w:val="20"/>
        </w:rPr>
        <w:t>‰</w:t>
      </w:r>
      <w:r w:rsidR="001F7D80" w:rsidRPr="004930C2">
        <w:rPr>
          <w:color w:val="000000" w:themeColor="text1"/>
          <w:sz w:val="20"/>
        </w:rPr>
        <w:t>]) when absorbed nitrogen is derived from biological nitrogen fixation (</w:t>
      </w:r>
      <w:proofErr w:type="spellStart"/>
      <w:r w:rsidR="001F7D80" w:rsidRPr="004930C2">
        <w:rPr>
          <w:color w:val="000000" w:themeColor="text1"/>
          <w:sz w:val="20"/>
        </w:rPr>
        <w:t>Quilliam</w:t>
      </w:r>
      <w:proofErr w:type="spellEnd"/>
      <w:r w:rsidR="001F7D80" w:rsidRPr="004930C2">
        <w:rPr>
          <w:color w:val="000000" w:themeColor="text1"/>
          <w:sz w:val="20"/>
        </w:rPr>
        <w:t xml:space="preserve"> et al. 2013), </w:t>
      </w:r>
      <w:r w:rsidR="00C116CC" w:rsidRPr="004930C2">
        <w:rPr>
          <w:color w:val="000000" w:themeColor="text1"/>
          <w:sz w:val="20"/>
        </w:rPr>
        <w:t xml:space="preserve">the plants in all the biochar-compost treatments </w:t>
      </w:r>
      <w:r w:rsidR="006C0191" w:rsidRPr="004930C2">
        <w:rPr>
          <w:color w:val="000000" w:themeColor="text1"/>
          <w:sz w:val="20"/>
        </w:rPr>
        <w:t>utilized</w:t>
      </w:r>
      <w:r w:rsidR="00C116CC" w:rsidRPr="004930C2">
        <w:rPr>
          <w:color w:val="000000" w:themeColor="text1"/>
          <w:sz w:val="20"/>
        </w:rPr>
        <w:t xml:space="preserve"> nitrogen not only from the red soil and applied compost but also from the atmosphere, through nitrogen fixation in the rhizosphere.</w:t>
      </w:r>
    </w:p>
    <w:p w14:paraId="11A6F6D9" w14:textId="16DB941D" w:rsidR="00954E7E" w:rsidRPr="004930C2" w:rsidRDefault="009F290C" w:rsidP="00330D39">
      <w:pPr>
        <w:spacing w:line="480" w:lineRule="auto"/>
        <w:ind w:firstLine="840"/>
        <w:rPr>
          <w:color w:val="000000" w:themeColor="text1"/>
          <w:sz w:val="20"/>
        </w:rPr>
      </w:pPr>
      <w:r w:rsidRPr="004930C2">
        <w:rPr>
          <w:color w:val="000000" w:themeColor="text1"/>
          <w:sz w:val="20"/>
        </w:rPr>
        <w:t xml:space="preserve">Considering </w:t>
      </w:r>
      <w:r w:rsidR="00870CB7" w:rsidRPr="004930C2">
        <w:rPr>
          <w:color w:val="000000" w:themeColor="text1"/>
          <w:sz w:val="20"/>
        </w:rPr>
        <w:t>t</w:t>
      </w:r>
      <w:r w:rsidR="004249AF" w:rsidRPr="004930C2">
        <w:rPr>
          <w:color w:val="000000" w:themeColor="text1"/>
          <w:sz w:val="20"/>
        </w:rPr>
        <w:t xml:space="preserve">he comparisons among the biochar-compost treatments </w:t>
      </w:r>
      <w:r w:rsidR="00870CB7" w:rsidRPr="004930C2">
        <w:rPr>
          <w:color w:val="000000" w:themeColor="text1"/>
          <w:sz w:val="20"/>
        </w:rPr>
        <w:t>(II</w:t>
      </w:r>
      <w:r w:rsidR="007A343F" w:rsidRPr="004930C2">
        <w:rPr>
          <w:color w:val="000000" w:themeColor="text1"/>
          <w:sz w:val="20"/>
        </w:rPr>
        <w:t>–</w:t>
      </w:r>
      <w:r w:rsidR="00870CB7" w:rsidRPr="004930C2">
        <w:rPr>
          <w:color w:val="000000" w:themeColor="text1"/>
          <w:sz w:val="20"/>
        </w:rPr>
        <w:t>VII), the DM</w:t>
      </w:r>
      <w:r w:rsidR="00870CB7" w:rsidRPr="004930C2">
        <w:rPr>
          <w:color w:val="000000" w:themeColor="text1"/>
          <w:sz w:val="20"/>
          <w:vertAlign w:val="subscript"/>
        </w:rPr>
        <w:t>BC</w:t>
      </w:r>
      <w:r w:rsidR="00870CB7" w:rsidRPr="004930C2">
        <w:rPr>
          <w:color w:val="000000" w:themeColor="text1"/>
          <w:sz w:val="20"/>
        </w:rPr>
        <w:t>-compost treatments (V</w:t>
      </w:r>
      <w:r w:rsidR="00F36DD0" w:rsidRPr="004930C2">
        <w:rPr>
          <w:color w:val="000000" w:themeColor="text1"/>
          <w:sz w:val="20"/>
        </w:rPr>
        <w:t>–</w:t>
      </w:r>
      <w:r w:rsidR="00870CB7" w:rsidRPr="004930C2">
        <w:rPr>
          <w:color w:val="000000" w:themeColor="text1"/>
          <w:sz w:val="20"/>
        </w:rPr>
        <w:t>VII) showed lower δ</w:t>
      </w:r>
      <w:r w:rsidR="00870CB7" w:rsidRPr="004930C2">
        <w:rPr>
          <w:color w:val="000000" w:themeColor="text1"/>
          <w:sz w:val="20"/>
          <w:vertAlign w:val="superscript"/>
        </w:rPr>
        <w:t>15</w:t>
      </w:r>
      <w:r w:rsidR="00870CB7" w:rsidRPr="004930C2">
        <w:rPr>
          <w:color w:val="000000" w:themeColor="text1"/>
          <w:sz w:val="20"/>
        </w:rPr>
        <w:t xml:space="preserve">N values than </w:t>
      </w:r>
      <w:r w:rsidR="0081544E" w:rsidRPr="004930C2">
        <w:rPr>
          <w:color w:val="000000" w:themeColor="text1"/>
          <w:sz w:val="20"/>
        </w:rPr>
        <w:t>those shown by the</w:t>
      </w:r>
      <w:r w:rsidR="00870CB7" w:rsidRPr="004930C2">
        <w:rPr>
          <w:color w:val="000000" w:themeColor="text1"/>
          <w:sz w:val="20"/>
        </w:rPr>
        <w:t xml:space="preserve"> WD</w:t>
      </w:r>
      <w:r w:rsidR="00870CB7" w:rsidRPr="004930C2">
        <w:rPr>
          <w:color w:val="000000" w:themeColor="text1"/>
          <w:sz w:val="20"/>
          <w:vertAlign w:val="subscript"/>
        </w:rPr>
        <w:t>BC</w:t>
      </w:r>
      <w:r w:rsidR="00870CB7" w:rsidRPr="004930C2">
        <w:rPr>
          <w:color w:val="000000" w:themeColor="text1"/>
          <w:sz w:val="20"/>
        </w:rPr>
        <w:t>-compost treatments (II</w:t>
      </w:r>
      <w:r w:rsidR="0081544E" w:rsidRPr="004930C2">
        <w:rPr>
          <w:color w:val="000000" w:themeColor="text1"/>
          <w:sz w:val="20"/>
        </w:rPr>
        <w:t>–</w:t>
      </w:r>
      <w:r w:rsidR="00870CB7" w:rsidRPr="004930C2">
        <w:rPr>
          <w:color w:val="000000" w:themeColor="text1"/>
          <w:sz w:val="20"/>
        </w:rPr>
        <w:t>IV)</w:t>
      </w:r>
      <w:r w:rsidR="0077231E" w:rsidRPr="004930C2">
        <w:rPr>
          <w:color w:val="000000" w:themeColor="text1"/>
          <w:sz w:val="20"/>
        </w:rPr>
        <w:t xml:space="preserve"> (</w:t>
      </w:r>
      <w:r w:rsidR="0077231E" w:rsidRPr="004930C2">
        <w:rPr>
          <w:i/>
          <w:color w:val="000000" w:themeColor="text1"/>
          <w:sz w:val="20"/>
        </w:rPr>
        <w:t>p</w:t>
      </w:r>
      <w:r w:rsidR="0077231E" w:rsidRPr="004930C2">
        <w:rPr>
          <w:color w:val="000000" w:themeColor="text1"/>
          <w:sz w:val="20"/>
        </w:rPr>
        <w:t xml:space="preserve"> &lt; 0.001, Table 4)</w:t>
      </w:r>
      <w:r w:rsidR="004249AF" w:rsidRPr="004930C2">
        <w:rPr>
          <w:color w:val="000000" w:themeColor="text1"/>
          <w:sz w:val="20"/>
        </w:rPr>
        <w:t xml:space="preserve">. </w:t>
      </w:r>
      <w:r w:rsidR="005A684F" w:rsidRPr="004930C2">
        <w:rPr>
          <w:color w:val="000000" w:themeColor="text1"/>
          <w:sz w:val="20"/>
        </w:rPr>
        <w:t>Conversely</w:t>
      </w:r>
      <w:r w:rsidR="0077231E" w:rsidRPr="004930C2">
        <w:rPr>
          <w:color w:val="000000" w:themeColor="text1"/>
          <w:sz w:val="20"/>
        </w:rPr>
        <w:t>, neither the interaction (</w:t>
      </w:r>
      <w:r w:rsidR="0077231E" w:rsidRPr="004930C2">
        <w:rPr>
          <w:i/>
          <w:color w:val="000000" w:themeColor="text1"/>
          <w:sz w:val="20"/>
        </w:rPr>
        <w:t>p</w:t>
      </w:r>
      <w:r w:rsidR="0077231E" w:rsidRPr="004930C2">
        <w:rPr>
          <w:color w:val="000000" w:themeColor="text1"/>
          <w:sz w:val="20"/>
        </w:rPr>
        <w:t xml:space="preserve"> = 0.351) </w:t>
      </w:r>
      <w:r w:rsidR="00DD2087" w:rsidRPr="004930C2">
        <w:rPr>
          <w:color w:val="000000" w:themeColor="text1"/>
          <w:sz w:val="20"/>
        </w:rPr>
        <w:t>n</w:t>
      </w:r>
      <w:r w:rsidR="0077231E" w:rsidRPr="004930C2">
        <w:rPr>
          <w:color w:val="000000" w:themeColor="text1"/>
          <w:sz w:val="20"/>
        </w:rPr>
        <w:t>or carbonization temperature (</w:t>
      </w:r>
      <w:r w:rsidR="0077231E" w:rsidRPr="004930C2">
        <w:rPr>
          <w:i/>
          <w:color w:val="000000" w:themeColor="text1"/>
          <w:sz w:val="20"/>
        </w:rPr>
        <w:t>p</w:t>
      </w:r>
      <w:r w:rsidR="0077231E" w:rsidRPr="004930C2">
        <w:rPr>
          <w:color w:val="000000" w:themeColor="text1"/>
          <w:sz w:val="20"/>
        </w:rPr>
        <w:t xml:space="preserve"> = 0.388) had great influence on the δ</w:t>
      </w:r>
      <w:r w:rsidR="0077231E" w:rsidRPr="004930C2">
        <w:rPr>
          <w:color w:val="000000" w:themeColor="text1"/>
          <w:sz w:val="20"/>
          <w:vertAlign w:val="superscript"/>
        </w:rPr>
        <w:t>15</w:t>
      </w:r>
      <w:r w:rsidR="0077231E" w:rsidRPr="004930C2">
        <w:rPr>
          <w:color w:val="000000" w:themeColor="text1"/>
          <w:sz w:val="20"/>
        </w:rPr>
        <w:t>N values (Table 4)</w:t>
      </w:r>
      <w:r w:rsidR="00EC7DE0" w:rsidRPr="004930C2">
        <w:rPr>
          <w:color w:val="000000" w:themeColor="text1"/>
          <w:sz w:val="20"/>
        </w:rPr>
        <w:t>.</w:t>
      </w:r>
    </w:p>
    <w:p w14:paraId="6052CF23" w14:textId="71B46034" w:rsidR="002F3249" w:rsidRPr="004930C2" w:rsidRDefault="002F3249" w:rsidP="00330D39">
      <w:pPr>
        <w:spacing w:line="480" w:lineRule="auto"/>
        <w:rPr>
          <w:color w:val="000000" w:themeColor="text1"/>
          <w:sz w:val="20"/>
        </w:rPr>
      </w:pPr>
    </w:p>
    <w:p w14:paraId="2FDBA759" w14:textId="2EDC323C" w:rsidR="001A1B78" w:rsidRPr="004930C2" w:rsidRDefault="001A1B78" w:rsidP="00330D39">
      <w:pPr>
        <w:spacing w:line="480" w:lineRule="auto"/>
        <w:rPr>
          <w:b/>
          <w:color w:val="000000" w:themeColor="text1"/>
          <w:sz w:val="20"/>
        </w:rPr>
      </w:pPr>
      <w:r w:rsidRPr="004930C2">
        <w:rPr>
          <w:b/>
          <w:color w:val="000000" w:themeColor="text1"/>
          <w:sz w:val="20"/>
        </w:rPr>
        <w:lastRenderedPageBreak/>
        <w:t>4. Discussion</w:t>
      </w:r>
    </w:p>
    <w:p w14:paraId="53A95EF3" w14:textId="6862DFB0" w:rsidR="00DB22AD" w:rsidRPr="004930C2" w:rsidRDefault="00A859F0" w:rsidP="00657348">
      <w:pPr>
        <w:spacing w:line="480" w:lineRule="auto"/>
        <w:rPr>
          <w:color w:val="000000" w:themeColor="text1"/>
          <w:sz w:val="20"/>
        </w:rPr>
      </w:pPr>
      <w:r w:rsidRPr="004930C2">
        <w:rPr>
          <w:color w:val="000000" w:themeColor="text1"/>
          <w:sz w:val="20"/>
        </w:rPr>
        <w:t>The results revealed that a</w:t>
      </w:r>
      <w:r w:rsidR="00DE0060" w:rsidRPr="004930C2">
        <w:rPr>
          <w:color w:val="000000" w:themeColor="text1"/>
          <w:sz w:val="20"/>
        </w:rPr>
        <w:t xml:space="preserve">lthough all the biochar-compost applications tended to promote plant growth </w:t>
      </w:r>
      <w:r w:rsidR="009035D9" w:rsidRPr="004930C2">
        <w:rPr>
          <w:color w:val="000000" w:themeColor="text1"/>
          <w:sz w:val="20"/>
        </w:rPr>
        <w:t xml:space="preserve">when </w:t>
      </w:r>
      <w:r w:rsidR="00DE0060" w:rsidRPr="004930C2">
        <w:rPr>
          <w:color w:val="000000" w:themeColor="text1"/>
          <w:sz w:val="20"/>
        </w:rPr>
        <w:t>compared with compost application alone, significant difference was observed only with DM</w:t>
      </w:r>
      <w:r w:rsidR="00DE0060" w:rsidRPr="004930C2">
        <w:rPr>
          <w:color w:val="000000" w:themeColor="text1"/>
          <w:sz w:val="20"/>
          <w:vertAlign w:val="subscript"/>
        </w:rPr>
        <w:t>BC450</w:t>
      </w:r>
      <w:r w:rsidR="00DE0060" w:rsidRPr="004930C2">
        <w:rPr>
          <w:color w:val="000000" w:themeColor="text1"/>
          <w:sz w:val="20"/>
        </w:rPr>
        <w:t>- and DM</w:t>
      </w:r>
      <w:r w:rsidR="00DE0060" w:rsidRPr="004930C2">
        <w:rPr>
          <w:color w:val="000000" w:themeColor="text1"/>
          <w:sz w:val="20"/>
          <w:vertAlign w:val="subscript"/>
        </w:rPr>
        <w:t>BC600</w:t>
      </w:r>
      <w:r w:rsidR="00DE0060" w:rsidRPr="004930C2">
        <w:rPr>
          <w:color w:val="000000" w:themeColor="text1"/>
          <w:sz w:val="20"/>
        </w:rPr>
        <w:t xml:space="preserve">-compost applications. It </w:t>
      </w:r>
      <w:r w:rsidR="009035D9" w:rsidRPr="004930C2">
        <w:rPr>
          <w:color w:val="000000" w:themeColor="text1"/>
          <w:sz w:val="20"/>
        </w:rPr>
        <w:t>indicates that</w:t>
      </w:r>
      <w:r w:rsidR="00DE0060" w:rsidRPr="004930C2">
        <w:rPr>
          <w:color w:val="000000" w:themeColor="text1"/>
          <w:sz w:val="20"/>
        </w:rPr>
        <w:t xml:space="preserve"> hypothesis #1 is conditionally supported. Moreover, the diversity of biochar caused a difference in the extent of plant growth, indicating that hypothesis #2 is proven.</w:t>
      </w:r>
    </w:p>
    <w:p w14:paraId="0E5FFB68" w14:textId="12D04A07" w:rsidR="005D56D6" w:rsidRPr="004930C2" w:rsidRDefault="0096174D" w:rsidP="0072564A">
      <w:pPr>
        <w:spacing w:line="480" w:lineRule="auto"/>
        <w:ind w:firstLine="840"/>
        <w:rPr>
          <w:color w:val="000000" w:themeColor="text1"/>
          <w:sz w:val="20"/>
        </w:rPr>
      </w:pPr>
      <w:r w:rsidRPr="004930C2">
        <w:rPr>
          <w:color w:val="000000" w:themeColor="text1"/>
          <w:sz w:val="20"/>
        </w:rPr>
        <w:t>N</w:t>
      </w:r>
      <w:r w:rsidR="00F02742" w:rsidRPr="004930C2">
        <w:rPr>
          <w:color w:val="000000" w:themeColor="text1"/>
          <w:sz w:val="20"/>
        </w:rPr>
        <w:t>itrogen analyses in th</w:t>
      </w:r>
      <w:r w:rsidR="002410DC" w:rsidRPr="004930C2">
        <w:rPr>
          <w:color w:val="000000" w:themeColor="text1"/>
          <w:sz w:val="20"/>
        </w:rPr>
        <w:t xml:space="preserve">is </w:t>
      </w:r>
      <w:r w:rsidR="00F02742" w:rsidRPr="004930C2">
        <w:rPr>
          <w:color w:val="000000" w:themeColor="text1"/>
          <w:sz w:val="20"/>
        </w:rPr>
        <w:t xml:space="preserve">study supported </w:t>
      </w:r>
      <w:r w:rsidR="004D424C" w:rsidRPr="004930C2">
        <w:rPr>
          <w:color w:val="000000" w:themeColor="text1"/>
          <w:sz w:val="20"/>
        </w:rPr>
        <w:t>the fact that</w:t>
      </w:r>
      <w:r w:rsidR="00F02742" w:rsidRPr="004930C2">
        <w:rPr>
          <w:color w:val="000000" w:themeColor="text1"/>
          <w:sz w:val="20"/>
        </w:rPr>
        <w:t xml:space="preserve"> </w:t>
      </w:r>
      <w:r w:rsidR="001161B0" w:rsidRPr="004930C2">
        <w:rPr>
          <w:color w:val="000000" w:themeColor="text1"/>
          <w:sz w:val="20"/>
        </w:rPr>
        <w:t xml:space="preserve">the </w:t>
      </w:r>
      <w:r w:rsidR="00F02742" w:rsidRPr="004930C2">
        <w:rPr>
          <w:color w:val="000000" w:themeColor="text1"/>
          <w:sz w:val="20"/>
        </w:rPr>
        <w:t xml:space="preserve">increase in biomass production at biochar-compost application </w:t>
      </w:r>
      <w:r w:rsidR="000605B5" w:rsidRPr="004930C2">
        <w:rPr>
          <w:color w:val="000000" w:themeColor="text1"/>
          <w:sz w:val="20"/>
        </w:rPr>
        <w:t xml:space="preserve">is </w:t>
      </w:r>
      <w:r w:rsidR="004D424C" w:rsidRPr="004930C2">
        <w:rPr>
          <w:color w:val="000000" w:themeColor="text1"/>
          <w:sz w:val="20"/>
        </w:rPr>
        <w:t xml:space="preserve">caused by </w:t>
      </w:r>
      <w:r w:rsidR="00F02742" w:rsidRPr="004930C2">
        <w:rPr>
          <w:rFonts w:hint="eastAsia"/>
          <w:color w:val="000000" w:themeColor="text1"/>
          <w:sz w:val="20"/>
        </w:rPr>
        <w:t>m</w:t>
      </w:r>
      <w:r w:rsidR="00F02742" w:rsidRPr="004930C2">
        <w:rPr>
          <w:color w:val="000000" w:themeColor="text1"/>
          <w:sz w:val="20"/>
        </w:rPr>
        <w:t>ore nitrogen supply to the plant.</w:t>
      </w:r>
      <w:r w:rsidR="003302DF" w:rsidRPr="004930C2">
        <w:rPr>
          <w:color w:val="000000" w:themeColor="text1"/>
          <w:sz w:val="20"/>
        </w:rPr>
        <w:t xml:space="preserve"> </w:t>
      </w:r>
      <w:r w:rsidR="00B56C51" w:rsidRPr="004930C2">
        <w:rPr>
          <w:color w:val="000000" w:themeColor="text1"/>
          <w:sz w:val="20"/>
        </w:rPr>
        <w:t>An</w:t>
      </w:r>
      <w:r w:rsidR="000605B5" w:rsidRPr="004930C2">
        <w:rPr>
          <w:color w:val="000000" w:themeColor="text1"/>
          <w:sz w:val="20"/>
        </w:rPr>
        <w:t xml:space="preserve"> explanation </w:t>
      </w:r>
      <w:r w:rsidR="00830CF4" w:rsidRPr="004930C2">
        <w:rPr>
          <w:color w:val="000000" w:themeColor="text1"/>
          <w:sz w:val="20"/>
        </w:rPr>
        <w:t xml:space="preserve">for </w:t>
      </w:r>
      <w:r w:rsidR="00B56C51" w:rsidRPr="004930C2">
        <w:rPr>
          <w:color w:val="000000" w:themeColor="text1"/>
          <w:sz w:val="20"/>
        </w:rPr>
        <w:t>this</w:t>
      </w:r>
      <w:r w:rsidR="001B1C88" w:rsidRPr="004930C2">
        <w:rPr>
          <w:color w:val="000000" w:themeColor="text1"/>
          <w:sz w:val="20"/>
        </w:rPr>
        <w:t xml:space="preserve"> </w:t>
      </w:r>
      <w:r w:rsidR="000605B5" w:rsidRPr="004930C2">
        <w:rPr>
          <w:color w:val="000000" w:themeColor="text1"/>
          <w:sz w:val="20"/>
        </w:rPr>
        <w:t xml:space="preserve">would be </w:t>
      </w:r>
      <w:r w:rsidR="00170021" w:rsidRPr="004930C2">
        <w:rPr>
          <w:color w:val="000000" w:themeColor="text1"/>
          <w:sz w:val="20"/>
        </w:rPr>
        <w:t xml:space="preserve">the </w:t>
      </w:r>
      <w:r w:rsidR="00094BAD" w:rsidRPr="004930C2">
        <w:rPr>
          <w:color w:val="000000" w:themeColor="text1"/>
          <w:sz w:val="20"/>
        </w:rPr>
        <w:t>enhanced</w:t>
      </w:r>
      <w:r w:rsidR="00170021" w:rsidRPr="004930C2">
        <w:rPr>
          <w:color w:val="000000" w:themeColor="text1"/>
          <w:sz w:val="20"/>
        </w:rPr>
        <w:t xml:space="preserve"> nitrogen availability of compost by </w:t>
      </w:r>
      <w:r w:rsidR="00094BAD" w:rsidRPr="004930C2">
        <w:rPr>
          <w:color w:val="000000" w:themeColor="text1"/>
          <w:sz w:val="20"/>
        </w:rPr>
        <w:t xml:space="preserve">the </w:t>
      </w:r>
      <w:r w:rsidR="000605B5" w:rsidRPr="004930C2">
        <w:rPr>
          <w:color w:val="000000" w:themeColor="text1"/>
          <w:sz w:val="20"/>
        </w:rPr>
        <w:t xml:space="preserve">biochar </w:t>
      </w:r>
      <w:r w:rsidR="00170021" w:rsidRPr="004930C2">
        <w:rPr>
          <w:color w:val="000000" w:themeColor="text1"/>
          <w:sz w:val="20"/>
        </w:rPr>
        <w:t xml:space="preserve">addition. Biochar </w:t>
      </w:r>
      <w:r w:rsidR="00094BAD" w:rsidRPr="004930C2">
        <w:rPr>
          <w:color w:val="000000" w:themeColor="text1"/>
          <w:sz w:val="20"/>
        </w:rPr>
        <w:t xml:space="preserve">can </w:t>
      </w:r>
      <w:r w:rsidR="00170021" w:rsidRPr="004930C2">
        <w:rPr>
          <w:color w:val="000000" w:themeColor="text1"/>
          <w:sz w:val="20"/>
        </w:rPr>
        <w:t>enhance microbial activity by providing</w:t>
      </w:r>
      <w:r w:rsidR="00094BAD" w:rsidRPr="004930C2">
        <w:rPr>
          <w:color w:val="000000" w:themeColor="text1"/>
          <w:sz w:val="20"/>
        </w:rPr>
        <w:t xml:space="preserve"> suitable</w:t>
      </w:r>
      <w:r w:rsidR="00170021" w:rsidRPr="004930C2">
        <w:rPr>
          <w:color w:val="000000" w:themeColor="text1"/>
          <w:sz w:val="20"/>
        </w:rPr>
        <w:t xml:space="preserve"> habitat</w:t>
      </w:r>
      <w:r w:rsidR="00094BAD" w:rsidRPr="004930C2">
        <w:rPr>
          <w:color w:val="000000" w:themeColor="text1"/>
          <w:sz w:val="20"/>
        </w:rPr>
        <w:t>s for microorganisms</w:t>
      </w:r>
      <w:r w:rsidR="00170021" w:rsidRPr="004930C2">
        <w:rPr>
          <w:color w:val="000000" w:themeColor="text1"/>
          <w:sz w:val="20"/>
        </w:rPr>
        <w:t xml:space="preserve"> such as </w:t>
      </w:r>
      <w:r w:rsidR="00016E9A" w:rsidRPr="004930C2">
        <w:rPr>
          <w:color w:val="000000" w:themeColor="text1"/>
          <w:sz w:val="20"/>
        </w:rPr>
        <w:t>porous structure</w:t>
      </w:r>
      <w:r w:rsidR="00094BAD" w:rsidRPr="004930C2">
        <w:rPr>
          <w:color w:val="000000" w:themeColor="text1"/>
          <w:sz w:val="20"/>
        </w:rPr>
        <w:t>s</w:t>
      </w:r>
      <w:r w:rsidR="00170021" w:rsidRPr="004930C2">
        <w:rPr>
          <w:color w:val="000000" w:themeColor="text1"/>
          <w:sz w:val="20"/>
        </w:rPr>
        <w:t xml:space="preserve"> and easily degradable carbon (Hamer et al. 2004</w:t>
      </w:r>
      <w:r w:rsidR="00295C91" w:rsidRPr="004930C2">
        <w:rPr>
          <w:color w:val="000000" w:themeColor="text1"/>
          <w:sz w:val="20"/>
        </w:rPr>
        <w:t>; Jaafar</w:t>
      </w:r>
      <w:r w:rsidR="00295C91" w:rsidRPr="004930C2">
        <w:rPr>
          <w:i/>
          <w:color w:val="000000" w:themeColor="text1"/>
          <w:sz w:val="20"/>
        </w:rPr>
        <w:t xml:space="preserve"> </w:t>
      </w:r>
      <w:r w:rsidR="00295C91" w:rsidRPr="004930C2">
        <w:rPr>
          <w:color w:val="000000" w:themeColor="text1"/>
          <w:sz w:val="20"/>
        </w:rPr>
        <w:t>et al. 2015</w:t>
      </w:r>
      <w:r w:rsidR="00094BAD" w:rsidRPr="004930C2">
        <w:rPr>
          <w:color w:val="000000" w:themeColor="text1"/>
          <w:sz w:val="20"/>
        </w:rPr>
        <w:t xml:space="preserve">; </w:t>
      </w:r>
      <w:proofErr w:type="spellStart"/>
      <w:r w:rsidR="00094BAD" w:rsidRPr="004930C2">
        <w:rPr>
          <w:color w:val="000000" w:themeColor="text1"/>
          <w:sz w:val="20"/>
        </w:rPr>
        <w:t>Mašek</w:t>
      </w:r>
      <w:proofErr w:type="spellEnd"/>
      <w:r w:rsidR="00094BAD" w:rsidRPr="004930C2">
        <w:rPr>
          <w:i/>
          <w:color w:val="000000" w:themeColor="text1"/>
          <w:sz w:val="20"/>
        </w:rPr>
        <w:t xml:space="preserve"> </w:t>
      </w:r>
      <w:r w:rsidR="00094BAD" w:rsidRPr="004930C2">
        <w:rPr>
          <w:color w:val="000000" w:themeColor="text1"/>
          <w:sz w:val="20"/>
        </w:rPr>
        <w:t>et al. 2013</w:t>
      </w:r>
      <w:r w:rsidR="00170021" w:rsidRPr="004930C2">
        <w:rPr>
          <w:color w:val="000000" w:themeColor="text1"/>
          <w:sz w:val="20"/>
        </w:rPr>
        <w:t xml:space="preserve">), </w:t>
      </w:r>
      <w:r w:rsidR="00300CB9" w:rsidRPr="004930C2">
        <w:rPr>
          <w:color w:val="000000" w:themeColor="text1"/>
          <w:sz w:val="20"/>
        </w:rPr>
        <w:t>resulting in promoting</w:t>
      </w:r>
      <w:r w:rsidR="00170021" w:rsidRPr="004930C2">
        <w:rPr>
          <w:color w:val="000000" w:themeColor="text1"/>
          <w:sz w:val="20"/>
        </w:rPr>
        <w:t xml:space="preserve"> </w:t>
      </w:r>
      <w:r w:rsidR="00094BAD" w:rsidRPr="004930C2">
        <w:rPr>
          <w:color w:val="000000" w:themeColor="text1"/>
          <w:sz w:val="20"/>
        </w:rPr>
        <w:t xml:space="preserve">the </w:t>
      </w:r>
      <w:r w:rsidR="00170021" w:rsidRPr="004930C2">
        <w:rPr>
          <w:color w:val="000000" w:themeColor="text1"/>
          <w:sz w:val="20"/>
        </w:rPr>
        <w:t>mineralization of soil organic matter (Hamer</w:t>
      </w:r>
      <w:r w:rsidR="00170021" w:rsidRPr="004930C2">
        <w:rPr>
          <w:i/>
          <w:color w:val="000000" w:themeColor="text1"/>
          <w:sz w:val="20"/>
        </w:rPr>
        <w:t xml:space="preserve"> </w:t>
      </w:r>
      <w:r w:rsidR="00170021" w:rsidRPr="004930C2">
        <w:rPr>
          <w:color w:val="000000" w:themeColor="text1"/>
          <w:sz w:val="20"/>
        </w:rPr>
        <w:t>et al. 2004; Zimmerman</w:t>
      </w:r>
      <w:r w:rsidR="00170021" w:rsidRPr="004930C2">
        <w:rPr>
          <w:i/>
          <w:color w:val="000000" w:themeColor="text1"/>
          <w:sz w:val="20"/>
        </w:rPr>
        <w:t xml:space="preserve"> </w:t>
      </w:r>
      <w:r w:rsidR="00170021" w:rsidRPr="004930C2">
        <w:rPr>
          <w:color w:val="000000" w:themeColor="text1"/>
          <w:sz w:val="20"/>
        </w:rPr>
        <w:t xml:space="preserve">et al. 2011). </w:t>
      </w:r>
      <w:r w:rsidR="00960B58" w:rsidRPr="004930C2">
        <w:rPr>
          <w:color w:val="000000" w:themeColor="text1"/>
          <w:sz w:val="20"/>
        </w:rPr>
        <w:t>Furthermore, recent studies observed that biochar application increases nutrient content</w:t>
      </w:r>
      <w:r w:rsidR="00E36C03" w:rsidRPr="004930C2">
        <w:rPr>
          <w:color w:val="000000" w:themeColor="text1"/>
          <w:sz w:val="20"/>
        </w:rPr>
        <w:t>s</w:t>
      </w:r>
      <w:r w:rsidR="00960B58" w:rsidRPr="004930C2">
        <w:rPr>
          <w:color w:val="000000" w:themeColor="text1"/>
          <w:sz w:val="20"/>
        </w:rPr>
        <w:t xml:space="preserve"> in </w:t>
      </w:r>
      <w:r w:rsidR="00B34C75" w:rsidRPr="004930C2">
        <w:rPr>
          <w:color w:val="000000" w:themeColor="text1"/>
          <w:sz w:val="20"/>
        </w:rPr>
        <w:t xml:space="preserve">the </w:t>
      </w:r>
      <w:r w:rsidR="00960B58" w:rsidRPr="004930C2">
        <w:rPr>
          <w:color w:val="000000" w:themeColor="text1"/>
          <w:sz w:val="20"/>
        </w:rPr>
        <w:t>soil</w:t>
      </w:r>
      <w:r w:rsidR="00E36C03" w:rsidRPr="004930C2">
        <w:rPr>
          <w:color w:val="000000" w:themeColor="text1"/>
          <w:sz w:val="20"/>
        </w:rPr>
        <w:t xml:space="preserve"> due to </w:t>
      </w:r>
      <w:r w:rsidR="00B65D34" w:rsidRPr="004930C2">
        <w:rPr>
          <w:color w:val="000000" w:themeColor="text1"/>
          <w:sz w:val="20"/>
        </w:rPr>
        <w:t xml:space="preserve">improved </w:t>
      </w:r>
      <w:r w:rsidR="00E36C03" w:rsidRPr="004930C2">
        <w:rPr>
          <w:color w:val="000000" w:themeColor="text1"/>
          <w:sz w:val="20"/>
        </w:rPr>
        <w:t>soil porosity and water</w:t>
      </w:r>
      <w:r w:rsidR="0050128B" w:rsidRPr="004930C2">
        <w:rPr>
          <w:color w:val="000000" w:themeColor="text1"/>
          <w:sz w:val="20"/>
        </w:rPr>
        <w:t>-holding</w:t>
      </w:r>
      <w:r w:rsidR="00E36C03" w:rsidRPr="004930C2">
        <w:rPr>
          <w:color w:val="000000" w:themeColor="text1"/>
          <w:sz w:val="20"/>
        </w:rPr>
        <w:t xml:space="preserve"> capacity </w:t>
      </w:r>
      <w:r w:rsidR="00960B58" w:rsidRPr="004930C2">
        <w:rPr>
          <w:color w:val="000000" w:themeColor="text1"/>
          <w:sz w:val="20"/>
        </w:rPr>
        <w:t>(</w:t>
      </w:r>
      <w:r w:rsidR="009D0DBA">
        <w:rPr>
          <w:color w:val="000000" w:themeColor="text1"/>
          <w:sz w:val="20"/>
        </w:rPr>
        <w:t>Batista et al. 2018</w:t>
      </w:r>
      <w:r w:rsidR="00960B58" w:rsidRPr="004930C2">
        <w:rPr>
          <w:color w:val="000000" w:themeColor="text1"/>
          <w:sz w:val="20"/>
        </w:rPr>
        <w:t xml:space="preserve">; </w:t>
      </w:r>
      <w:r w:rsidR="005B6A80">
        <w:rPr>
          <w:color w:val="000000" w:themeColor="text1"/>
          <w:sz w:val="20"/>
        </w:rPr>
        <w:t>Sun and Lu 2014</w:t>
      </w:r>
      <w:r w:rsidR="00960B58" w:rsidRPr="004930C2">
        <w:rPr>
          <w:color w:val="000000" w:themeColor="text1"/>
          <w:sz w:val="20"/>
        </w:rPr>
        <w:t>)</w:t>
      </w:r>
      <w:r w:rsidR="00DD2087" w:rsidRPr="004930C2">
        <w:rPr>
          <w:color w:val="000000" w:themeColor="text1"/>
          <w:sz w:val="20"/>
        </w:rPr>
        <w:t>.</w:t>
      </w:r>
      <w:r w:rsidR="00960B58" w:rsidRPr="004930C2">
        <w:rPr>
          <w:color w:val="000000" w:themeColor="text1"/>
          <w:sz w:val="20"/>
        </w:rPr>
        <w:t xml:space="preserve"> </w:t>
      </w:r>
      <w:r w:rsidR="00300CB9" w:rsidRPr="004930C2">
        <w:rPr>
          <w:color w:val="000000" w:themeColor="text1"/>
          <w:sz w:val="20"/>
        </w:rPr>
        <w:t>Therefore</w:t>
      </w:r>
      <w:r w:rsidR="00382481" w:rsidRPr="004930C2">
        <w:rPr>
          <w:color w:val="000000" w:themeColor="text1"/>
          <w:sz w:val="20"/>
        </w:rPr>
        <w:t xml:space="preserve">, </w:t>
      </w:r>
      <w:r w:rsidR="007B776F" w:rsidRPr="004930C2">
        <w:rPr>
          <w:color w:val="000000" w:themeColor="text1"/>
          <w:sz w:val="20"/>
        </w:rPr>
        <w:t xml:space="preserve">the </w:t>
      </w:r>
      <w:r w:rsidR="00382481" w:rsidRPr="004930C2">
        <w:rPr>
          <w:color w:val="000000" w:themeColor="text1"/>
          <w:sz w:val="20"/>
        </w:rPr>
        <w:t>biochar</w:t>
      </w:r>
      <w:r w:rsidR="00E36C03" w:rsidRPr="004930C2">
        <w:rPr>
          <w:color w:val="000000" w:themeColor="text1"/>
          <w:sz w:val="20"/>
        </w:rPr>
        <w:t>-compost application is believed</w:t>
      </w:r>
      <w:r w:rsidR="00094BAD" w:rsidRPr="004930C2">
        <w:rPr>
          <w:color w:val="000000" w:themeColor="text1"/>
          <w:sz w:val="20"/>
        </w:rPr>
        <w:t xml:space="preserve"> to </w:t>
      </w:r>
      <w:r w:rsidR="00382481" w:rsidRPr="004930C2">
        <w:rPr>
          <w:color w:val="000000" w:themeColor="text1"/>
          <w:sz w:val="20"/>
        </w:rPr>
        <w:t>accelerate the mineralization of organic matter in compost by enhancing microbial activity</w:t>
      </w:r>
      <w:r w:rsidR="00094BAD" w:rsidRPr="004930C2">
        <w:rPr>
          <w:color w:val="000000" w:themeColor="text1"/>
          <w:sz w:val="20"/>
        </w:rPr>
        <w:t xml:space="preserve">, </w:t>
      </w:r>
      <w:r w:rsidR="00B13784" w:rsidRPr="004930C2">
        <w:rPr>
          <w:color w:val="000000" w:themeColor="text1"/>
          <w:sz w:val="20"/>
        </w:rPr>
        <w:t>resulting in</w:t>
      </w:r>
      <w:r w:rsidR="00382481" w:rsidRPr="004930C2">
        <w:rPr>
          <w:color w:val="000000" w:themeColor="text1"/>
          <w:sz w:val="20"/>
        </w:rPr>
        <w:t xml:space="preserve"> increased </w:t>
      </w:r>
      <w:r w:rsidR="00EC0897" w:rsidRPr="004930C2">
        <w:rPr>
          <w:color w:val="000000" w:themeColor="text1"/>
          <w:sz w:val="20"/>
        </w:rPr>
        <w:t xml:space="preserve">nitrogen </w:t>
      </w:r>
      <w:r w:rsidR="00137964" w:rsidRPr="004930C2">
        <w:rPr>
          <w:color w:val="000000" w:themeColor="text1"/>
          <w:sz w:val="20"/>
        </w:rPr>
        <w:t>release</w:t>
      </w:r>
      <w:r w:rsidR="00EC0897" w:rsidRPr="004930C2">
        <w:rPr>
          <w:color w:val="000000" w:themeColor="text1"/>
          <w:sz w:val="20"/>
        </w:rPr>
        <w:t xml:space="preserve"> from compost.</w:t>
      </w:r>
      <w:r w:rsidR="003302DF" w:rsidRPr="004930C2">
        <w:rPr>
          <w:color w:val="000000" w:themeColor="text1"/>
          <w:sz w:val="20"/>
        </w:rPr>
        <w:t xml:space="preserve"> </w:t>
      </w:r>
    </w:p>
    <w:p w14:paraId="7DDDCF18" w14:textId="7A9BA52B" w:rsidR="001624DB" w:rsidRPr="004930C2" w:rsidRDefault="00830CF4" w:rsidP="0072564A">
      <w:pPr>
        <w:spacing w:line="480" w:lineRule="auto"/>
        <w:ind w:firstLine="840"/>
        <w:rPr>
          <w:color w:val="000000" w:themeColor="text1"/>
          <w:sz w:val="20"/>
        </w:rPr>
      </w:pPr>
      <w:r w:rsidRPr="004930C2">
        <w:rPr>
          <w:color w:val="000000" w:themeColor="text1"/>
          <w:sz w:val="20"/>
        </w:rPr>
        <w:t xml:space="preserve">It is </w:t>
      </w:r>
      <w:r w:rsidR="0076251F" w:rsidRPr="004930C2">
        <w:rPr>
          <w:color w:val="000000" w:themeColor="text1"/>
          <w:sz w:val="20"/>
        </w:rPr>
        <w:t xml:space="preserve">also </w:t>
      </w:r>
      <w:r w:rsidRPr="004930C2">
        <w:rPr>
          <w:color w:val="000000" w:themeColor="text1"/>
          <w:sz w:val="20"/>
        </w:rPr>
        <w:t xml:space="preserve">noteworthy that </w:t>
      </w:r>
      <w:r w:rsidR="0039293D" w:rsidRPr="004930C2">
        <w:rPr>
          <w:color w:val="000000" w:themeColor="text1"/>
          <w:sz w:val="20"/>
        </w:rPr>
        <w:t xml:space="preserve">the oat plants </w:t>
      </w:r>
      <w:r w:rsidR="00FB79FC">
        <w:rPr>
          <w:color w:val="000000" w:themeColor="text1"/>
          <w:sz w:val="20"/>
        </w:rPr>
        <w:t>used</w:t>
      </w:r>
      <w:r w:rsidR="00FB79FC" w:rsidRPr="004930C2">
        <w:rPr>
          <w:color w:val="000000" w:themeColor="text1"/>
          <w:sz w:val="20"/>
        </w:rPr>
        <w:t xml:space="preserve"> </w:t>
      </w:r>
      <w:r w:rsidR="0039293D" w:rsidRPr="004930C2">
        <w:rPr>
          <w:color w:val="000000" w:themeColor="text1"/>
          <w:sz w:val="20"/>
        </w:rPr>
        <w:t xml:space="preserve">nitrogen from </w:t>
      </w:r>
      <w:r w:rsidR="00CF7186" w:rsidRPr="004930C2">
        <w:rPr>
          <w:color w:val="000000" w:themeColor="text1"/>
          <w:sz w:val="20"/>
        </w:rPr>
        <w:t>the</w:t>
      </w:r>
      <w:r w:rsidR="0039293D" w:rsidRPr="004930C2">
        <w:rPr>
          <w:color w:val="000000" w:themeColor="text1"/>
          <w:sz w:val="20"/>
        </w:rPr>
        <w:t xml:space="preserve"> atmosphere</w:t>
      </w:r>
      <w:r w:rsidR="00CF7186" w:rsidRPr="004930C2">
        <w:rPr>
          <w:color w:val="000000" w:themeColor="text1"/>
          <w:sz w:val="20"/>
        </w:rPr>
        <w:t>, as</w:t>
      </w:r>
      <w:r w:rsidR="0039293D" w:rsidRPr="004930C2">
        <w:rPr>
          <w:color w:val="000000" w:themeColor="text1"/>
          <w:sz w:val="20"/>
        </w:rPr>
        <w:t xml:space="preserve"> demonstrated </w:t>
      </w:r>
      <w:r w:rsidR="00FB79FC">
        <w:rPr>
          <w:color w:val="000000" w:themeColor="text1"/>
          <w:sz w:val="20"/>
        </w:rPr>
        <w:t xml:space="preserve">in </w:t>
      </w:r>
      <w:r w:rsidR="0039293D" w:rsidRPr="004930C2">
        <w:rPr>
          <w:color w:val="000000" w:themeColor="text1"/>
          <w:sz w:val="20"/>
        </w:rPr>
        <w:t xml:space="preserve">the isotope analysis </w:t>
      </w:r>
      <w:r w:rsidR="00E27C8B" w:rsidRPr="004930C2">
        <w:rPr>
          <w:color w:val="000000" w:themeColor="text1"/>
          <w:sz w:val="20"/>
        </w:rPr>
        <w:t>(</w:t>
      </w:r>
      <w:r w:rsidR="007E2F1F">
        <w:rPr>
          <w:color w:val="000000" w:themeColor="text1"/>
          <w:sz w:val="20"/>
        </w:rPr>
        <w:t>Fig.</w:t>
      </w:r>
      <w:r w:rsidR="00E27C8B" w:rsidRPr="004930C2">
        <w:rPr>
          <w:color w:val="000000" w:themeColor="text1"/>
          <w:sz w:val="20"/>
        </w:rPr>
        <w:t xml:space="preserve"> 4)</w:t>
      </w:r>
      <w:r w:rsidR="0076251F" w:rsidRPr="004930C2">
        <w:rPr>
          <w:color w:val="000000" w:themeColor="text1"/>
          <w:sz w:val="20"/>
        </w:rPr>
        <w:t xml:space="preserve">. </w:t>
      </w:r>
      <w:r w:rsidR="00DF6FBD" w:rsidRPr="004930C2">
        <w:rPr>
          <w:rFonts w:hint="eastAsia"/>
          <w:color w:val="000000" w:themeColor="text1"/>
          <w:sz w:val="20"/>
        </w:rPr>
        <w:t>C</w:t>
      </w:r>
      <w:r w:rsidR="00DF6FBD" w:rsidRPr="004930C2">
        <w:rPr>
          <w:color w:val="000000" w:themeColor="text1"/>
          <w:sz w:val="20"/>
        </w:rPr>
        <w:t>onsidering rhizobacteria and diazotrophic endophytes are involved in nitrogen fixation in gramineous plants (</w:t>
      </w:r>
      <w:proofErr w:type="spellStart"/>
      <w:r w:rsidR="00DF6FBD" w:rsidRPr="004930C2">
        <w:rPr>
          <w:color w:val="000000" w:themeColor="text1"/>
          <w:sz w:val="20"/>
        </w:rPr>
        <w:t>Elbeltagy</w:t>
      </w:r>
      <w:proofErr w:type="spellEnd"/>
      <w:r w:rsidR="00DF6FBD" w:rsidRPr="004930C2">
        <w:rPr>
          <w:color w:val="000000" w:themeColor="text1"/>
          <w:sz w:val="20"/>
        </w:rPr>
        <w:t xml:space="preserve"> et al. 2001; Soares et al. 2006), it is strongly suggested that the addition of biochar could enhance their activities</w:t>
      </w:r>
      <w:r w:rsidR="00435FAB" w:rsidRPr="004930C2">
        <w:rPr>
          <w:color w:val="000000" w:themeColor="text1"/>
          <w:sz w:val="20"/>
        </w:rPr>
        <w:t>.</w:t>
      </w:r>
      <w:r w:rsidR="00403971" w:rsidRPr="004930C2">
        <w:rPr>
          <w:color w:val="000000" w:themeColor="text1"/>
          <w:sz w:val="20"/>
        </w:rPr>
        <w:t xml:space="preserve"> </w:t>
      </w:r>
      <w:r w:rsidR="00C16119" w:rsidRPr="004930C2">
        <w:rPr>
          <w:color w:val="000000" w:themeColor="text1"/>
          <w:sz w:val="20"/>
        </w:rPr>
        <w:t>Indeed,</w:t>
      </w:r>
      <w:r w:rsidR="0076251F" w:rsidRPr="004930C2">
        <w:rPr>
          <w:color w:val="000000" w:themeColor="text1"/>
          <w:sz w:val="20"/>
        </w:rPr>
        <w:t xml:space="preserve"> </w:t>
      </w:r>
      <w:r w:rsidR="001C6B54" w:rsidRPr="004930C2">
        <w:rPr>
          <w:color w:val="000000" w:themeColor="text1"/>
          <w:sz w:val="20"/>
        </w:rPr>
        <w:t xml:space="preserve">the </w:t>
      </w:r>
      <w:r w:rsidR="00104CF6" w:rsidRPr="004930C2">
        <w:rPr>
          <w:color w:val="000000" w:themeColor="text1"/>
          <w:sz w:val="20"/>
        </w:rPr>
        <w:t>combined application of biochar</w:t>
      </w:r>
      <w:r w:rsidR="009D0DBA">
        <w:rPr>
          <w:rFonts w:hint="eastAsia"/>
          <w:color w:val="000000" w:themeColor="text1"/>
          <w:sz w:val="20"/>
        </w:rPr>
        <w:t xml:space="preserve"> </w:t>
      </w:r>
      <w:r w:rsidR="009D0DBA">
        <w:rPr>
          <w:color w:val="000000" w:themeColor="text1"/>
          <w:sz w:val="20"/>
        </w:rPr>
        <w:t>from grapevine twigs</w:t>
      </w:r>
      <w:r w:rsidR="00104CF6" w:rsidRPr="004930C2">
        <w:rPr>
          <w:color w:val="000000" w:themeColor="text1"/>
          <w:sz w:val="20"/>
        </w:rPr>
        <w:t xml:space="preserve"> and </w:t>
      </w:r>
      <w:r w:rsidR="00104CF6" w:rsidRPr="004930C2">
        <w:rPr>
          <w:color w:val="000000" w:themeColor="text1"/>
          <w:sz w:val="20"/>
        </w:rPr>
        <w:lastRenderedPageBreak/>
        <w:t xml:space="preserve">plant growth-promoting rhizobacteria </w:t>
      </w:r>
      <w:r w:rsidR="001C6B54" w:rsidRPr="004930C2">
        <w:rPr>
          <w:color w:val="000000" w:themeColor="text1"/>
          <w:sz w:val="20"/>
        </w:rPr>
        <w:t>(</w:t>
      </w:r>
      <w:r w:rsidR="00104CF6" w:rsidRPr="004930C2">
        <w:rPr>
          <w:color w:val="000000" w:themeColor="text1"/>
          <w:sz w:val="20"/>
        </w:rPr>
        <w:t>PGPR</w:t>
      </w:r>
      <w:r w:rsidR="001C6B54" w:rsidRPr="004930C2">
        <w:rPr>
          <w:color w:val="000000" w:themeColor="text1"/>
          <w:sz w:val="20"/>
        </w:rPr>
        <w:t>)</w:t>
      </w:r>
      <w:r w:rsidR="00104CF6" w:rsidRPr="004930C2">
        <w:rPr>
          <w:color w:val="000000" w:themeColor="text1"/>
          <w:sz w:val="20"/>
        </w:rPr>
        <w:t xml:space="preserve"> significantly increase</w:t>
      </w:r>
      <w:r w:rsidR="001C6B54" w:rsidRPr="004930C2">
        <w:rPr>
          <w:color w:val="000000" w:themeColor="text1"/>
          <w:sz w:val="20"/>
        </w:rPr>
        <w:t>s</w:t>
      </w:r>
      <w:r w:rsidR="00104CF6" w:rsidRPr="004930C2">
        <w:rPr>
          <w:color w:val="000000" w:themeColor="text1"/>
          <w:sz w:val="20"/>
        </w:rPr>
        <w:t xml:space="preserve"> </w:t>
      </w:r>
      <w:r w:rsidR="004F75C4" w:rsidRPr="004930C2">
        <w:rPr>
          <w:color w:val="000000" w:themeColor="text1"/>
          <w:sz w:val="20"/>
        </w:rPr>
        <w:t xml:space="preserve">the shoot and root length of </w:t>
      </w:r>
      <w:r w:rsidR="001C6B54" w:rsidRPr="004930C2">
        <w:rPr>
          <w:color w:val="000000" w:themeColor="text1"/>
          <w:sz w:val="20"/>
        </w:rPr>
        <w:t>maize (</w:t>
      </w:r>
      <w:proofErr w:type="spellStart"/>
      <w:r w:rsidR="004F75C4" w:rsidRPr="004930C2">
        <w:rPr>
          <w:i/>
          <w:color w:val="000000" w:themeColor="text1"/>
          <w:sz w:val="20"/>
        </w:rPr>
        <w:t>Zea</w:t>
      </w:r>
      <w:proofErr w:type="spellEnd"/>
      <w:r w:rsidR="004F75C4" w:rsidRPr="004930C2">
        <w:rPr>
          <w:i/>
          <w:color w:val="000000" w:themeColor="text1"/>
          <w:sz w:val="20"/>
        </w:rPr>
        <w:t xml:space="preserve"> mays</w:t>
      </w:r>
      <w:r w:rsidR="004F75C4" w:rsidRPr="004930C2">
        <w:rPr>
          <w:color w:val="000000" w:themeColor="text1"/>
          <w:sz w:val="20"/>
        </w:rPr>
        <w:t xml:space="preserve"> L.</w:t>
      </w:r>
      <w:r w:rsidR="001C6B54" w:rsidRPr="004930C2">
        <w:rPr>
          <w:color w:val="000000" w:themeColor="text1"/>
          <w:sz w:val="20"/>
        </w:rPr>
        <w:t>)</w:t>
      </w:r>
      <w:r w:rsidR="004F75C4" w:rsidRPr="004930C2">
        <w:rPr>
          <w:color w:val="000000" w:themeColor="text1"/>
          <w:sz w:val="20"/>
        </w:rPr>
        <w:t xml:space="preserve"> (Ahmad et al. 2015</w:t>
      </w:r>
      <w:r w:rsidR="009D0DBA">
        <w:rPr>
          <w:color w:val="000000" w:themeColor="text1"/>
          <w:sz w:val="20"/>
        </w:rPr>
        <w:t>)</w:t>
      </w:r>
      <w:r w:rsidR="004F75C4" w:rsidRPr="004930C2">
        <w:rPr>
          <w:color w:val="000000" w:themeColor="text1"/>
          <w:sz w:val="20"/>
        </w:rPr>
        <w:t xml:space="preserve">. </w:t>
      </w:r>
      <w:r w:rsidR="009609A4" w:rsidRPr="004930C2">
        <w:rPr>
          <w:color w:val="000000" w:themeColor="text1"/>
          <w:sz w:val="20"/>
        </w:rPr>
        <w:t>Moreover</w:t>
      </w:r>
      <w:r w:rsidR="004F75C4" w:rsidRPr="004930C2">
        <w:rPr>
          <w:color w:val="000000" w:themeColor="text1"/>
          <w:sz w:val="20"/>
        </w:rPr>
        <w:t>,</w:t>
      </w:r>
      <w:r w:rsidR="00FB79FC">
        <w:rPr>
          <w:color w:val="000000" w:themeColor="text1"/>
          <w:sz w:val="20"/>
        </w:rPr>
        <w:t xml:space="preserve"> the application of</w:t>
      </w:r>
      <w:r w:rsidR="004F75C4" w:rsidRPr="004930C2">
        <w:rPr>
          <w:color w:val="000000" w:themeColor="text1"/>
          <w:sz w:val="20"/>
        </w:rPr>
        <w:t xml:space="preserve"> </w:t>
      </w:r>
      <w:r w:rsidR="005C5804" w:rsidRPr="004930C2">
        <w:rPr>
          <w:color w:val="000000" w:themeColor="text1"/>
          <w:sz w:val="20"/>
        </w:rPr>
        <w:t>biochar</w:t>
      </w:r>
      <w:r w:rsidR="002B0C6E" w:rsidRPr="004930C2">
        <w:rPr>
          <w:color w:val="000000" w:themeColor="text1"/>
          <w:sz w:val="20"/>
        </w:rPr>
        <w:t>-c</w:t>
      </w:r>
      <w:r w:rsidR="005C5804" w:rsidRPr="004930C2">
        <w:rPr>
          <w:color w:val="000000" w:themeColor="text1"/>
          <w:sz w:val="20"/>
        </w:rPr>
        <w:t xml:space="preserve">ompost </w:t>
      </w:r>
      <w:r w:rsidR="002B0C6E" w:rsidRPr="004930C2">
        <w:rPr>
          <w:color w:val="000000" w:themeColor="text1"/>
          <w:sz w:val="20"/>
        </w:rPr>
        <w:t>with PGPR (</w:t>
      </w:r>
      <w:r w:rsidR="002B0C6E" w:rsidRPr="004930C2">
        <w:rPr>
          <w:i/>
          <w:color w:val="000000" w:themeColor="text1"/>
          <w:sz w:val="20"/>
        </w:rPr>
        <w:t>Pseudomonas fluorescens</w:t>
      </w:r>
      <w:r w:rsidR="002B0C6E" w:rsidRPr="004930C2">
        <w:rPr>
          <w:color w:val="000000" w:themeColor="text1"/>
          <w:sz w:val="20"/>
        </w:rPr>
        <w:t>) inoculation is capable of mitigating water</w:t>
      </w:r>
      <w:r w:rsidR="001B1C88" w:rsidRPr="004930C2">
        <w:rPr>
          <w:color w:val="000000" w:themeColor="text1"/>
          <w:sz w:val="20"/>
        </w:rPr>
        <w:t xml:space="preserve"> </w:t>
      </w:r>
      <w:r w:rsidR="002B0C6E" w:rsidRPr="004930C2">
        <w:rPr>
          <w:color w:val="000000" w:themeColor="text1"/>
          <w:sz w:val="20"/>
        </w:rPr>
        <w:t>stress and can enhance cucumber growth</w:t>
      </w:r>
      <w:r w:rsidR="00E36C03" w:rsidRPr="004930C2">
        <w:rPr>
          <w:color w:val="000000" w:themeColor="text1"/>
          <w:sz w:val="20"/>
        </w:rPr>
        <w:t xml:space="preserve"> (</w:t>
      </w:r>
      <w:r w:rsidR="009609A4" w:rsidRPr="004930C2">
        <w:rPr>
          <w:color w:val="000000" w:themeColor="text1"/>
          <w:sz w:val="20"/>
        </w:rPr>
        <w:t>Nadeem et al. 2017)</w:t>
      </w:r>
      <w:r w:rsidR="002B0C6E" w:rsidRPr="004930C2">
        <w:rPr>
          <w:color w:val="000000" w:themeColor="text1"/>
          <w:sz w:val="20"/>
        </w:rPr>
        <w:t>.</w:t>
      </w:r>
      <w:r w:rsidR="00E27C8B" w:rsidRPr="004930C2">
        <w:rPr>
          <w:color w:val="000000" w:themeColor="text1"/>
          <w:sz w:val="20"/>
        </w:rPr>
        <w:t xml:space="preserve"> </w:t>
      </w:r>
      <w:r w:rsidR="00CF7186" w:rsidRPr="004930C2">
        <w:rPr>
          <w:color w:val="000000" w:themeColor="text1"/>
          <w:sz w:val="20"/>
        </w:rPr>
        <w:t>Both this</w:t>
      </w:r>
      <w:r w:rsidR="00E27C8B" w:rsidRPr="004930C2">
        <w:rPr>
          <w:color w:val="000000" w:themeColor="text1"/>
          <w:sz w:val="20"/>
        </w:rPr>
        <w:t xml:space="preserve"> </w:t>
      </w:r>
      <w:r w:rsidR="00CF7186" w:rsidRPr="004930C2">
        <w:rPr>
          <w:color w:val="000000" w:themeColor="text1"/>
          <w:sz w:val="20"/>
        </w:rPr>
        <w:t xml:space="preserve">study </w:t>
      </w:r>
      <w:r w:rsidR="00E27C8B" w:rsidRPr="004930C2">
        <w:rPr>
          <w:color w:val="000000" w:themeColor="text1"/>
          <w:sz w:val="20"/>
        </w:rPr>
        <w:t>and previous studies</w:t>
      </w:r>
      <w:r w:rsidR="0039293D" w:rsidRPr="004930C2">
        <w:rPr>
          <w:color w:val="000000" w:themeColor="text1"/>
          <w:sz w:val="20"/>
        </w:rPr>
        <w:t xml:space="preserve"> </w:t>
      </w:r>
      <w:r w:rsidR="00CF7186" w:rsidRPr="004930C2">
        <w:rPr>
          <w:color w:val="000000" w:themeColor="text1"/>
          <w:sz w:val="20"/>
        </w:rPr>
        <w:t>suggest</w:t>
      </w:r>
      <w:r w:rsidR="00E27C8B" w:rsidRPr="004930C2">
        <w:rPr>
          <w:color w:val="000000" w:themeColor="text1"/>
          <w:sz w:val="20"/>
        </w:rPr>
        <w:t xml:space="preserve"> </w:t>
      </w:r>
      <w:r w:rsidR="00CF7186" w:rsidRPr="004930C2">
        <w:rPr>
          <w:color w:val="000000" w:themeColor="text1"/>
          <w:sz w:val="20"/>
        </w:rPr>
        <w:t xml:space="preserve">that </w:t>
      </w:r>
      <w:r w:rsidR="00E25C10" w:rsidRPr="004930C2">
        <w:rPr>
          <w:color w:val="000000" w:themeColor="text1"/>
          <w:sz w:val="20"/>
        </w:rPr>
        <w:t xml:space="preserve">the </w:t>
      </w:r>
      <w:r w:rsidR="00CF7186" w:rsidRPr="004930C2">
        <w:rPr>
          <w:color w:val="000000" w:themeColor="text1"/>
          <w:sz w:val="20"/>
        </w:rPr>
        <w:t xml:space="preserve">application of </w:t>
      </w:r>
      <w:r w:rsidR="00E27C8B" w:rsidRPr="004930C2">
        <w:rPr>
          <w:color w:val="000000" w:themeColor="text1"/>
          <w:sz w:val="20"/>
        </w:rPr>
        <w:t xml:space="preserve">biochar-compost </w:t>
      </w:r>
      <w:r w:rsidR="0039293D" w:rsidRPr="004930C2">
        <w:rPr>
          <w:color w:val="000000" w:themeColor="text1"/>
          <w:sz w:val="20"/>
        </w:rPr>
        <w:t>enables plant</w:t>
      </w:r>
      <w:r w:rsidR="00E25C10" w:rsidRPr="004930C2">
        <w:rPr>
          <w:color w:val="000000" w:themeColor="text1"/>
          <w:sz w:val="20"/>
        </w:rPr>
        <w:t>s</w:t>
      </w:r>
      <w:r w:rsidR="0039293D" w:rsidRPr="004930C2">
        <w:rPr>
          <w:color w:val="000000" w:themeColor="text1"/>
          <w:sz w:val="20"/>
        </w:rPr>
        <w:t xml:space="preserve"> to </w:t>
      </w:r>
      <w:r w:rsidR="005D56D6" w:rsidRPr="004930C2">
        <w:rPr>
          <w:color w:val="000000" w:themeColor="text1"/>
          <w:sz w:val="20"/>
        </w:rPr>
        <w:t xml:space="preserve">utilize </w:t>
      </w:r>
      <w:r w:rsidR="0039293D" w:rsidRPr="004930C2">
        <w:rPr>
          <w:color w:val="000000" w:themeColor="text1"/>
          <w:sz w:val="20"/>
        </w:rPr>
        <w:t xml:space="preserve">nitrogen </w:t>
      </w:r>
      <w:r w:rsidR="008B652C" w:rsidRPr="004930C2">
        <w:rPr>
          <w:color w:val="000000" w:themeColor="text1"/>
          <w:sz w:val="20"/>
        </w:rPr>
        <w:t xml:space="preserve">from </w:t>
      </w:r>
      <w:r w:rsidR="00E25C10" w:rsidRPr="004930C2">
        <w:rPr>
          <w:color w:val="000000" w:themeColor="text1"/>
          <w:sz w:val="20"/>
        </w:rPr>
        <w:t xml:space="preserve">the </w:t>
      </w:r>
      <w:r w:rsidR="008B652C" w:rsidRPr="004930C2">
        <w:rPr>
          <w:color w:val="000000" w:themeColor="text1"/>
          <w:sz w:val="20"/>
        </w:rPr>
        <w:t xml:space="preserve">atmosphere </w:t>
      </w:r>
      <w:r w:rsidR="0039293D" w:rsidRPr="004930C2">
        <w:rPr>
          <w:color w:val="000000" w:themeColor="text1"/>
          <w:sz w:val="20"/>
        </w:rPr>
        <w:t xml:space="preserve">because of the enhanced activity </w:t>
      </w:r>
      <w:r w:rsidR="008B652C" w:rsidRPr="004930C2">
        <w:rPr>
          <w:color w:val="000000" w:themeColor="text1"/>
          <w:sz w:val="20"/>
        </w:rPr>
        <w:t xml:space="preserve">of </w:t>
      </w:r>
      <w:r w:rsidR="00AD2618" w:rsidRPr="004930C2">
        <w:rPr>
          <w:color w:val="000000" w:themeColor="text1"/>
          <w:sz w:val="20"/>
        </w:rPr>
        <w:t>rhizobacteria</w:t>
      </w:r>
      <w:r w:rsidR="00403971" w:rsidRPr="004930C2">
        <w:rPr>
          <w:color w:val="000000" w:themeColor="text1"/>
          <w:sz w:val="20"/>
        </w:rPr>
        <w:t xml:space="preserve"> and/or diazotrophic endophytes</w:t>
      </w:r>
      <w:r w:rsidR="008B652C" w:rsidRPr="004930C2">
        <w:rPr>
          <w:color w:val="000000" w:themeColor="text1"/>
          <w:sz w:val="20"/>
        </w:rPr>
        <w:t>, thereby increasing biomass production.</w:t>
      </w:r>
      <w:r w:rsidR="00BF12F1" w:rsidRPr="004930C2">
        <w:rPr>
          <w:color w:val="000000" w:themeColor="text1"/>
          <w:sz w:val="20"/>
        </w:rPr>
        <w:t xml:space="preserve"> </w:t>
      </w:r>
      <w:r w:rsidR="00434D99" w:rsidRPr="004930C2">
        <w:rPr>
          <w:color w:val="000000" w:themeColor="text1"/>
          <w:sz w:val="20"/>
        </w:rPr>
        <w:t xml:space="preserve">It is interesting to </w:t>
      </w:r>
      <w:r w:rsidR="00FB79FC">
        <w:rPr>
          <w:color w:val="000000" w:themeColor="text1"/>
          <w:sz w:val="20"/>
        </w:rPr>
        <w:t xml:space="preserve">understand whether </w:t>
      </w:r>
      <w:r w:rsidR="00434D99" w:rsidRPr="004930C2">
        <w:rPr>
          <w:color w:val="000000" w:themeColor="text1"/>
          <w:sz w:val="20"/>
        </w:rPr>
        <w:t>biochar is beneficial to either endophytes, rhizobacteria, or both.</w:t>
      </w:r>
      <w:r w:rsidR="00805F32" w:rsidRPr="004930C2">
        <w:rPr>
          <w:color w:val="000000" w:themeColor="text1"/>
          <w:sz w:val="20"/>
        </w:rPr>
        <w:t xml:space="preserve"> </w:t>
      </w:r>
      <w:r w:rsidR="00BA4989" w:rsidRPr="004930C2">
        <w:rPr>
          <w:color w:val="000000" w:themeColor="text1"/>
          <w:sz w:val="20"/>
        </w:rPr>
        <w:t xml:space="preserve">Note that the effects of water stress mitigation by biochar addition on plant growth </w:t>
      </w:r>
      <w:r w:rsidR="001161B0" w:rsidRPr="004930C2">
        <w:rPr>
          <w:color w:val="000000" w:themeColor="text1"/>
          <w:sz w:val="20"/>
        </w:rPr>
        <w:t xml:space="preserve">remains unclear because </w:t>
      </w:r>
      <w:r w:rsidR="00BA4989" w:rsidRPr="004930C2">
        <w:rPr>
          <w:color w:val="000000" w:themeColor="text1"/>
          <w:sz w:val="20"/>
        </w:rPr>
        <w:t>all treatments received sufficient water.</w:t>
      </w:r>
    </w:p>
    <w:p w14:paraId="3329C126" w14:textId="45F85975" w:rsidR="00CB1D7E" w:rsidRPr="004930C2" w:rsidRDefault="00C565B1" w:rsidP="00330D39">
      <w:pPr>
        <w:spacing w:line="480" w:lineRule="auto"/>
        <w:rPr>
          <w:color w:val="000000" w:themeColor="text1"/>
          <w:sz w:val="20"/>
        </w:rPr>
      </w:pPr>
      <w:r w:rsidRPr="004930C2">
        <w:rPr>
          <w:color w:val="000000" w:themeColor="text1"/>
          <w:sz w:val="20"/>
        </w:rPr>
        <w:tab/>
      </w:r>
      <w:r w:rsidR="00DB22AD" w:rsidRPr="004930C2">
        <w:rPr>
          <w:color w:val="000000" w:themeColor="text1"/>
          <w:sz w:val="20"/>
        </w:rPr>
        <w:t>W</w:t>
      </w:r>
      <w:r w:rsidR="003C347F" w:rsidRPr="004930C2">
        <w:rPr>
          <w:color w:val="000000" w:themeColor="text1"/>
          <w:sz w:val="20"/>
        </w:rPr>
        <w:t xml:space="preserve">e </w:t>
      </w:r>
      <w:r w:rsidR="001161B0" w:rsidRPr="004930C2">
        <w:rPr>
          <w:color w:val="000000" w:themeColor="text1"/>
          <w:sz w:val="20"/>
        </w:rPr>
        <w:t>then explored</w:t>
      </w:r>
      <w:r w:rsidR="003A7142" w:rsidRPr="004930C2">
        <w:rPr>
          <w:color w:val="000000" w:themeColor="text1"/>
          <w:sz w:val="20"/>
        </w:rPr>
        <w:t xml:space="preserve"> </w:t>
      </w:r>
      <w:r w:rsidR="003C347F" w:rsidRPr="004930C2">
        <w:rPr>
          <w:color w:val="000000" w:themeColor="text1"/>
          <w:sz w:val="20"/>
        </w:rPr>
        <w:t>the effects of bioc</w:t>
      </w:r>
      <w:r w:rsidR="001161B0" w:rsidRPr="004930C2">
        <w:rPr>
          <w:color w:val="000000" w:themeColor="text1"/>
          <w:sz w:val="20"/>
        </w:rPr>
        <w:t>h</w:t>
      </w:r>
      <w:r w:rsidR="003C347F" w:rsidRPr="004930C2">
        <w:rPr>
          <w:color w:val="000000" w:themeColor="text1"/>
          <w:sz w:val="20"/>
        </w:rPr>
        <w:t xml:space="preserve">ar type </w:t>
      </w:r>
      <w:r w:rsidR="00295BAD" w:rsidRPr="004930C2">
        <w:rPr>
          <w:color w:val="000000" w:themeColor="text1"/>
          <w:sz w:val="20"/>
        </w:rPr>
        <w:t xml:space="preserve">(feedstock type and carbonization temperature) </w:t>
      </w:r>
      <w:r w:rsidR="003A7142" w:rsidRPr="004930C2">
        <w:rPr>
          <w:color w:val="000000" w:themeColor="text1"/>
          <w:sz w:val="20"/>
        </w:rPr>
        <w:t xml:space="preserve">on </w:t>
      </w:r>
      <w:r w:rsidR="00605362" w:rsidRPr="004930C2">
        <w:rPr>
          <w:color w:val="000000" w:themeColor="text1"/>
          <w:sz w:val="20"/>
        </w:rPr>
        <w:t>plant</w:t>
      </w:r>
      <w:r w:rsidR="003A7142" w:rsidRPr="004930C2">
        <w:rPr>
          <w:color w:val="000000" w:themeColor="text1"/>
          <w:sz w:val="20"/>
        </w:rPr>
        <w:t xml:space="preserve"> growth</w:t>
      </w:r>
      <w:r w:rsidR="003C347F" w:rsidRPr="004930C2">
        <w:rPr>
          <w:color w:val="000000" w:themeColor="text1"/>
          <w:sz w:val="20"/>
        </w:rPr>
        <w:t xml:space="preserve">. </w:t>
      </w:r>
      <w:r w:rsidR="00EB783C" w:rsidRPr="004930C2">
        <w:rPr>
          <w:color w:val="000000" w:themeColor="text1"/>
          <w:sz w:val="20"/>
        </w:rPr>
        <w:t>T</w:t>
      </w:r>
      <w:r w:rsidR="00CB1D7E" w:rsidRPr="004930C2">
        <w:rPr>
          <w:color w:val="000000" w:themeColor="text1"/>
          <w:sz w:val="20"/>
        </w:rPr>
        <w:t xml:space="preserve">he interaction between feedstock type and carbonization temperature had no significant effect on </w:t>
      </w:r>
      <w:r w:rsidR="00CF7186" w:rsidRPr="004930C2">
        <w:rPr>
          <w:color w:val="000000" w:themeColor="text1"/>
          <w:sz w:val="20"/>
        </w:rPr>
        <w:t xml:space="preserve">the </w:t>
      </w:r>
      <w:r w:rsidR="00CB1D7E" w:rsidRPr="004930C2">
        <w:rPr>
          <w:color w:val="000000" w:themeColor="text1"/>
          <w:sz w:val="20"/>
        </w:rPr>
        <w:t>response variables (Table 4)</w:t>
      </w:r>
      <w:r w:rsidR="00FC34E7" w:rsidRPr="004930C2">
        <w:rPr>
          <w:color w:val="000000" w:themeColor="text1"/>
          <w:sz w:val="20"/>
        </w:rPr>
        <w:t>, which</w:t>
      </w:r>
      <w:r w:rsidR="00CF7186" w:rsidRPr="004930C2">
        <w:rPr>
          <w:color w:val="000000" w:themeColor="text1"/>
          <w:sz w:val="20"/>
        </w:rPr>
        <w:t xml:space="preserve"> </w:t>
      </w:r>
      <w:r w:rsidR="00CB1D7E" w:rsidRPr="004930C2">
        <w:rPr>
          <w:color w:val="000000" w:themeColor="text1"/>
          <w:sz w:val="20"/>
        </w:rPr>
        <w:t>allows us to consider the effects of each factor independently.</w:t>
      </w:r>
    </w:p>
    <w:p w14:paraId="6F05D6FD" w14:textId="5EE306F6" w:rsidR="00D42C2C" w:rsidRPr="004930C2" w:rsidRDefault="00C565B1" w:rsidP="0072564A">
      <w:pPr>
        <w:spacing w:line="480" w:lineRule="auto"/>
        <w:rPr>
          <w:color w:val="000000" w:themeColor="text1"/>
          <w:sz w:val="20"/>
        </w:rPr>
      </w:pPr>
      <w:r w:rsidRPr="004930C2">
        <w:rPr>
          <w:color w:val="000000" w:themeColor="text1"/>
          <w:sz w:val="20"/>
        </w:rPr>
        <w:tab/>
      </w:r>
      <w:r w:rsidR="00CC3BD8" w:rsidRPr="004930C2">
        <w:rPr>
          <w:color w:val="000000" w:themeColor="text1"/>
          <w:sz w:val="20"/>
        </w:rPr>
        <w:t xml:space="preserve">The present study revealed that </w:t>
      </w:r>
      <w:r w:rsidR="00A93CF1" w:rsidRPr="004930C2">
        <w:rPr>
          <w:color w:val="000000" w:themeColor="text1"/>
          <w:sz w:val="20"/>
        </w:rPr>
        <w:t xml:space="preserve">the </w:t>
      </w:r>
      <w:r w:rsidR="00CC3BD8" w:rsidRPr="004930C2">
        <w:rPr>
          <w:color w:val="000000" w:themeColor="text1"/>
          <w:sz w:val="20"/>
        </w:rPr>
        <w:t xml:space="preserve">type of biochar </w:t>
      </w:r>
      <w:r w:rsidR="00A93CF1" w:rsidRPr="004930C2">
        <w:rPr>
          <w:color w:val="000000" w:themeColor="text1"/>
          <w:sz w:val="20"/>
        </w:rPr>
        <w:t xml:space="preserve">feedstock </w:t>
      </w:r>
      <w:r w:rsidR="00CC3BD8" w:rsidRPr="004930C2">
        <w:rPr>
          <w:color w:val="000000" w:themeColor="text1"/>
          <w:sz w:val="20"/>
        </w:rPr>
        <w:t>ha</w:t>
      </w:r>
      <w:r w:rsidR="00A93CF1" w:rsidRPr="004930C2">
        <w:rPr>
          <w:color w:val="000000" w:themeColor="text1"/>
          <w:sz w:val="20"/>
        </w:rPr>
        <w:t>d</w:t>
      </w:r>
      <w:r w:rsidR="00CC3BD8" w:rsidRPr="004930C2">
        <w:rPr>
          <w:color w:val="000000" w:themeColor="text1"/>
          <w:sz w:val="20"/>
        </w:rPr>
        <w:t xml:space="preserve"> a </w:t>
      </w:r>
      <w:r w:rsidR="00A93CF1" w:rsidRPr="004930C2">
        <w:rPr>
          <w:color w:val="000000" w:themeColor="text1"/>
          <w:sz w:val="20"/>
        </w:rPr>
        <w:t>substantial</w:t>
      </w:r>
      <w:r w:rsidR="00CC3BD8" w:rsidRPr="004930C2">
        <w:rPr>
          <w:color w:val="000000" w:themeColor="text1"/>
          <w:sz w:val="20"/>
        </w:rPr>
        <w:t xml:space="preserve"> impact on biomass production</w:t>
      </w:r>
      <w:r w:rsidR="00A93CF1" w:rsidRPr="004930C2">
        <w:rPr>
          <w:color w:val="000000" w:themeColor="text1"/>
          <w:sz w:val="20"/>
        </w:rPr>
        <w:t>:</w:t>
      </w:r>
      <w:r w:rsidR="00CC3BD8" w:rsidRPr="004930C2">
        <w:rPr>
          <w:color w:val="000000" w:themeColor="text1"/>
          <w:sz w:val="20"/>
        </w:rPr>
        <w:t xml:space="preserve"> the DM</w:t>
      </w:r>
      <w:r w:rsidR="00CC3BD8" w:rsidRPr="004930C2">
        <w:rPr>
          <w:color w:val="000000" w:themeColor="text1"/>
          <w:sz w:val="20"/>
          <w:vertAlign w:val="subscript"/>
        </w:rPr>
        <w:t>BC</w:t>
      </w:r>
      <w:r w:rsidR="00CC3BD8" w:rsidRPr="004930C2">
        <w:rPr>
          <w:color w:val="000000" w:themeColor="text1"/>
          <w:sz w:val="20"/>
        </w:rPr>
        <w:t xml:space="preserve">-compost application significantly </w:t>
      </w:r>
      <w:r w:rsidR="007B3E98" w:rsidRPr="004930C2">
        <w:rPr>
          <w:color w:val="000000" w:themeColor="text1"/>
          <w:sz w:val="20"/>
        </w:rPr>
        <w:t>enhanced oat growth</w:t>
      </w:r>
      <w:r w:rsidR="00CC3BD8" w:rsidRPr="004930C2">
        <w:rPr>
          <w:color w:val="000000" w:themeColor="text1"/>
          <w:sz w:val="20"/>
        </w:rPr>
        <w:t xml:space="preserve"> due to the higher nitrogen supply compared </w:t>
      </w:r>
      <w:r w:rsidR="00A93CF1" w:rsidRPr="004930C2">
        <w:rPr>
          <w:color w:val="000000" w:themeColor="text1"/>
          <w:sz w:val="20"/>
        </w:rPr>
        <w:t>with</w:t>
      </w:r>
      <w:r w:rsidR="00CC3BD8" w:rsidRPr="004930C2">
        <w:rPr>
          <w:color w:val="000000" w:themeColor="text1"/>
          <w:sz w:val="20"/>
        </w:rPr>
        <w:t xml:space="preserve"> the WD</w:t>
      </w:r>
      <w:r w:rsidR="00CC3BD8" w:rsidRPr="004930C2">
        <w:rPr>
          <w:color w:val="000000" w:themeColor="text1"/>
          <w:sz w:val="20"/>
          <w:vertAlign w:val="subscript"/>
        </w:rPr>
        <w:t>BC</w:t>
      </w:r>
      <w:r w:rsidR="00CC3BD8" w:rsidRPr="004930C2">
        <w:rPr>
          <w:color w:val="000000" w:themeColor="text1"/>
          <w:sz w:val="20"/>
        </w:rPr>
        <w:t xml:space="preserve">-compost application. The results strongly suggest </w:t>
      </w:r>
      <w:r w:rsidR="00A93CF1" w:rsidRPr="004930C2">
        <w:rPr>
          <w:color w:val="000000" w:themeColor="text1"/>
          <w:sz w:val="20"/>
        </w:rPr>
        <w:t xml:space="preserve">that </w:t>
      </w:r>
      <w:r w:rsidR="00CC3BD8" w:rsidRPr="004930C2">
        <w:rPr>
          <w:color w:val="000000" w:themeColor="text1"/>
          <w:sz w:val="20"/>
        </w:rPr>
        <w:t>DM</w:t>
      </w:r>
      <w:r w:rsidR="00CC3BD8" w:rsidRPr="004930C2">
        <w:rPr>
          <w:color w:val="000000" w:themeColor="text1"/>
          <w:sz w:val="20"/>
          <w:vertAlign w:val="subscript"/>
        </w:rPr>
        <w:t>BC</w:t>
      </w:r>
      <w:r w:rsidR="00CC3BD8" w:rsidRPr="004930C2">
        <w:rPr>
          <w:color w:val="000000" w:themeColor="text1"/>
          <w:sz w:val="20"/>
        </w:rPr>
        <w:t xml:space="preserve"> enhances</w:t>
      </w:r>
      <w:r w:rsidR="00E25C10" w:rsidRPr="004930C2">
        <w:rPr>
          <w:color w:val="000000" w:themeColor="text1"/>
          <w:sz w:val="20"/>
        </w:rPr>
        <w:t xml:space="preserve"> </w:t>
      </w:r>
      <w:r w:rsidR="00CC3BD8" w:rsidRPr="004930C2">
        <w:rPr>
          <w:color w:val="000000" w:themeColor="text1"/>
          <w:sz w:val="20"/>
        </w:rPr>
        <w:t xml:space="preserve">microbial activity and promotes </w:t>
      </w:r>
      <w:r w:rsidR="00A93CF1" w:rsidRPr="004930C2">
        <w:rPr>
          <w:color w:val="000000" w:themeColor="text1"/>
          <w:sz w:val="20"/>
        </w:rPr>
        <w:t xml:space="preserve">the </w:t>
      </w:r>
      <w:r w:rsidR="00CC3BD8" w:rsidRPr="004930C2">
        <w:rPr>
          <w:color w:val="000000" w:themeColor="text1"/>
          <w:sz w:val="20"/>
        </w:rPr>
        <w:t>mineralization of compost more than WD</w:t>
      </w:r>
      <w:r w:rsidR="00CC3BD8" w:rsidRPr="004930C2">
        <w:rPr>
          <w:color w:val="000000" w:themeColor="text1"/>
          <w:sz w:val="20"/>
          <w:vertAlign w:val="subscript"/>
        </w:rPr>
        <w:t>BC</w:t>
      </w:r>
      <w:r w:rsidR="00CC3BD8" w:rsidRPr="004930C2">
        <w:rPr>
          <w:color w:val="000000" w:themeColor="text1"/>
          <w:sz w:val="20"/>
        </w:rPr>
        <w:t>.</w:t>
      </w:r>
      <w:r w:rsidR="003302DF" w:rsidRPr="004930C2">
        <w:rPr>
          <w:color w:val="000000" w:themeColor="text1"/>
          <w:sz w:val="20"/>
        </w:rPr>
        <w:t xml:space="preserve"> </w:t>
      </w:r>
      <w:r w:rsidR="00720CFE" w:rsidRPr="004930C2">
        <w:rPr>
          <w:color w:val="000000" w:themeColor="text1"/>
          <w:sz w:val="20"/>
        </w:rPr>
        <w:t>A</w:t>
      </w:r>
      <w:r w:rsidR="00CC3BD8" w:rsidRPr="004930C2">
        <w:rPr>
          <w:color w:val="000000" w:themeColor="text1"/>
          <w:sz w:val="20"/>
        </w:rPr>
        <w:t xml:space="preserve"> possible explanation for th</w:t>
      </w:r>
      <w:r w:rsidR="00A93CF1" w:rsidRPr="004930C2">
        <w:rPr>
          <w:color w:val="000000" w:themeColor="text1"/>
          <w:sz w:val="20"/>
        </w:rPr>
        <w:t>is finding</w:t>
      </w:r>
      <w:r w:rsidR="00CC3BD8" w:rsidRPr="004930C2">
        <w:rPr>
          <w:color w:val="000000" w:themeColor="text1"/>
          <w:sz w:val="20"/>
        </w:rPr>
        <w:t xml:space="preserve"> </w:t>
      </w:r>
      <w:r w:rsidR="00A93CF1" w:rsidRPr="004930C2">
        <w:rPr>
          <w:color w:val="000000" w:themeColor="text1"/>
          <w:sz w:val="20"/>
        </w:rPr>
        <w:t>is</w:t>
      </w:r>
      <w:r w:rsidR="006D7229" w:rsidRPr="004930C2">
        <w:rPr>
          <w:color w:val="000000" w:themeColor="text1"/>
          <w:sz w:val="20"/>
        </w:rPr>
        <w:t xml:space="preserve"> the more favorable physicochemical characteristics of DM</w:t>
      </w:r>
      <w:r w:rsidR="00C42832" w:rsidRPr="004930C2">
        <w:rPr>
          <w:color w:val="000000" w:themeColor="text1"/>
          <w:sz w:val="20"/>
          <w:vertAlign w:val="subscript"/>
        </w:rPr>
        <w:t>BC</w:t>
      </w:r>
      <w:r w:rsidR="00C42832" w:rsidRPr="004930C2">
        <w:rPr>
          <w:color w:val="000000" w:themeColor="text1"/>
          <w:sz w:val="20"/>
        </w:rPr>
        <w:t xml:space="preserve"> for microbial activity. DM</w:t>
      </w:r>
      <w:r w:rsidR="00C42832" w:rsidRPr="004930C2">
        <w:rPr>
          <w:color w:val="000000" w:themeColor="text1"/>
          <w:sz w:val="20"/>
          <w:vertAlign w:val="subscript"/>
        </w:rPr>
        <w:t>BC</w:t>
      </w:r>
      <w:r w:rsidR="00C42832" w:rsidRPr="004930C2">
        <w:rPr>
          <w:color w:val="000000" w:themeColor="text1"/>
          <w:sz w:val="20"/>
        </w:rPr>
        <w:t xml:space="preserve"> </w:t>
      </w:r>
      <w:r w:rsidR="00E25C10" w:rsidRPr="004930C2">
        <w:rPr>
          <w:color w:val="000000" w:themeColor="text1"/>
          <w:sz w:val="20"/>
        </w:rPr>
        <w:t>is rich</w:t>
      </w:r>
      <w:r w:rsidR="00C42832" w:rsidRPr="004930C2">
        <w:rPr>
          <w:color w:val="000000" w:themeColor="text1"/>
          <w:sz w:val="20"/>
        </w:rPr>
        <w:t xml:space="preserve"> </w:t>
      </w:r>
      <w:r w:rsidR="00295C91" w:rsidRPr="004930C2">
        <w:rPr>
          <w:color w:val="000000" w:themeColor="text1"/>
          <w:sz w:val="20"/>
        </w:rPr>
        <w:t xml:space="preserve">in </w:t>
      </w:r>
      <w:r w:rsidR="00C42832" w:rsidRPr="004930C2">
        <w:rPr>
          <w:color w:val="000000" w:themeColor="text1"/>
          <w:sz w:val="20"/>
        </w:rPr>
        <w:t>minerals</w:t>
      </w:r>
      <w:r w:rsidR="00A93CF1" w:rsidRPr="004930C2">
        <w:rPr>
          <w:color w:val="000000" w:themeColor="text1"/>
          <w:sz w:val="20"/>
        </w:rPr>
        <w:t>, including</w:t>
      </w:r>
      <w:r w:rsidR="00C42832" w:rsidRPr="004930C2">
        <w:rPr>
          <w:color w:val="000000" w:themeColor="text1"/>
          <w:sz w:val="20"/>
        </w:rPr>
        <w:t xml:space="preserve"> P, K, Ca, Mg, and Na, which are essential for mic</w:t>
      </w:r>
      <w:r w:rsidR="00663310" w:rsidRPr="004930C2">
        <w:rPr>
          <w:color w:val="000000" w:themeColor="text1"/>
          <w:sz w:val="20"/>
        </w:rPr>
        <w:t xml:space="preserve">robial </w:t>
      </w:r>
      <w:r w:rsidR="00A93CF1" w:rsidRPr="004930C2">
        <w:rPr>
          <w:color w:val="000000" w:themeColor="text1"/>
          <w:sz w:val="20"/>
        </w:rPr>
        <w:t>and</w:t>
      </w:r>
      <w:r w:rsidR="00663310" w:rsidRPr="004930C2">
        <w:rPr>
          <w:color w:val="000000" w:themeColor="text1"/>
          <w:sz w:val="20"/>
        </w:rPr>
        <w:t xml:space="preserve"> </w:t>
      </w:r>
      <w:r w:rsidR="00C42832" w:rsidRPr="004930C2">
        <w:rPr>
          <w:color w:val="000000" w:themeColor="text1"/>
          <w:sz w:val="20"/>
        </w:rPr>
        <w:t xml:space="preserve">plant growth. </w:t>
      </w:r>
      <w:r w:rsidR="00663310" w:rsidRPr="004930C2">
        <w:rPr>
          <w:color w:val="000000" w:themeColor="text1"/>
          <w:sz w:val="20"/>
        </w:rPr>
        <w:t>Moreover, the abundance of minerals increases t</w:t>
      </w:r>
      <w:r w:rsidR="00CC3BD8" w:rsidRPr="004930C2">
        <w:rPr>
          <w:color w:val="000000" w:themeColor="text1"/>
          <w:sz w:val="20"/>
        </w:rPr>
        <w:t>he pH of DM</w:t>
      </w:r>
      <w:r w:rsidR="00CC3BD8" w:rsidRPr="004930C2">
        <w:rPr>
          <w:color w:val="000000" w:themeColor="text1"/>
          <w:sz w:val="20"/>
          <w:vertAlign w:val="subscript"/>
        </w:rPr>
        <w:t>BC</w:t>
      </w:r>
      <w:r w:rsidR="00CC3BD8" w:rsidRPr="004930C2">
        <w:rPr>
          <w:color w:val="000000" w:themeColor="text1"/>
          <w:sz w:val="20"/>
        </w:rPr>
        <w:t xml:space="preserve"> (8.89–10.61)</w:t>
      </w:r>
      <w:r w:rsidR="00A93CF1" w:rsidRPr="004930C2">
        <w:rPr>
          <w:color w:val="000000" w:themeColor="text1"/>
          <w:sz w:val="20"/>
        </w:rPr>
        <w:t>, and a</w:t>
      </w:r>
      <w:r w:rsidR="00CC3BD8" w:rsidRPr="004930C2">
        <w:rPr>
          <w:color w:val="000000" w:themeColor="text1"/>
          <w:sz w:val="20"/>
        </w:rPr>
        <w:t xml:space="preserve"> higher pH tends to increase microbial abundance</w:t>
      </w:r>
      <w:r w:rsidR="00B77560" w:rsidRPr="004930C2">
        <w:rPr>
          <w:color w:val="000000" w:themeColor="text1"/>
          <w:sz w:val="20"/>
        </w:rPr>
        <w:t>, whereas</w:t>
      </w:r>
      <w:r w:rsidR="00CC3BD8" w:rsidRPr="004930C2">
        <w:rPr>
          <w:color w:val="000000" w:themeColor="text1"/>
          <w:sz w:val="20"/>
        </w:rPr>
        <w:t xml:space="preserve"> </w:t>
      </w:r>
      <w:r w:rsidR="00A93CF1" w:rsidRPr="004930C2">
        <w:rPr>
          <w:color w:val="000000" w:themeColor="text1"/>
          <w:sz w:val="20"/>
        </w:rPr>
        <w:t xml:space="preserve">a </w:t>
      </w:r>
      <w:r w:rsidR="00CC3BD8" w:rsidRPr="004930C2">
        <w:rPr>
          <w:color w:val="000000" w:themeColor="text1"/>
          <w:sz w:val="20"/>
        </w:rPr>
        <w:t xml:space="preserve">lower pH tends to decrease </w:t>
      </w:r>
      <w:r w:rsidR="00A93CF1" w:rsidRPr="004930C2">
        <w:rPr>
          <w:color w:val="000000" w:themeColor="text1"/>
          <w:sz w:val="20"/>
        </w:rPr>
        <w:t xml:space="preserve">it </w:t>
      </w:r>
      <w:r w:rsidR="00CC3BD8" w:rsidRPr="004930C2">
        <w:rPr>
          <w:color w:val="000000" w:themeColor="text1"/>
          <w:sz w:val="20"/>
        </w:rPr>
        <w:t>(Lehmann et al. 2011). I</w:t>
      </w:r>
      <w:r w:rsidR="00A93CF1" w:rsidRPr="004930C2">
        <w:rPr>
          <w:color w:val="000000" w:themeColor="text1"/>
          <w:sz w:val="20"/>
        </w:rPr>
        <w:t xml:space="preserve">n addition, </w:t>
      </w:r>
      <w:r w:rsidR="00CC3BD8" w:rsidRPr="004930C2">
        <w:rPr>
          <w:color w:val="000000" w:themeColor="text1"/>
          <w:sz w:val="20"/>
        </w:rPr>
        <w:t xml:space="preserve">carbon mineralization in biochar </w:t>
      </w:r>
      <w:r w:rsidR="00CC3BD8" w:rsidRPr="004930C2">
        <w:rPr>
          <w:color w:val="000000" w:themeColor="text1"/>
          <w:sz w:val="20"/>
        </w:rPr>
        <w:lastRenderedPageBreak/>
        <w:t>depends on feedstock type</w:t>
      </w:r>
      <w:r w:rsidR="00E25C10" w:rsidRPr="004930C2">
        <w:rPr>
          <w:color w:val="000000" w:themeColor="text1"/>
          <w:sz w:val="20"/>
        </w:rPr>
        <w:t>s</w:t>
      </w:r>
      <w:r w:rsidR="00CC3BD8" w:rsidRPr="004930C2">
        <w:rPr>
          <w:color w:val="000000" w:themeColor="text1"/>
          <w:sz w:val="20"/>
        </w:rPr>
        <w:t xml:space="preserve"> </w:t>
      </w:r>
      <w:r w:rsidR="00B77560" w:rsidRPr="004930C2">
        <w:rPr>
          <w:color w:val="000000" w:themeColor="text1"/>
          <w:sz w:val="20"/>
        </w:rPr>
        <w:t>such as</w:t>
      </w:r>
      <w:r w:rsidR="00CC3BD8" w:rsidRPr="004930C2">
        <w:rPr>
          <w:color w:val="000000" w:themeColor="text1"/>
          <w:sz w:val="20"/>
        </w:rPr>
        <w:t xml:space="preserve"> woods and grasses, and</w:t>
      </w:r>
      <w:r w:rsidR="00CC3BD8" w:rsidRPr="004930C2">
        <w:rPr>
          <w:sz w:val="20"/>
        </w:rPr>
        <w:t xml:space="preserve"> </w:t>
      </w:r>
      <w:r w:rsidR="00CC3BD8" w:rsidRPr="004930C2">
        <w:rPr>
          <w:color w:val="000000" w:themeColor="text1"/>
          <w:sz w:val="20"/>
        </w:rPr>
        <w:t>the carbon in manure-based biochar mineralizes faster than that in plant-based biochar (</w:t>
      </w:r>
      <w:r w:rsidR="00295C91" w:rsidRPr="004930C2">
        <w:rPr>
          <w:color w:val="000000" w:themeColor="text1"/>
          <w:sz w:val="20"/>
        </w:rPr>
        <w:t xml:space="preserve">Singh et al. 2012; </w:t>
      </w:r>
      <w:r w:rsidR="00CC3BD8" w:rsidRPr="004930C2">
        <w:rPr>
          <w:color w:val="000000" w:themeColor="text1"/>
          <w:sz w:val="20"/>
        </w:rPr>
        <w:t>Zimmerman et al. 2011). Thus, the favorable chemical characteristics of DM</w:t>
      </w:r>
      <w:r w:rsidR="00CC3BD8" w:rsidRPr="004930C2">
        <w:rPr>
          <w:color w:val="000000" w:themeColor="text1"/>
          <w:sz w:val="20"/>
          <w:vertAlign w:val="subscript"/>
        </w:rPr>
        <w:t>BC</w:t>
      </w:r>
      <w:r w:rsidR="00CC3BD8" w:rsidRPr="004930C2">
        <w:rPr>
          <w:color w:val="000000" w:themeColor="text1"/>
          <w:sz w:val="20"/>
        </w:rPr>
        <w:t xml:space="preserve"> for microbial activity, such as </w:t>
      </w:r>
      <w:r w:rsidR="00A93CF1" w:rsidRPr="004930C2">
        <w:rPr>
          <w:color w:val="000000" w:themeColor="text1"/>
          <w:sz w:val="20"/>
        </w:rPr>
        <w:t xml:space="preserve">a </w:t>
      </w:r>
      <w:r w:rsidR="00CC3BD8" w:rsidRPr="004930C2">
        <w:rPr>
          <w:color w:val="000000" w:themeColor="text1"/>
          <w:sz w:val="20"/>
        </w:rPr>
        <w:t xml:space="preserve">high pH and </w:t>
      </w:r>
      <w:r w:rsidR="00E25C10" w:rsidRPr="004930C2">
        <w:rPr>
          <w:color w:val="000000" w:themeColor="text1"/>
          <w:sz w:val="20"/>
        </w:rPr>
        <w:t xml:space="preserve">a </w:t>
      </w:r>
      <w:r w:rsidR="00CC3BD8" w:rsidRPr="004930C2">
        <w:rPr>
          <w:color w:val="000000" w:themeColor="text1"/>
          <w:sz w:val="20"/>
        </w:rPr>
        <w:t xml:space="preserve">more decomposable portion (labile-C), </w:t>
      </w:r>
      <w:r w:rsidR="00457B25" w:rsidRPr="004930C2">
        <w:rPr>
          <w:color w:val="000000" w:themeColor="text1"/>
          <w:sz w:val="20"/>
        </w:rPr>
        <w:t>enable</w:t>
      </w:r>
      <w:r w:rsidR="00457B25" w:rsidRPr="004930C2" w:rsidDel="004620F5">
        <w:rPr>
          <w:color w:val="000000" w:themeColor="text1"/>
          <w:sz w:val="20"/>
        </w:rPr>
        <w:t xml:space="preserve"> </w:t>
      </w:r>
      <w:r w:rsidR="00CC3BD8" w:rsidRPr="004930C2" w:rsidDel="004620F5">
        <w:rPr>
          <w:color w:val="000000" w:themeColor="text1"/>
          <w:sz w:val="20"/>
        </w:rPr>
        <w:t>a faster release of available nitrogen from compost</w:t>
      </w:r>
      <w:r w:rsidR="00CC3BD8" w:rsidRPr="004930C2">
        <w:rPr>
          <w:color w:val="000000" w:themeColor="text1"/>
          <w:sz w:val="20"/>
        </w:rPr>
        <w:t xml:space="preserve">. It should </w:t>
      </w:r>
      <w:r w:rsidR="00A93CF1" w:rsidRPr="004930C2">
        <w:rPr>
          <w:color w:val="000000" w:themeColor="text1"/>
          <w:sz w:val="20"/>
        </w:rPr>
        <w:t xml:space="preserve">also </w:t>
      </w:r>
      <w:r w:rsidR="00CC3BD8" w:rsidRPr="004930C2">
        <w:rPr>
          <w:color w:val="000000" w:themeColor="text1"/>
          <w:sz w:val="20"/>
        </w:rPr>
        <w:t xml:space="preserve">be noted that </w:t>
      </w:r>
      <w:r w:rsidR="00A93CF1" w:rsidRPr="004930C2">
        <w:rPr>
          <w:color w:val="000000" w:themeColor="text1"/>
          <w:sz w:val="20"/>
        </w:rPr>
        <w:t xml:space="preserve">the </w:t>
      </w:r>
      <w:r w:rsidR="0038083A" w:rsidRPr="004930C2">
        <w:rPr>
          <w:color w:val="000000" w:themeColor="text1"/>
          <w:sz w:val="20"/>
        </w:rPr>
        <w:t>DM</w:t>
      </w:r>
      <w:r w:rsidR="0038083A" w:rsidRPr="004930C2">
        <w:rPr>
          <w:color w:val="000000" w:themeColor="text1"/>
          <w:sz w:val="20"/>
          <w:vertAlign w:val="subscript"/>
        </w:rPr>
        <w:t>BC</w:t>
      </w:r>
      <w:r w:rsidR="0038083A" w:rsidRPr="004930C2">
        <w:rPr>
          <w:color w:val="000000" w:themeColor="text1"/>
          <w:sz w:val="20"/>
        </w:rPr>
        <w:t xml:space="preserve"> application promoted</w:t>
      </w:r>
      <w:r w:rsidR="00A93CF1" w:rsidRPr="004930C2">
        <w:rPr>
          <w:color w:val="000000" w:themeColor="text1"/>
          <w:sz w:val="20"/>
        </w:rPr>
        <w:t xml:space="preserve"> </w:t>
      </w:r>
      <w:r w:rsidR="00CC3BD8" w:rsidRPr="004930C2">
        <w:rPr>
          <w:color w:val="000000" w:themeColor="text1"/>
          <w:sz w:val="20"/>
        </w:rPr>
        <w:t>nitrogen fixation</w:t>
      </w:r>
      <w:r w:rsidR="0038083A" w:rsidRPr="004930C2">
        <w:rPr>
          <w:color w:val="000000" w:themeColor="text1"/>
          <w:sz w:val="20"/>
        </w:rPr>
        <w:t xml:space="preserve"> compared with</w:t>
      </w:r>
      <w:r w:rsidR="00A93CF1" w:rsidRPr="004930C2">
        <w:rPr>
          <w:color w:val="000000" w:themeColor="text1"/>
          <w:sz w:val="20"/>
        </w:rPr>
        <w:t xml:space="preserve"> the</w:t>
      </w:r>
      <w:r w:rsidR="00CC3BD8" w:rsidRPr="004930C2">
        <w:rPr>
          <w:color w:val="000000" w:themeColor="text1"/>
          <w:sz w:val="20"/>
        </w:rPr>
        <w:t xml:space="preserve"> WD</w:t>
      </w:r>
      <w:r w:rsidR="00CC3BD8" w:rsidRPr="004930C2">
        <w:rPr>
          <w:color w:val="000000" w:themeColor="text1"/>
          <w:sz w:val="20"/>
          <w:vertAlign w:val="subscript"/>
        </w:rPr>
        <w:t>BC</w:t>
      </w:r>
      <w:r w:rsidR="00CC3BD8" w:rsidRPr="004930C2">
        <w:rPr>
          <w:color w:val="000000" w:themeColor="text1"/>
          <w:sz w:val="20"/>
        </w:rPr>
        <w:t xml:space="preserve"> application </w:t>
      </w:r>
      <w:r w:rsidR="0038083A" w:rsidRPr="004930C2">
        <w:rPr>
          <w:color w:val="000000" w:themeColor="text1"/>
          <w:sz w:val="20"/>
        </w:rPr>
        <w:t>possibly</w:t>
      </w:r>
      <w:r w:rsidR="00A93CF1" w:rsidRPr="004930C2">
        <w:rPr>
          <w:color w:val="000000" w:themeColor="text1"/>
          <w:sz w:val="20"/>
        </w:rPr>
        <w:t xml:space="preserve"> </w:t>
      </w:r>
      <w:r w:rsidR="00CC3BD8" w:rsidRPr="004930C2">
        <w:rPr>
          <w:color w:val="000000" w:themeColor="text1"/>
          <w:sz w:val="20"/>
        </w:rPr>
        <w:t>due to the favorable chemical characteristics of DM</w:t>
      </w:r>
      <w:r w:rsidR="00CC3BD8" w:rsidRPr="004930C2">
        <w:rPr>
          <w:color w:val="000000" w:themeColor="text1"/>
          <w:sz w:val="20"/>
          <w:vertAlign w:val="subscript"/>
        </w:rPr>
        <w:t>BC</w:t>
      </w:r>
      <w:r w:rsidR="00CC3BD8" w:rsidRPr="004930C2">
        <w:rPr>
          <w:color w:val="000000" w:themeColor="text1"/>
          <w:sz w:val="20"/>
        </w:rPr>
        <w:t xml:space="preserve"> for PGPRs, although further research is required to support this claim.</w:t>
      </w:r>
      <w:r w:rsidR="003302DF" w:rsidRPr="004930C2">
        <w:rPr>
          <w:color w:val="000000" w:themeColor="text1"/>
          <w:sz w:val="20"/>
        </w:rPr>
        <w:t xml:space="preserve"> </w:t>
      </w:r>
      <w:r w:rsidR="00CC3BD8" w:rsidRPr="004930C2">
        <w:rPr>
          <w:color w:val="000000" w:themeColor="text1"/>
          <w:sz w:val="20"/>
        </w:rPr>
        <w:t>Another possible explanation could be that the oat plants absorbed nitrogen from DM</w:t>
      </w:r>
      <w:r w:rsidR="00CC3BD8" w:rsidRPr="004930C2">
        <w:rPr>
          <w:color w:val="000000" w:themeColor="text1"/>
          <w:sz w:val="20"/>
          <w:vertAlign w:val="subscript"/>
        </w:rPr>
        <w:t>BC</w:t>
      </w:r>
      <w:r w:rsidR="00CC3BD8" w:rsidRPr="004930C2">
        <w:rPr>
          <w:color w:val="000000" w:themeColor="text1"/>
          <w:sz w:val="20"/>
        </w:rPr>
        <w:t xml:space="preserve"> itself. </w:t>
      </w:r>
      <w:r w:rsidR="00852DA9" w:rsidRPr="004930C2">
        <w:rPr>
          <w:color w:val="000000" w:themeColor="text1"/>
          <w:sz w:val="20"/>
        </w:rPr>
        <w:t>Because</w:t>
      </w:r>
      <w:r w:rsidR="00CC3BD8" w:rsidRPr="004930C2">
        <w:rPr>
          <w:color w:val="000000" w:themeColor="text1"/>
          <w:sz w:val="20"/>
        </w:rPr>
        <w:t xml:space="preserve"> DM</w:t>
      </w:r>
      <w:r w:rsidR="00CC3BD8" w:rsidRPr="004930C2">
        <w:rPr>
          <w:color w:val="000000" w:themeColor="text1"/>
          <w:sz w:val="20"/>
          <w:vertAlign w:val="subscript"/>
        </w:rPr>
        <w:t>BC</w:t>
      </w:r>
      <w:r w:rsidR="00CC3BD8" w:rsidRPr="004930C2">
        <w:rPr>
          <w:color w:val="000000" w:themeColor="text1"/>
          <w:sz w:val="20"/>
        </w:rPr>
        <w:t xml:space="preserve"> contains much more nitrogen </w:t>
      </w:r>
      <w:r w:rsidR="00A93CF1" w:rsidRPr="004930C2">
        <w:rPr>
          <w:color w:val="000000" w:themeColor="text1"/>
          <w:sz w:val="20"/>
        </w:rPr>
        <w:t>than</w:t>
      </w:r>
      <w:r w:rsidR="00CC3BD8" w:rsidRPr="004930C2">
        <w:rPr>
          <w:color w:val="000000" w:themeColor="text1"/>
          <w:sz w:val="20"/>
        </w:rPr>
        <w:t xml:space="preserve"> WD</w:t>
      </w:r>
      <w:r w:rsidR="00CC3BD8" w:rsidRPr="004930C2">
        <w:rPr>
          <w:color w:val="000000" w:themeColor="text1"/>
          <w:sz w:val="20"/>
          <w:vertAlign w:val="subscript"/>
        </w:rPr>
        <w:t>BC</w:t>
      </w:r>
      <w:r w:rsidR="00CC3BD8" w:rsidRPr="004930C2">
        <w:rPr>
          <w:color w:val="000000" w:themeColor="text1"/>
          <w:sz w:val="20"/>
        </w:rPr>
        <w:t xml:space="preserve"> (Table 2), the nitrogen could also </w:t>
      </w:r>
      <w:r w:rsidR="00A93CF1" w:rsidRPr="004930C2">
        <w:rPr>
          <w:color w:val="000000" w:themeColor="text1"/>
          <w:sz w:val="20"/>
        </w:rPr>
        <w:t xml:space="preserve">be </w:t>
      </w:r>
      <w:r w:rsidR="00CC3BD8" w:rsidRPr="004930C2">
        <w:rPr>
          <w:color w:val="000000" w:themeColor="text1"/>
          <w:sz w:val="20"/>
        </w:rPr>
        <w:t xml:space="preserve">utilized for plant growth. This </w:t>
      </w:r>
      <w:r w:rsidR="00A93CF1" w:rsidRPr="004930C2">
        <w:rPr>
          <w:color w:val="000000" w:themeColor="text1"/>
          <w:sz w:val="20"/>
        </w:rPr>
        <w:t xml:space="preserve">suggestion </w:t>
      </w:r>
      <w:r w:rsidR="00CC3BD8" w:rsidRPr="004930C2">
        <w:rPr>
          <w:color w:val="000000" w:themeColor="text1"/>
          <w:sz w:val="20"/>
        </w:rPr>
        <w:t xml:space="preserve">could be supported by previous studies concluding that biochar made from animal manures can act as both soil amendment and an organic fertilizer supplying nitrogen (Chan et al. 2008; </w:t>
      </w:r>
      <w:proofErr w:type="spellStart"/>
      <w:r w:rsidR="00CC3BD8" w:rsidRPr="004930C2">
        <w:rPr>
          <w:color w:val="000000" w:themeColor="text1"/>
          <w:sz w:val="20"/>
        </w:rPr>
        <w:t>Subedi</w:t>
      </w:r>
      <w:proofErr w:type="spellEnd"/>
      <w:r w:rsidR="00CC3BD8" w:rsidRPr="004930C2">
        <w:rPr>
          <w:color w:val="000000" w:themeColor="text1"/>
          <w:sz w:val="20"/>
        </w:rPr>
        <w:t xml:space="preserve"> et al. 2016), although the availability of nitrogen contained in DM</w:t>
      </w:r>
      <w:r w:rsidR="00CC3BD8" w:rsidRPr="004930C2">
        <w:rPr>
          <w:color w:val="000000" w:themeColor="text1"/>
          <w:sz w:val="20"/>
          <w:vertAlign w:val="subscript"/>
        </w:rPr>
        <w:t>BC</w:t>
      </w:r>
      <w:r w:rsidR="00CC3BD8" w:rsidRPr="004930C2">
        <w:rPr>
          <w:color w:val="000000" w:themeColor="text1"/>
          <w:sz w:val="20"/>
        </w:rPr>
        <w:t xml:space="preserve"> was not measured in the present study.</w:t>
      </w:r>
      <w:bookmarkStart w:id="7" w:name="_Hlk6904002"/>
    </w:p>
    <w:p w14:paraId="426AAF5B" w14:textId="0EB68794" w:rsidR="00BF182B" w:rsidRPr="004930C2" w:rsidRDefault="00C565B1" w:rsidP="0072564A">
      <w:pPr>
        <w:spacing w:line="480" w:lineRule="auto"/>
        <w:rPr>
          <w:color w:val="000000" w:themeColor="text1"/>
          <w:sz w:val="20"/>
        </w:rPr>
      </w:pPr>
      <w:r w:rsidRPr="004930C2">
        <w:rPr>
          <w:color w:val="000000" w:themeColor="text1"/>
          <w:sz w:val="20"/>
        </w:rPr>
        <w:tab/>
      </w:r>
      <w:bookmarkEnd w:id="7"/>
      <w:r w:rsidR="00DC30E6" w:rsidRPr="004930C2">
        <w:rPr>
          <w:color w:val="000000" w:themeColor="text1"/>
          <w:sz w:val="20"/>
        </w:rPr>
        <w:t xml:space="preserve">In contrast to </w:t>
      </w:r>
      <w:r w:rsidR="00E25C10" w:rsidRPr="004930C2">
        <w:rPr>
          <w:color w:val="000000" w:themeColor="text1"/>
          <w:sz w:val="20"/>
        </w:rPr>
        <w:t xml:space="preserve">the </w:t>
      </w:r>
      <w:r w:rsidR="00DC30E6" w:rsidRPr="004930C2">
        <w:rPr>
          <w:color w:val="000000" w:themeColor="text1"/>
          <w:sz w:val="20"/>
        </w:rPr>
        <w:t>feedstock type, carbonization temperature had no significant impact on biomass production, nitrogen uptake, and δ</w:t>
      </w:r>
      <w:r w:rsidR="00DC30E6" w:rsidRPr="004930C2">
        <w:rPr>
          <w:color w:val="000000" w:themeColor="text1"/>
          <w:sz w:val="20"/>
          <w:vertAlign w:val="superscript"/>
        </w:rPr>
        <w:t>15</w:t>
      </w:r>
      <w:r w:rsidR="00DC30E6" w:rsidRPr="004930C2">
        <w:rPr>
          <w:color w:val="000000" w:themeColor="text1"/>
          <w:sz w:val="20"/>
        </w:rPr>
        <w:t>N value</w:t>
      </w:r>
      <w:r w:rsidR="00433490" w:rsidRPr="004930C2">
        <w:rPr>
          <w:color w:val="000000" w:themeColor="text1"/>
          <w:sz w:val="20"/>
        </w:rPr>
        <w:t xml:space="preserve"> </w:t>
      </w:r>
      <w:r w:rsidR="00DC30E6" w:rsidRPr="004930C2">
        <w:rPr>
          <w:color w:val="000000" w:themeColor="text1"/>
          <w:sz w:val="20"/>
        </w:rPr>
        <w:t xml:space="preserve">(Table 4). </w:t>
      </w:r>
      <w:r w:rsidR="00735653" w:rsidRPr="004930C2">
        <w:rPr>
          <w:color w:val="000000" w:themeColor="text1"/>
          <w:sz w:val="20"/>
        </w:rPr>
        <w:t xml:space="preserve">In a pot experiment </w:t>
      </w:r>
      <w:r w:rsidR="00A93CF1" w:rsidRPr="004930C2">
        <w:rPr>
          <w:color w:val="000000" w:themeColor="text1"/>
          <w:sz w:val="20"/>
        </w:rPr>
        <w:t>examining the effects of</w:t>
      </w:r>
      <w:r w:rsidR="00735653" w:rsidRPr="004930C2">
        <w:rPr>
          <w:color w:val="000000" w:themeColor="text1"/>
          <w:sz w:val="20"/>
        </w:rPr>
        <w:t xml:space="preserve"> the application of biochar and chemical fertilizer</w:t>
      </w:r>
      <w:r w:rsidR="00A93CF1" w:rsidRPr="004930C2">
        <w:rPr>
          <w:color w:val="000000" w:themeColor="text1"/>
          <w:sz w:val="20"/>
        </w:rPr>
        <w:t xml:space="preserve"> on corn growth</w:t>
      </w:r>
      <w:r w:rsidR="00735653" w:rsidRPr="004930C2">
        <w:rPr>
          <w:color w:val="000000" w:themeColor="text1"/>
          <w:sz w:val="20"/>
        </w:rPr>
        <w:t>, difference</w:t>
      </w:r>
      <w:r w:rsidR="00A93CF1" w:rsidRPr="004930C2">
        <w:rPr>
          <w:color w:val="000000" w:themeColor="text1"/>
          <w:sz w:val="20"/>
        </w:rPr>
        <w:t>s</w:t>
      </w:r>
      <w:r w:rsidR="00735653" w:rsidRPr="004930C2">
        <w:rPr>
          <w:color w:val="000000" w:themeColor="text1"/>
          <w:sz w:val="20"/>
        </w:rPr>
        <w:t xml:space="preserve"> </w:t>
      </w:r>
      <w:r w:rsidR="00A93CF1" w:rsidRPr="004930C2">
        <w:rPr>
          <w:color w:val="000000" w:themeColor="text1"/>
          <w:sz w:val="20"/>
        </w:rPr>
        <w:t>in</w:t>
      </w:r>
      <w:r w:rsidR="00735653" w:rsidRPr="004930C2">
        <w:rPr>
          <w:color w:val="000000" w:themeColor="text1"/>
          <w:sz w:val="20"/>
        </w:rPr>
        <w:t xml:space="preserve"> f</w:t>
      </w:r>
      <w:r w:rsidR="00DC30E6" w:rsidRPr="004930C2">
        <w:rPr>
          <w:color w:val="000000" w:themeColor="text1"/>
          <w:sz w:val="20"/>
        </w:rPr>
        <w:t>eedstock type</w:t>
      </w:r>
      <w:r w:rsidR="00735653" w:rsidRPr="004930C2">
        <w:rPr>
          <w:color w:val="000000" w:themeColor="text1"/>
          <w:sz w:val="20"/>
        </w:rPr>
        <w:t xml:space="preserve"> </w:t>
      </w:r>
      <w:r w:rsidR="00DC30E6" w:rsidRPr="004930C2">
        <w:rPr>
          <w:color w:val="000000" w:themeColor="text1"/>
          <w:sz w:val="20"/>
        </w:rPr>
        <w:t>cause</w:t>
      </w:r>
      <w:r w:rsidR="00A93CF1" w:rsidRPr="004930C2">
        <w:rPr>
          <w:color w:val="000000" w:themeColor="text1"/>
          <w:sz w:val="20"/>
        </w:rPr>
        <w:t>d</w:t>
      </w:r>
      <w:r w:rsidR="00DC30E6" w:rsidRPr="004930C2">
        <w:rPr>
          <w:color w:val="000000" w:themeColor="text1"/>
          <w:sz w:val="20"/>
        </w:rPr>
        <w:t xml:space="preserve"> eight times more variation in </w:t>
      </w:r>
      <w:r w:rsidR="00735653" w:rsidRPr="004930C2">
        <w:rPr>
          <w:color w:val="000000" w:themeColor="text1"/>
          <w:sz w:val="20"/>
        </w:rPr>
        <w:t xml:space="preserve">growth </w:t>
      </w:r>
      <w:r w:rsidR="00DC30E6" w:rsidRPr="004930C2">
        <w:rPr>
          <w:color w:val="000000" w:themeColor="text1"/>
          <w:sz w:val="20"/>
        </w:rPr>
        <w:t>than carbonization temperature</w:t>
      </w:r>
      <w:r w:rsidR="00735653" w:rsidRPr="004930C2">
        <w:rPr>
          <w:color w:val="000000" w:themeColor="text1"/>
          <w:sz w:val="20"/>
        </w:rPr>
        <w:t xml:space="preserve"> (</w:t>
      </w:r>
      <w:proofErr w:type="spellStart"/>
      <w:r w:rsidR="00735653" w:rsidRPr="004930C2">
        <w:rPr>
          <w:color w:val="000000" w:themeColor="text1"/>
          <w:sz w:val="20"/>
        </w:rPr>
        <w:t>Rajkovich</w:t>
      </w:r>
      <w:proofErr w:type="spellEnd"/>
      <w:r w:rsidR="00735653" w:rsidRPr="004930C2">
        <w:rPr>
          <w:color w:val="000000" w:themeColor="text1"/>
          <w:sz w:val="20"/>
        </w:rPr>
        <w:t xml:space="preserve"> et al. 2012).</w:t>
      </w:r>
      <w:r w:rsidR="00DC30E6" w:rsidRPr="004930C2">
        <w:rPr>
          <w:color w:val="000000" w:themeColor="text1"/>
          <w:sz w:val="20"/>
        </w:rPr>
        <w:t xml:space="preserve"> </w:t>
      </w:r>
      <w:r w:rsidR="00735653" w:rsidRPr="004930C2">
        <w:rPr>
          <w:color w:val="000000" w:themeColor="text1"/>
          <w:sz w:val="20"/>
        </w:rPr>
        <w:t xml:space="preserve">These results </w:t>
      </w:r>
      <w:r w:rsidR="001F5A5A" w:rsidRPr="004930C2">
        <w:rPr>
          <w:color w:val="000000" w:themeColor="text1"/>
          <w:sz w:val="20"/>
        </w:rPr>
        <w:t>indicate</w:t>
      </w:r>
      <w:r w:rsidR="00735653" w:rsidRPr="004930C2">
        <w:rPr>
          <w:color w:val="000000" w:themeColor="text1"/>
          <w:sz w:val="20"/>
        </w:rPr>
        <w:t xml:space="preserve"> that feedstock type is </w:t>
      </w:r>
      <w:r w:rsidR="00090976" w:rsidRPr="004930C2">
        <w:rPr>
          <w:color w:val="000000" w:themeColor="text1"/>
          <w:sz w:val="20"/>
        </w:rPr>
        <w:t xml:space="preserve">a </w:t>
      </w:r>
      <w:r w:rsidR="00735653" w:rsidRPr="004930C2">
        <w:rPr>
          <w:color w:val="000000" w:themeColor="text1"/>
          <w:sz w:val="20"/>
        </w:rPr>
        <w:t xml:space="preserve">more dominant factor </w:t>
      </w:r>
      <w:r w:rsidR="00A93CF1" w:rsidRPr="004930C2">
        <w:rPr>
          <w:color w:val="000000" w:themeColor="text1"/>
          <w:sz w:val="20"/>
        </w:rPr>
        <w:t>than carbonization temperature in influencing</w:t>
      </w:r>
      <w:r w:rsidR="00735653" w:rsidRPr="004930C2">
        <w:rPr>
          <w:color w:val="000000" w:themeColor="text1"/>
          <w:sz w:val="20"/>
        </w:rPr>
        <w:t xml:space="preserve"> plant growth.</w:t>
      </w:r>
      <w:r w:rsidR="00433490" w:rsidRPr="004930C2">
        <w:rPr>
          <w:color w:val="000000" w:themeColor="text1"/>
          <w:sz w:val="20"/>
        </w:rPr>
        <w:t xml:space="preserve"> However, it should be noted that </w:t>
      </w:r>
      <w:r w:rsidR="0040788E" w:rsidRPr="004930C2">
        <w:rPr>
          <w:color w:val="000000" w:themeColor="text1"/>
          <w:sz w:val="20"/>
        </w:rPr>
        <w:t xml:space="preserve">the highest nitrogen content was observed </w:t>
      </w:r>
      <w:r w:rsidR="00A93CF1" w:rsidRPr="004930C2">
        <w:rPr>
          <w:color w:val="000000" w:themeColor="text1"/>
          <w:sz w:val="20"/>
        </w:rPr>
        <w:t>for</w:t>
      </w:r>
      <w:r w:rsidR="0040788E" w:rsidRPr="004930C2">
        <w:rPr>
          <w:color w:val="000000" w:themeColor="text1"/>
          <w:sz w:val="20"/>
        </w:rPr>
        <w:t xml:space="preserve"> WD</w:t>
      </w:r>
      <w:r w:rsidR="0040788E" w:rsidRPr="004930C2">
        <w:rPr>
          <w:color w:val="000000" w:themeColor="text1"/>
          <w:sz w:val="20"/>
          <w:vertAlign w:val="subscript"/>
        </w:rPr>
        <w:t>BC600</w:t>
      </w:r>
      <w:r w:rsidR="0040788E" w:rsidRPr="004930C2">
        <w:rPr>
          <w:color w:val="000000" w:themeColor="text1"/>
          <w:sz w:val="20"/>
        </w:rPr>
        <w:t xml:space="preserve"> and DM</w:t>
      </w:r>
      <w:r w:rsidR="0040788E" w:rsidRPr="004930C2">
        <w:rPr>
          <w:color w:val="000000" w:themeColor="text1"/>
          <w:sz w:val="20"/>
          <w:vertAlign w:val="subscript"/>
        </w:rPr>
        <w:t>BC600</w:t>
      </w:r>
      <w:r w:rsidR="0040788E" w:rsidRPr="004930C2">
        <w:rPr>
          <w:color w:val="000000" w:themeColor="text1"/>
          <w:sz w:val="20"/>
        </w:rPr>
        <w:t xml:space="preserve"> (</w:t>
      </w:r>
      <w:r w:rsidR="007E2F1F">
        <w:rPr>
          <w:color w:val="000000" w:themeColor="text1"/>
          <w:sz w:val="20"/>
        </w:rPr>
        <w:t>Fig.</w:t>
      </w:r>
      <w:r w:rsidR="0040788E" w:rsidRPr="004930C2">
        <w:rPr>
          <w:color w:val="000000" w:themeColor="text1"/>
          <w:sz w:val="20"/>
        </w:rPr>
        <w:t xml:space="preserve"> 3). </w:t>
      </w:r>
      <w:r w:rsidR="001F5A5A" w:rsidRPr="004930C2">
        <w:rPr>
          <w:color w:val="000000" w:themeColor="text1"/>
          <w:sz w:val="20"/>
        </w:rPr>
        <w:t>Because b</w:t>
      </w:r>
      <w:r w:rsidR="00433490" w:rsidRPr="004930C2">
        <w:rPr>
          <w:color w:val="000000" w:themeColor="text1"/>
          <w:sz w:val="20"/>
        </w:rPr>
        <w:t>iochar produced at higher temperatures is favored o</w:t>
      </w:r>
      <w:r w:rsidR="00A93CF1" w:rsidRPr="004930C2">
        <w:rPr>
          <w:color w:val="000000" w:themeColor="text1"/>
          <w:sz w:val="20"/>
        </w:rPr>
        <w:t>ver</w:t>
      </w:r>
      <w:r w:rsidR="00221208" w:rsidRPr="004930C2">
        <w:rPr>
          <w:color w:val="000000" w:themeColor="text1"/>
          <w:sz w:val="20"/>
        </w:rPr>
        <w:t xml:space="preserve"> improvements </w:t>
      </w:r>
      <w:r w:rsidR="00A93CF1" w:rsidRPr="004930C2">
        <w:rPr>
          <w:color w:val="000000" w:themeColor="text1"/>
          <w:sz w:val="20"/>
        </w:rPr>
        <w:t>t</w:t>
      </w:r>
      <w:r w:rsidR="00221208" w:rsidRPr="004930C2">
        <w:rPr>
          <w:color w:val="000000" w:themeColor="text1"/>
          <w:sz w:val="20"/>
        </w:rPr>
        <w:t xml:space="preserve">o </w:t>
      </w:r>
      <w:r w:rsidR="0040788E" w:rsidRPr="004930C2">
        <w:rPr>
          <w:color w:val="000000" w:themeColor="text1"/>
          <w:sz w:val="20"/>
        </w:rPr>
        <w:t>soil water</w:t>
      </w:r>
      <w:r w:rsidR="00A93CF1" w:rsidRPr="004930C2">
        <w:rPr>
          <w:color w:val="000000" w:themeColor="text1"/>
          <w:sz w:val="20"/>
        </w:rPr>
        <w:t>-</w:t>
      </w:r>
      <w:r w:rsidR="0040788E" w:rsidRPr="004930C2">
        <w:rPr>
          <w:color w:val="000000" w:themeColor="text1"/>
          <w:sz w:val="20"/>
        </w:rPr>
        <w:t>holding capacity (</w:t>
      </w:r>
      <w:r w:rsidR="00295C91" w:rsidRPr="004930C2">
        <w:rPr>
          <w:color w:val="000000" w:themeColor="text1"/>
          <w:sz w:val="20"/>
        </w:rPr>
        <w:t xml:space="preserve">Gray et al. 2014; </w:t>
      </w:r>
      <w:r w:rsidR="0040788E" w:rsidRPr="004930C2">
        <w:rPr>
          <w:color w:val="000000" w:themeColor="text1"/>
          <w:sz w:val="20"/>
        </w:rPr>
        <w:t>Kinney et al. 2012)</w:t>
      </w:r>
      <w:r w:rsidR="00A93CF1" w:rsidRPr="004930C2">
        <w:rPr>
          <w:color w:val="000000" w:themeColor="text1"/>
          <w:sz w:val="20"/>
        </w:rPr>
        <w:t xml:space="preserve"> and</w:t>
      </w:r>
      <w:r w:rsidR="0040788E" w:rsidRPr="004930C2">
        <w:rPr>
          <w:color w:val="000000" w:themeColor="text1"/>
          <w:sz w:val="20"/>
        </w:rPr>
        <w:t xml:space="preserve"> nitrogen retention (Zheng et al. 2013)</w:t>
      </w:r>
      <w:r w:rsidR="00221208" w:rsidRPr="004930C2">
        <w:rPr>
          <w:color w:val="000000" w:themeColor="text1"/>
          <w:sz w:val="20"/>
        </w:rPr>
        <w:t xml:space="preserve">, </w:t>
      </w:r>
      <w:r w:rsidR="001F5A5A" w:rsidRPr="004930C2">
        <w:rPr>
          <w:color w:val="000000" w:themeColor="text1"/>
          <w:sz w:val="20"/>
        </w:rPr>
        <w:t xml:space="preserve">these aspects </w:t>
      </w:r>
      <w:r w:rsidR="00301918" w:rsidRPr="004930C2">
        <w:rPr>
          <w:color w:val="000000" w:themeColor="text1"/>
          <w:sz w:val="20"/>
        </w:rPr>
        <w:t>may</w:t>
      </w:r>
      <w:r w:rsidR="001F5A5A" w:rsidRPr="004930C2">
        <w:rPr>
          <w:color w:val="000000" w:themeColor="text1"/>
          <w:sz w:val="20"/>
        </w:rPr>
        <w:t xml:space="preserve"> contribute to </w:t>
      </w:r>
      <w:r w:rsidR="00334A78" w:rsidRPr="004930C2">
        <w:rPr>
          <w:color w:val="000000" w:themeColor="text1"/>
          <w:sz w:val="20"/>
        </w:rPr>
        <w:t xml:space="preserve">the highest </w:t>
      </w:r>
      <w:r w:rsidR="00334A78" w:rsidRPr="004930C2">
        <w:rPr>
          <w:color w:val="000000" w:themeColor="text1"/>
          <w:sz w:val="20"/>
        </w:rPr>
        <w:lastRenderedPageBreak/>
        <w:t>nitrogen content.</w:t>
      </w:r>
      <w:r w:rsidR="003302DF" w:rsidRPr="004930C2">
        <w:rPr>
          <w:color w:val="000000" w:themeColor="text1"/>
          <w:sz w:val="20"/>
        </w:rPr>
        <w:t xml:space="preserve"> </w:t>
      </w:r>
      <w:r w:rsidR="003A035E" w:rsidRPr="004930C2">
        <w:rPr>
          <w:color w:val="000000" w:themeColor="text1"/>
          <w:sz w:val="20"/>
        </w:rPr>
        <w:t>Although</w:t>
      </w:r>
      <w:r w:rsidR="004B0F16" w:rsidRPr="004930C2">
        <w:rPr>
          <w:color w:val="000000" w:themeColor="text1"/>
          <w:sz w:val="20"/>
        </w:rPr>
        <w:t xml:space="preserve">, the </w:t>
      </w:r>
      <w:r w:rsidR="003A035E" w:rsidRPr="004930C2">
        <w:rPr>
          <w:color w:val="000000" w:themeColor="text1"/>
          <w:sz w:val="20"/>
        </w:rPr>
        <w:t>plant nitrogen content peaked at 600°C, oat growth was most enhanced at</w:t>
      </w:r>
      <w:r w:rsidR="004B0F16" w:rsidRPr="004930C2">
        <w:rPr>
          <w:color w:val="000000" w:themeColor="text1"/>
          <w:sz w:val="20"/>
        </w:rPr>
        <w:t xml:space="preserve"> 450°C. </w:t>
      </w:r>
      <w:r w:rsidR="00433490" w:rsidRPr="004930C2">
        <w:rPr>
          <w:color w:val="000000" w:themeColor="text1"/>
          <w:sz w:val="20"/>
        </w:rPr>
        <w:t xml:space="preserve">Interestingly, it has </w:t>
      </w:r>
      <w:r w:rsidR="00A93CF1" w:rsidRPr="004930C2">
        <w:rPr>
          <w:color w:val="000000" w:themeColor="text1"/>
          <w:sz w:val="20"/>
        </w:rPr>
        <w:t xml:space="preserve">also </w:t>
      </w:r>
      <w:r w:rsidR="00433490" w:rsidRPr="004930C2">
        <w:rPr>
          <w:color w:val="000000" w:themeColor="text1"/>
          <w:sz w:val="20"/>
        </w:rPr>
        <w:t>been observed that</w:t>
      </w:r>
      <w:r w:rsidR="00A93CF1" w:rsidRPr="004930C2">
        <w:rPr>
          <w:color w:val="000000" w:themeColor="text1"/>
          <w:sz w:val="20"/>
        </w:rPr>
        <w:t>,</w:t>
      </w:r>
      <w:r w:rsidR="00433490" w:rsidRPr="004930C2">
        <w:rPr>
          <w:color w:val="000000" w:themeColor="text1"/>
          <w:sz w:val="20"/>
        </w:rPr>
        <w:t xml:space="preserve"> </w:t>
      </w:r>
      <w:r w:rsidR="00A72898" w:rsidRPr="004930C2">
        <w:rPr>
          <w:color w:val="000000" w:themeColor="text1"/>
          <w:sz w:val="20"/>
        </w:rPr>
        <w:t>on</w:t>
      </w:r>
      <w:r w:rsidR="00433490" w:rsidRPr="004930C2">
        <w:rPr>
          <w:color w:val="000000" w:themeColor="text1"/>
          <w:sz w:val="20"/>
        </w:rPr>
        <w:t xml:space="preserve"> </w:t>
      </w:r>
      <w:r w:rsidR="00A72898" w:rsidRPr="004930C2">
        <w:rPr>
          <w:color w:val="000000" w:themeColor="text1"/>
          <w:sz w:val="20"/>
        </w:rPr>
        <w:t xml:space="preserve">average, </w:t>
      </w:r>
      <w:r w:rsidR="00AA6C64" w:rsidRPr="004930C2">
        <w:rPr>
          <w:color w:val="000000" w:themeColor="text1"/>
          <w:sz w:val="20"/>
        </w:rPr>
        <w:t>corn</w:t>
      </w:r>
      <w:r w:rsidR="00A72898" w:rsidRPr="004930C2">
        <w:rPr>
          <w:color w:val="000000" w:themeColor="text1"/>
          <w:sz w:val="20"/>
        </w:rPr>
        <w:t xml:space="preserve"> growth was </w:t>
      </w:r>
      <w:r w:rsidR="00D57D7F" w:rsidRPr="004930C2">
        <w:rPr>
          <w:color w:val="000000" w:themeColor="text1"/>
          <w:sz w:val="20"/>
        </w:rPr>
        <w:t xml:space="preserve">the </w:t>
      </w:r>
      <w:r w:rsidR="00A72898" w:rsidRPr="004930C2">
        <w:rPr>
          <w:color w:val="000000" w:themeColor="text1"/>
          <w:sz w:val="20"/>
        </w:rPr>
        <w:t xml:space="preserve">highest </w:t>
      </w:r>
      <w:r w:rsidR="00A93CF1" w:rsidRPr="004930C2">
        <w:rPr>
          <w:color w:val="000000" w:themeColor="text1"/>
          <w:sz w:val="20"/>
        </w:rPr>
        <w:t xml:space="preserve">when </w:t>
      </w:r>
      <w:r w:rsidR="00A72898" w:rsidRPr="004930C2">
        <w:rPr>
          <w:color w:val="000000" w:themeColor="text1"/>
          <w:sz w:val="20"/>
        </w:rPr>
        <w:t xml:space="preserve">various types of biochar produced at a temperature of 500°C </w:t>
      </w:r>
      <w:r w:rsidR="001E375B" w:rsidRPr="004930C2">
        <w:rPr>
          <w:color w:val="000000" w:themeColor="text1"/>
          <w:sz w:val="20"/>
        </w:rPr>
        <w:t>were</w:t>
      </w:r>
      <w:r w:rsidR="00A93CF1" w:rsidRPr="004930C2">
        <w:rPr>
          <w:color w:val="000000" w:themeColor="text1"/>
          <w:sz w:val="20"/>
        </w:rPr>
        <w:t xml:space="preserve"> used rather than biochar produced</w:t>
      </w:r>
      <w:r w:rsidR="00A72898" w:rsidRPr="004930C2">
        <w:rPr>
          <w:color w:val="000000" w:themeColor="text1"/>
          <w:sz w:val="20"/>
        </w:rPr>
        <w:t xml:space="preserve"> at 300°C, 400°C, 500°C, and 600°C</w:t>
      </w:r>
      <w:r w:rsidR="00433490" w:rsidRPr="004930C2">
        <w:rPr>
          <w:color w:val="000000" w:themeColor="text1"/>
          <w:sz w:val="20"/>
        </w:rPr>
        <w:t xml:space="preserve"> (</w:t>
      </w:r>
      <w:proofErr w:type="spellStart"/>
      <w:r w:rsidR="00433490" w:rsidRPr="004930C2">
        <w:rPr>
          <w:color w:val="000000" w:themeColor="text1"/>
          <w:sz w:val="20"/>
        </w:rPr>
        <w:t>Rajkovich</w:t>
      </w:r>
      <w:proofErr w:type="spellEnd"/>
      <w:r w:rsidR="00433490" w:rsidRPr="004930C2">
        <w:rPr>
          <w:color w:val="000000" w:themeColor="text1"/>
          <w:sz w:val="20"/>
        </w:rPr>
        <w:t xml:space="preserve"> et al. 2012)</w:t>
      </w:r>
      <w:r w:rsidR="00A93CF1" w:rsidRPr="004930C2">
        <w:rPr>
          <w:color w:val="000000" w:themeColor="text1"/>
          <w:sz w:val="20"/>
        </w:rPr>
        <w:t>,</w:t>
      </w:r>
      <w:r w:rsidR="00433490" w:rsidRPr="004930C2">
        <w:rPr>
          <w:color w:val="000000" w:themeColor="text1"/>
          <w:sz w:val="20"/>
        </w:rPr>
        <w:t xml:space="preserve"> and </w:t>
      </w:r>
      <w:r w:rsidR="00A72898" w:rsidRPr="004930C2">
        <w:rPr>
          <w:color w:val="000000" w:themeColor="text1"/>
          <w:sz w:val="20"/>
        </w:rPr>
        <w:t xml:space="preserve">sewage sludge biochar </w:t>
      </w:r>
      <w:r w:rsidR="00A93CF1" w:rsidRPr="004930C2">
        <w:rPr>
          <w:color w:val="000000" w:themeColor="text1"/>
          <w:sz w:val="20"/>
        </w:rPr>
        <w:t xml:space="preserve">produced </w:t>
      </w:r>
      <w:r w:rsidR="00A72898" w:rsidRPr="004930C2">
        <w:rPr>
          <w:color w:val="000000" w:themeColor="text1"/>
          <w:sz w:val="20"/>
        </w:rPr>
        <w:t xml:space="preserve">at 450°C </w:t>
      </w:r>
      <w:r w:rsidR="00A93CF1" w:rsidRPr="004930C2">
        <w:rPr>
          <w:color w:val="000000" w:themeColor="text1"/>
          <w:sz w:val="20"/>
        </w:rPr>
        <w:t>wa</w:t>
      </w:r>
      <w:r w:rsidR="00A72898" w:rsidRPr="004930C2">
        <w:rPr>
          <w:color w:val="000000" w:themeColor="text1"/>
          <w:sz w:val="20"/>
        </w:rPr>
        <w:t>s the most suitable</w:t>
      </w:r>
      <w:r w:rsidR="0059103C" w:rsidRPr="004930C2">
        <w:rPr>
          <w:color w:val="000000" w:themeColor="text1"/>
          <w:sz w:val="20"/>
        </w:rPr>
        <w:t xml:space="preserve"> </w:t>
      </w:r>
      <w:r w:rsidR="00A93CF1" w:rsidRPr="004930C2">
        <w:rPr>
          <w:color w:val="000000" w:themeColor="text1"/>
          <w:sz w:val="20"/>
        </w:rPr>
        <w:t xml:space="preserve">for </w:t>
      </w:r>
      <w:r w:rsidR="0059103C" w:rsidRPr="004930C2">
        <w:rPr>
          <w:color w:val="000000" w:themeColor="text1"/>
          <w:sz w:val="20"/>
        </w:rPr>
        <w:t xml:space="preserve">garlic cultivation </w:t>
      </w:r>
      <w:r w:rsidR="00A72898" w:rsidRPr="004930C2">
        <w:rPr>
          <w:color w:val="000000" w:themeColor="text1"/>
          <w:sz w:val="20"/>
        </w:rPr>
        <w:t xml:space="preserve">among </w:t>
      </w:r>
      <w:r w:rsidR="00A93CF1" w:rsidRPr="004930C2">
        <w:rPr>
          <w:color w:val="000000" w:themeColor="text1"/>
          <w:sz w:val="20"/>
        </w:rPr>
        <w:t xml:space="preserve">biochar produced </w:t>
      </w:r>
      <w:r w:rsidR="00A72898" w:rsidRPr="004930C2">
        <w:rPr>
          <w:color w:val="000000" w:themeColor="text1"/>
          <w:sz w:val="20"/>
        </w:rPr>
        <w:t>at 400°C, 450°C, 500°C, and 550°C</w:t>
      </w:r>
      <w:r w:rsidR="00433490" w:rsidRPr="004930C2">
        <w:rPr>
          <w:color w:val="000000" w:themeColor="text1"/>
          <w:sz w:val="20"/>
        </w:rPr>
        <w:t xml:space="preserve"> (Song et al. 2014)</w:t>
      </w:r>
      <w:r w:rsidR="00A72898" w:rsidRPr="004930C2">
        <w:rPr>
          <w:color w:val="000000" w:themeColor="text1"/>
          <w:sz w:val="20"/>
        </w:rPr>
        <w:t xml:space="preserve">. </w:t>
      </w:r>
      <w:r w:rsidR="0059103C" w:rsidRPr="004930C2">
        <w:rPr>
          <w:color w:val="000000" w:themeColor="text1"/>
          <w:sz w:val="20"/>
        </w:rPr>
        <w:t xml:space="preserve">These results suggest that an optimal carbonization temperature for plant growth </w:t>
      </w:r>
      <w:r w:rsidR="00B72835" w:rsidRPr="004930C2">
        <w:rPr>
          <w:color w:val="000000" w:themeColor="text1"/>
          <w:sz w:val="20"/>
        </w:rPr>
        <w:t xml:space="preserve">is approximately </w:t>
      </w:r>
      <w:r w:rsidR="0059103C" w:rsidRPr="004930C2">
        <w:rPr>
          <w:color w:val="000000" w:themeColor="text1"/>
          <w:sz w:val="20"/>
        </w:rPr>
        <w:t>450</w:t>
      </w:r>
      <w:r w:rsidR="00B72835" w:rsidRPr="004930C2">
        <w:rPr>
          <w:color w:val="000000" w:themeColor="text1"/>
          <w:sz w:val="20"/>
        </w:rPr>
        <w:t>°C</w:t>
      </w:r>
      <w:r w:rsidR="00433490" w:rsidRPr="004930C2">
        <w:rPr>
          <w:color w:val="000000" w:themeColor="text1"/>
          <w:sz w:val="20"/>
        </w:rPr>
        <w:t>–500</w:t>
      </w:r>
      <w:r w:rsidR="0059103C" w:rsidRPr="004930C2">
        <w:rPr>
          <w:color w:val="000000" w:themeColor="text1"/>
          <w:sz w:val="20"/>
        </w:rPr>
        <w:t>°C.</w:t>
      </w:r>
      <w:r w:rsidR="00334A78" w:rsidRPr="004930C2">
        <w:rPr>
          <w:color w:val="000000" w:themeColor="text1"/>
          <w:sz w:val="20"/>
        </w:rPr>
        <w:t xml:space="preserve"> </w:t>
      </w:r>
      <w:r w:rsidR="00C234E5" w:rsidRPr="004930C2">
        <w:rPr>
          <w:color w:val="000000" w:themeColor="text1"/>
          <w:sz w:val="20"/>
        </w:rPr>
        <w:t>Th</w:t>
      </w:r>
      <w:r w:rsidR="00EA7352" w:rsidRPr="004930C2">
        <w:rPr>
          <w:color w:val="000000" w:themeColor="text1"/>
          <w:sz w:val="20"/>
        </w:rPr>
        <w:t>is</w:t>
      </w:r>
      <w:r w:rsidR="00C234E5" w:rsidRPr="004930C2">
        <w:rPr>
          <w:color w:val="000000" w:themeColor="text1"/>
          <w:sz w:val="20"/>
        </w:rPr>
        <w:t xml:space="preserve"> </w:t>
      </w:r>
      <w:r w:rsidR="00A93CF1" w:rsidRPr="004930C2">
        <w:rPr>
          <w:color w:val="000000" w:themeColor="text1"/>
          <w:sz w:val="20"/>
        </w:rPr>
        <w:t xml:space="preserve">finding </w:t>
      </w:r>
      <w:r w:rsidR="00B72835" w:rsidRPr="004930C2">
        <w:rPr>
          <w:color w:val="000000" w:themeColor="text1"/>
          <w:sz w:val="20"/>
        </w:rPr>
        <w:t>may</w:t>
      </w:r>
      <w:r w:rsidR="00C234E5" w:rsidRPr="004930C2">
        <w:rPr>
          <w:color w:val="000000" w:themeColor="text1"/>
          <w:sz w:val="20"/>
        </w:rPr>
        <w:t xml:space="preserve"> be explained by the physical and chemical aspects of biochar. </w:t>
      </w:r>
      <w:r w:rsidR="00A93CF1" w:rsidRPr="004930C2">
        <w:rPr>
          <w:color w:val="000000" w:themeColor="text1"/>
          <w:sz w:val="20"/>
        </w:rPr>
        <w:t>In terms of</w:t>
      </w:r>
      <w:r w:rsidR="00990AF2" w:rsidRPr="004930C2">
        <w:rPr>
          <w:color w:val="000000" w:themeColor="text1"/>
          <w:sz w:val="20"/>
        </w:rPr>
        <w:t xml:space="preserve"> physical aspects, higher temperatures </w:t>
      </w:r>
      <w:r w:rsidR="00A93CF1" w:rsidRPr="004930C2">
        <w:rPr>
          <w:color w:val="000000" w:themeColor="text1"/>
          <w:sz w:val="20"/>
        </w:rPr>
        <w:t>are</w:t>
      </w:r>
      <w:r w:rsidR="00990AF2" w:rsidRPr="004930C2">
        <w:rPr>
          <w:color w:val="000000" w:themeColor="text1"/>
          <w:sz w:val="20"/>
        </w:rPr>
        <w:t xml:space="preserve"> preferable to improve physical properties</w:t>
      </w:r>
      <w:r w:rsidR="00A93CF1" w:rsidRPr="004930C2">
        <w:rPr>
          <w:color w:val="000000" w:themeColor="text1"/>
          <w:sz w:val="20"/>
        </w:rPr>
        <w:t>,</w:t>
      </w:r>
      <w:r w:rsidR="00990AF2" w:rsidRPr="004930C2">
        <w:rPr>
          <w:color w:val="000000" w:themeColor="text1"/>
          <w:sz w:val="20"/>
        </w:rPr>
        <w:t xml:space="preserve"> such as porosity</w:t>
      </w:r>
      <w:r w:rsidR="00A93CF1" w:rsidRPr="004930C2">
        <w:rPr>
          <w:color w:val="000000" w:themeColor="text1"/>
          <w:sz w:val="20"/>
        </w:rPr>
        <w:t>,</w:t>
      </w:r>
      <w:r w:rsidR="00990AF2" w:rsidRPr="004930C2">
        <w:rPr>
          <w:color w:val="000000" w:themeColor="text1"/>
          <w:sz w:val="20"/>
        </w:rPr>
        <w:t xml:space="preserve"> due to the developed porous structure of biochar</w:t>
      </w:r>
      <w:r w:rsidR="003A7FC9" w:rsidRPr="004930C2">
        <w:rPr>
          <w:color w:val="000000" w:themeColor="text1"/>
          <w:sz w:val="20"/>
        </w:rPr>
        <w:t xml:space="preserve">. </w:t>
      </w:r>
      <w:r w:rsidR="004007E6" w:rsidRPr="004930C2">
        <w:rPr>
          <w:color w:val="000000" w:themeColor="text1"/>
          <w:sz w:val="20"/>
        </w:rPr>
        <w:t xml:space="preserve">Meanwhile, </w:t>
      </w:r>
      <w:r w:rsidR="00A93CF1" w:rsidRPr="004930C2">
        <w:rPr>
          <w:color w:val="000000" w:themeColor="text1"/>
          <w:sz w:val="20"/>
        </w:rPr>
        <w:t>in terms of</w:t>
      </w:r>
      <w:r w:rsidR="00990AF2" w:rsidRPr="004930C2">
        <w:rPr>
          <w:color w:val="000000" w:themeColor="text1"/>
          <w:sz w:val="20"/>
        </w:rPr>
        <w:t xml:space="preserve"> </w:t>
      </w:r>
      <w:r w:rsidR="00EF0536" w:rsidRPr="004930C2">
        <w:rPr>
          <w:color w:val="000000" w:themeColor="text1"/>
          <w:sz w:val="20"/>
        </w:rPr>
        <w:t xml:space="preserve">chemical </w:t>
      </w:r>
      <w:r w:rsidR="00990AF2" w:rsidRPr="004930C2">
        <w:rPr>
          <w:color w:val="000000" w:themeColor="text1"/>
          <w:sz w:val="20"/>
        </w:rPr>
        <w:t>aspect</w:t>
      </w:r>
      <w:r w:rsidR="00F2194B" w:rsidRPr="004930C2">
        <w:rPr>
          <w:color w:val="000000" w:themeColor="text1"/>
          <w:sz w:val="20"/>
        </w:rPr>
        <w:t>s</w:t>
      </w:r>
      <w:r w:rsidR="00EF0536" w:rsidRPr="004930C2">
        <w:rPr>
          <w:color w:val="000000" w:themeColor="text1"/>
          <w:sz w:val="20"/>
        </w:rPr>
        <w:t xml:space="preserve">, </w:t>
      </w:r>
      <w:r w:rsidR="00990AF2" w:rsidRPr="004930C2">
        <w:rPr>
          <w:color w:val="000000" w:themeColor="text1"/>
          <w:sz w:val="20"/>
        </w:rPr>
        <w:t>higher temperatures</w:t>
      </w:r>
      <w:r w:rsidR="00EF0536" w:rsidRPr="004930C2">
        <w:rPr>
          <w:color w:val="000000" w:themeColor="text1"/>
          <w:sz w:val="20"/>
        </w:rPr>
        <w:t xml:space="preserve"> </w:t>
      </w:r>
      <w:r w:rsidR="00F2194B" w:rsidRPr="004930C2">
        <w:rPr>
          <w:color w:val="000000" w:themeColor="text1"/>
          <w:sz w:val="20"/>
        </w:rPr>
        <w:t>may</w:t>
      </w:r>
      <w:r w:rsidR="00EF0536" w:rsidRPr="004930C2">
        <w:rPr>
          <w:color w:val="000000" w:themeColor="text1"/>
          <w:sz w:val="20"/>
        </w:rPr>
        <w:t xml:space="preserve"> </w:t>
      </w:r>
      <w:r w:rsidR="00A93CF1" w:rsidRPr="004930C2">
        <w:rPr>
          <w:color w:val="000000" w:themeColor="text1"/>
          <w:sz w:val="20"/>
        </w:rPr>
        <w:t>have</w:t>
      </w:r>
      <w:r w:rsidR="00EF0536" w:rsidRPr="004930C2">
        <w:rPr>
          <w:color w:val="000000" w:themeColor="text1"/>
          <w:sz w:val="20"/>
        </w:rPr>
        <w:t xml:space="preserve"> </w:t>
      </w:r>
      <w:r w:rsidR="00E25C10" w:rsidRPr="004930C2">
        <w:rPr>
          <w:color w:val="000000" w:themeColor="text1"/>
          <w:sz w:val="20"/>
        </w:rPr>
        <w:t xml:space="preserve">a </w:t>
      </w:r>
      <w:r w:rsidR="00EF0536" w:rsidRPr="004930C2">
        <w:rPr>
          <w:color w:val="000000" w:themeColor="text1"/>
          <w:sz w:val="20"/>
        </w:rPr>
        <w:t>negative impact on microbes</w:t>
      </w:r>
      <w:r w:rsidR="00990AF2" w:rsidRPr="004930C2">
        <w:rPr>
          <w:color w:val="000000" w:themeColor="text1"/>
          <w:sz w:val="20"/>
        </w:rPr>
        <w:t xml:space="preserve"> </w:t>
      </w:r>
      <w:r w:rsidR="005A00E5" w:rsidRPr="004930C2">
        <w:rPr>
          <w:color w:val="000000" w:themeColor="text1"/>
          <w:sz w:val="20"/>
        </w:rPr>
        <w:t>because</w:t>
      </w:r>
      <w:r w:rsidR="00990AF2" w:rsidRPr="004930C2">
        <w:rPr>
          <w:color w:val="000000" w:themeColor="text1"/>
          <w:sz w:val="20"/>
        </w:rPr>
        <w:t xml:space="preserve"> </w:t>
      </w:r>
      <w:r w:rsidR="004007E6" w:rsidRPr="004930C2">
        <w:rPr>
          <w:color w:val="000000" w:themeColor="text1"/>
          <w:sz w:val="20"/>
        </w:rPr>
        <w:t>biochar</w:t>
      </w:r>
      <w:r w:rsidR="008B48B3" w:rsidRPr="004930C2">
        <w:rPr>
          <w:color w:val="000000" w:themeColor="text1"/>
          <w:sz w:val="20"/>
        </w:rPr>
        <w:t xml:space="preserve"> becomes more recalcitrant</w:t>
      </w:r>
      <w:r w:rsidR="004007E6" w:rsidRPr="004930C2">
        <w:rPr>
          <w:color w:val="000000" w:themeColor="text1"/>
          <w:sz w:val="20"/>
        </w:rPr>
        <w:t xml:space="preserve"> </w:t>
      </w:r>
      <w:r w:rsidR="008B48B3" w:rsidRPr="004930C2">
        <w:rPr>
          <w:color w:val="000000" w:themeColor="text1"/>
          <w:sz w:val="20"/>
        </w:rPr>
        <w:t>to biological degradation</w:t>
      </w:r>
      <w:r w:rsidR="004007E6" w:rsidRPr="004930C2">
        <w:rPr>
          <w:color w:val="000000" w:themeColor="text1"/>
          <w:sz w:val="20"/>
        </w:rPr>
        <w:t xml:space="preserve"> (less labile-C and -N) </w:t>
      </w:r>
      <w:r w:rsidR="00EF0536" w:rsidRPr="004930C2">
        <w:rPr>
          <w:color w:val="000000" w:themeColor="text1"/>
          <w:sz w:val="20"/>
        </w:rPr>
        <w:t xml:space="preserve">and more toxic due to polycyclic aromatic hydrocarbons </w:t>
      </w:r>
      <w:r w:rsidR="005A00E5" w:rsidRPr="004930C2">
        <w:rPr>
          <w:color w:val="000000" w:themeColor="text1"/>
          <w:sz w:val="20"/>
        </w:rPr>
        <w:t>in its chemical structure (</w:t>
      </w:r>
      <w:r w:rsidR="00D0146B" w:rsidRPr="004930C2">
        <w:rPr>
          <w:color w:val="000000" w:themeColor="text1"/>
          <w:sz w:val="20"/>
        </w:rPr>
        <w:t>Buss et al. 2016</w:t>
      </w:r>
      <w:r w:rsidR="005A00E5" w:rsidRPr="004930C2">
        <w:rPr>
          <w:color w:val="000000" w:themeColor="text1"/>
          <w:sz w:val="20"/>
        </w:rPr>
        <w:t xml:space="preserve">). Accordingly, the conflicting effects may generate </w:t>
      </w:r>
      <w:r w:rsidR="00A33472" w:rsidRPr="004930C2">
        <w:rPr>
          <w:color w:val="000000" w:themeColor="text1"/>
          <w:sz w:val="20"/>
        </w:rPr>
        <w:t>an</w:t>
      </w:r>
      <w:r w:rsidR="005A00E5" w:rsidRPr="004930C2">
        <w:rPr>
          <w:color w:val="000000" w:themeColor="text1"/>
          <w:sz w:val="20"/>
        </w:rPr>
        <w:t xml:space="preserve"> optimal carbonization temperature.</w:t>
      </w:r>
    </w:p>
    <w:p w14:paraId="47C3A828" w14:textId="5E6F8A7A" w:rsidR="007E1853" w:rsidRPr="004930C2" w:rsidRDefault="009D3DD4" w:rsidP="004930C2">
      <w:pPr>
        <w:spacing w:line="480" w:lineRule="auto"/>
        <w:ind w:firstLineChars="100" w:firstLine="200"/>
        <w:rPr>
          <w:color w:val="000000" w:themeColor="text1"/>
          <w:sz w:val="20"/>
        </w:rPr>
      </w:pPr>
      <w:r w:rsidRPr="004930C2">
        <w:rPr>
          <w:color w:val="000000" w:themeColor="text1"/>
          <w:sz w:val="20"/>
        </w:rPr>
        <w:tab/>
      </w:r>
      <w:bookmarkStart w:id="8" w:name="_Hlk47117764"/>
      <w:r w:rsidR="009D32CA" w:rsidRPr="004930C2">
        <w:rPr>
          <w:color w:val="000000" w:themeColor="text1"/>
          <w:sz w:val="20"/>
        </w:rPr>
        <w:t xml:space="preserve">This study showed a possible solution to overcome the </w:t>
      </w:r>
      <w:r w:rsidR="006538A7" w:rsidRPr="004930C2">
        <w:rPr>
          <w:color w:val="000000" w:themeColor="text1"/>
          <w:sz w:val="20"/>
        </w:rPr>
        <w:t>disadvantage</w:t>
      </w:r>
      <w:r w:rsidR="009D32CA" w:rsidRPr="004930C2">
        <w:rPr>
          <w:color w:val="000000" w:themeColor="text1"/>
          <w:sz w:val="20"/>
        </w:rPr>
        <w:t xml:space="preserve"> of </w:t>
      </w:r>
      <w:r w:rsidR="006538A7" w:rsidRPr="004930C2">
        <w:rPr>
          <w:color w:val="000000" w:themeColor="text1"/>
          <w:sz w:val="20"/>
        </w:rPr>
        <w:t xml:space="preserve">dairy manure </w:t>
      </w:r>
      <w:r w:rsidR="009D32CA" w:rsidRPr="004930C2">
        <w:rPr>
          <w:color w:val="000000" w:themeColor="text1"/>
          <w:sz w:val="20"/>
        </w:rPr>
        <w:t>compost</w:t>
      </w:r>
      <w:r w:rsidR="00AE53D8">
        <w:rPr>
          <w:rFonts w:eastAsiaTheme="majorEastAsia"/>
          <w:color w:val="000000" w:themeColor="text1"/>
          <w:sz w:val="20"/>
        </w:rPr>
        <w:t>,</w:t>
      </w:r>
      <w:r w:rsidR="006538A7" w:rsidRPr="004930C2">
        <w:rPr>
          <w:rFonts w:eastAsiaTheme="majorEastAsia"/>
          <w:color w:val="000000" w:themeColor="text1"/>
          <w:sz w:val="20"/>
        </w:rPr>
        <w:t xml:space="preserve"> </w:t>
      </w:r>
      <w:r w:rsidR="00AE53D8">
        <w:rPr>
          <w:rFonts w:eastAsiaTheme="majorEastAsia"/>
          <w:color w:val="000000" w:themeColor="text1"/>
          <w:sz w:val="20"/>
        </w:rPr>
        <w:t>which</w:t>
      </w:r>
      <w:r w:rsidR="00AE53D8" w:rsidRPr="004930C2">
        <w:rPr>
          <w:color w:val="000000" w:themeColor="text1"/>
          <w:sz w:val="20"/>
        </w:rPr>
        <w:t xml:space="preserve"> </w:t>
      </w:r>
      <w:r w:rsidR="006538A7" w:rsidRPr="004930C2">
        <w:rPr>
          <w:color w:val="000000" w:themeColor="text1"/>
          <w:sz w:val="20"/>
        </w:rPr>
        <w:t xml:space="preserve">is </w:t>
      </w:r>
      <w:r w:rsidR="00617C8E" w:rsidRPr="004930C2">
        <w:rPr>
          <w:color w:val="000000" w:themeColor="text1"/>
          <w:sz w:val="20"/>
        </w:rPr>
        <w:t xml:space="preserve">low </w:t>
      </w:r>
      <w:r w:rsidR="00AE53D8">
        <w:rPr>
          <w:rFonts w:eastAsiaTheme="majorEastAsia"/>
          <w:color w:val="000000" w:themeColor="text1"/>
          <w:sz w:val="20"/>
        </w:rPr>
        <w:t xml:space="preserve">capacity of </w:t>
      </w:r>
      <w:r w:rsidR="00617C8E" w:rsidRPr="004930C2">
        <w:rPr>
          <w:color w:val="000000" w:themeColor="text1"/>
          <w:sz w:val="20"/>
        </w:rPr>
        <w:t xml:space="preserve">nitrogen </w:t>
      </w:r>
      <w:r w:rsidR="006538A7" w:rsidRPr="004930C2">
        <w:rPr>
          <w:color w:val="000000" w:themeColor="text1"/>
          <w:sz w:val="20"/>
        </w:rPr>
        <w:t>supply</w:t>
      </w:r>
      <w:r w:rsidR="009D32CA" w:rsidRPr="004930C2">
        <w:rPr>
          <w:color w:val="000000" w:themeColor="text1"/>
          <w:sz w:val="20"/>
        </w:rPr>
        <w:t>.</w:t>
      </w:r>
      <w:r w:rsidR="009D32CA" w:rsidRPr="004930C2">
        <w:rPr>
          <w:rFonts w:hint="eastAsia"/>
          <w:color w:val="000000" w:themeColor="text1"/>
          <w:sz w:val="20"/>
        </w:rPr>
        <w:t xml:space="preserve"> </w:t>
      </w:r>
      <w:r w:rsidR="00B37448" w:rsidRPr="004930C2">
        <w:rPr>
          <w:color w:val="000000" w:themeColor="text1"/>
          <w:sz w:val="20"/>
        </w:rPr>
        <w:t xml:space="preserve">However, further research is necessary to fully implement this technology in agricultural procedures. </w:t>
      </w:r>
      <w:r w:rsidR="0023531F" w:rsidRPr="004930C2">
        <w:rPr>
          <w:color w:val="000000" w:themeColor="text1"/>
          <w:sz w:val="20"/>
        </w:rPr>
        <w:t>Additional</w:t>
      </w:r>
      <w:r w:rsidR="00B37448" w:rsidRPr="004930C2">
        <w:rPr>
          <w:color w:val="000000" w:themeColor="text1"/>
          <w:sz w:val="20"/>
        </w:rPr>
        <w:t xml:space="preserve"> cultivation experiments with </w:t>
      </w:r>
      <w:r w:rsidR="00524AEC" w:rsidRPr="004930C2">
        <w:rPr>
          <w:color w:val="000000" w:themeColor="text1"/>
          <w:sz w:val="20"/>
        </w:rPr>
        <w:t>different conditions</w:t>
      </w:r>
      <w:r w:rsidR="0023531F" w:rsidRPr="004930C2">
        <w:rPr>
          <w:color w:val="000000" w:themeColor="text1"/>
          <w:sz w:val="20"/>
        </w:rPr>
        <w:t xml:space="preserve"> of</w:t>
      </w:r>
      <w:r w:rsidR="00E25C7C" w:rsidRPr="004930C2">
        <w:rPr>
          <w:color w:val="000000" w:themeColor="text1"/>
          <w:sz w:val="20"/>
        </w:rPr>
        <w:t xml:space="preserve"> </w:t>
      </w:r>
      <w:r w:rsidR="00B37448" w:rsidRPr="004930C2">
        <w:rPr>
          <w:color w:val="000000" w:themeColor="text1"/>
          <w:sz w:val="20"/>
        </w:rPr>
        <w:t>soil, compo</w:t>
      </w:r>
      <w:r w:rsidR="00E26182" w:rsidRPr="004930C2">
        <w:rPr>
          <w:color w:val="000000" w:themeColor="text1"/>
          <w:sz w:val="20"/>
        </w:rPr>
        <w:t>s</w:t>
      </w:r>
      <w:r w:rsidR="00E25C7C" w:rsidRPr="004930C2">
        <w:rPr>
          <w:color w:val="000000" w:themeColor="text1"/>
          <w:sz w:val="20"/>
        </w:rPr>
        <w:t>t</w:t>
      </w:r>
      <w:r w:rsidR="00B606F5" w:rsidRPr="004930C2">
        <w:rPr>
          <w:color w:val="000000" w:themeColor="text1"/>
          <w:sz w:val="20"/>
        </w:rPr>
        <w:t>,</w:t>
      </w:r>
      <w:r w:rsidR="00B37448" w:rsidRPr="004930C2">
        <w:rPr>
          <w:color w:val="000000" w:themeColor="text1"/>
          <w:sz w:val="20"/>
        </w:rPr>
        <w:t xml:space="preserve"> </w:t>
      </w:r>
      <w:r w:rsidR="00B606F5" w:rsidRPr="004930C2">
        <w:rPr>
          <w:color w:val="000000" w:themeColor="text1"/>
          <w:sz w:val="20"/>
        </w:rPr>
        <w:t>target</w:t>
      </w:r>
      <w:r w:rsidR="00E924CF" w:rsidRPr="004930C2">
        <w:rPr>
          <w:color w:val="000000" w:themeColor="text1"/>
          <w:sz w:val="20"/>
        </w:rPr>
        <w:t>ing</w:t>
      </w:r>
      <w:r w:rsidR="00B606F5" w:rsidRPr="004930C2">
        <w:rPr>
          <w:color w:val="000000" w:themeColor="text1"/>
          <w:sz w:val="20"/>
        </w:rPr>
        <w:t xml:space="preserve"> </w:t>
      </w:r>
      <w:r w:rsidR="00B37448" w:rsidRPr="004930C2">
        <w:rPr>
          <w:color w:val="000000" w:themeColor="text1"/>
          <w:sz w:val="20"/>
        </w:rPr>
        <w:t>nutrient</w:t>
      </w:r>
      <w:r w:rsidR="00524AEC" w:rsidRPr="004930C2">
        <w:rPr>
          <w:color w:val="000000" w:themeColor="text1"/>
          <w:sz w:val="20"/>
        </w:rPr>
        <w:t xml:space="preserve">, and </w:t>
      </w:r>
      <w:r w:rsidR="0023531F" w:rsidRPr="004930C2">
        <w:rPr>
          <w:color w:val="000000" w:themeColor="text1"/>
          <w:sz w:val="20"/>
        </w:rPr>
        <w:t xml:space="preserve">time </w:t>
      </w:r>
      <w:r w:rsidR="00524AEC" w:rsidRPr="004930C2">
        <w:rPr>
          <w:color w:val="000000" w:themeColor="text1"/>
          <w:sz w:val="20"/>
        </w:rPr>
        <w:t>period</w:t>
      </w:r>
      <w:r w:rsidR="0023531F" w:rsidRPr="004930C2">
        <w:rPr>
          <w:color w:val="000000" w:themeColor="text1"/>
          <w:sz w:val="20"/>
        </w:rPr>
        <w:t xml:space="preserve"> are needed</w:t>
      </w:r>
      <w:r w:rsidR="00B37448" w:rsidRPr="004930C2">
        <w:rPr>
          <w:color w:val="000000" w:themeColor="text1"/>
          <w:sz w:val="20"/>
        </w:rPr>
        <w:t>.</w:t>
      </w:r>
      <w:r w:rsidR="0040636A" w:rsidRPr="004930C2">
        <w:rPr>
          <w:color w:val="000000" w:themeColor="text1"/>
          <w:sz w:val="20"/>
        </w:rPr>
        <w:t xml:space="preserve"> </w:t>
      </w:r>
      <w:bookmarkStart w:id="9" w:name="_Hlk47455063"/>
      <w:r w:rsidR="002B5F14" w:rsidRPr="004930C2">
        <w:rPr>
          <w:color w:val="000000" w:themeColor="text1"/>
          <w:sz w:val="20"/>
        </w:rPr>
        <w:t>For example,</w:t>
      </w:r>
      <w:r w:rsidR="00524AEC" w:rsidRPr="004930C2">
        <w:rPr>
          <w:color w:val="000000" w:themeColor="text1"/>
          <w:sz w:val="20"/>
        </w:rPr>
        <w:t xml:space="preserve"> phosphorus availability </w:t>
      </w:r>
      <w:r w:rsidR="0023531F" w:rsidRPr="004930C2">
        <w:rPr>
          <w:color w:val="000000" w:themeColor="text1"/>
          <w:sz w:val="20"/>
        </w:rPr>
        <w:t>in</w:t>
      </w:r>
      <w:r w:rsidR="00524AEC" w:rsidRPr="004930C2">
        <w:rPr>
          <w:color w:val="000000" w:themeColor="text1"/>
          <w:sz w:val="20"/>
        </w:rPr>
        <w:t xml:space="preserve"> organic amendments and biochar application</w:t>
      </w:r>
      <w:r w:rsidR="0023531F" w:rsidRPr="004930C2">
        <w:rPr>
          <w:color w:val="000000" w:themeColor="text1"/>
          <w:sz w:val="20"/>
        </w:rPr>
        <w:t xml:space="preserve"> varied</w:t>
      </w:r>
      <w:r w:rsidR="00524AEC" w:rsidRPr="004930C2">
        <w:rPr>
          <w:color w:val="000000" w:themeColor="text1"/>
          <w:sz w:val="20"/>
        </w:rPr>
        <w:t xml:space="preserve"> with soil and manure types, and the biochar’s ability to phosphorus sorption was highly influenced by soil acidity (Ara et al. 2018; Xu et al.</w:t>
      </w:r>
      <w:r w:rsidR="005B6A80" w:rsidRPr="004930C2">
        <w:rPr>
          <w:color w:val="000000" w:themeColor="text1"/>
          <w:sz w:val="20"/>
        </w:rPr>
        <w:t xml:space="preserve"> </w:t>
      </w:r>
      <w:r w:rsidR="00524AEC" w:rsidRPr="004930C2">
        <w:rPr>
          <w:color w:val="000000" w:themeColor="text1"/>
          <w:sz w:val="20"/>
        </w:rPr>
        <w:t>2014).</w:t>
      </w:r>
      <w:bookmarkEnd w:id="9"/>
      <w:r w:rsidR="0040636A" w:rsidRPr="004930C2" w:rsidDel="0081042F">
        <w:rPr>
          <w:i/>
          <w:color w:val="000000" w:themeColor="text1"/>
          <w:sz w:val="20"/>
        </w:rPr>
        <w:t xml:space="preserve"> </w:t>
      </w:r>
      <w:bookmarkStart w:id="10" w:name="_Hlk47455079"/>
      <w:r w:rsidR="00B37448" w:rsidRPr="004930C2">
        <w:rPr>
          <w:color w:val="000000" w:themeColor="text1"/>
          <w:sz w:val="20"/>
        </w:rPr>
        <w:t xml:space="preserve">Further, </w:t>
      </w:r>
      <w:r w:rsidR="0040636A" w:rsidRPr="004930C2">
        <w:rPr>
          <w:color w:val="000000" w:themeColor="text1"/>
          <w:sz w:val="20"/>
        </w:rPr>
        <w:t xml:space="preserve">some recent studies have reported that the </w:t>
      </w:r>
      <w:r w:rsidR="009A77F1" w:rsidRPr="004930C2">
        <w:rPr>
          <w:color w:val="000000" w:themeColor="text1"/>
          <w:sz w:val="20"/>
        </w:rPr>
        <w:t>impact</w:t>
      </w:r>
      <w:r w:rsidR="0040636A" w:rsidRPr="004930C2">
        <w:rPr>
          <w:color w:val="000000" w:themeColor="text1"/>
          <w:sz w:val="20"/>
        </w:rPr>
        <w:t xml:space="preserve"> of biochar application on soil properties and plant growth in long-term cultivation sometimes </w:t>
      </w:r>
      <w:r w:rsidR="009A77F1" w:rsidRPr="004930C2">
        <w:rPr>
          <w:color w:val="000000" w:themeColor="text1"/>
          <w:sz w:val="20"/>
        </w:rPr>
        <w:t xml:space="preserve">differ from </w:t>
      </w:r>
      <w:r w:rsidR="009A77F1" w:rsidRPr="004930C2">
        <w:rPr>
          <w:color w:val="000000" w:themeColor="text1"/>
          <w:sz w:val="20"/>
        </w:rPr>
        <w:lastRenderedPageBreak/>
        <w:t>the impact observed after</w:t>
      </w:r>
      <w:r w:rsidR="0040636A" w:rsidRPr="004930C2">
        <w:rPr>
          <w:color w:val="000000" w:themeColor="text1"/>
          <w:sz w:val="20"/>
        </w:rPr>
        <w:t xml:space="preserve"> short-term </w:t>
      </w:r>
      <w:r w:rsidR="009A77F1" w:rsidRPr="004930C2">
        <w:rPr>
          <w:color w:val="000000" w:themeColor="text1"/>
          <w:sz w:val="20"/>
        </w:rPr>
        <w:t>use</w:t>
      </w:r>
      <w:r w:rsidR="0040636A" w:rsidRPr="004930C2">
        <w:rPr>
          <w:color w:val="000000" w:themeColor="text1"/>
          <w:sz w:val="20"/>
        </w:rPr>
        <w:t xml:space="preserve"> (</w:t>
      </w:r>
      <w:r w:rsidR="007C3133">
        <w:rPr>
          <w:color w:val="000000" w:themeColor="text1"/>
          <w:sz w:val="20"/>
        </w:rPr>
        <w:t>Huang et al. 2018</w:t>
      </w:r>
      <w:r w:rsidR="006B1D53">
        <w:rPr>
          <w:rFonts w:hint="eastAsia"/>
          <w:color w:val="000000" w:themeColor="text1"/>
          <w:sz w:val="20"/>
        </w:rPr>
        <w:t>;</w:t>
      </w:r>
      <w:r w:rsidR="006B1D53">
        <w:rPr>
          <w:color w:val="000000" w:themeColor="text1"/>
          <w:sz w:val="20"/>
        </w:rPr>
        <w:t xml:space="preserve"> </w:t>
      </w:r>
      <w:r w:rsidR="006B1D53" w:rsidRPr="006A4A65">
        <w:rPr>
          <w:color w:val="000000" w:themeColor="text1"/>
          <w:sz w:val="20"/>
        </w:rPr>
        <w:t>Oladele 2019</w:t>
      </w:r>
      <w:r w:rsidR="0040636A" w:rsidRPr="004930C2">
        <w:rPr>
          <w:color w:val="000000" w:themeColor="text1"/>
          <w:sz w:val="20"/>
        </w:rPr>
        <w:t>).</w:t>
      </w:r>
      <w:bookmarkEnd w:id="10"/>
      <w:r w:rsidR="0040636A" w:rsidRPr="004930C2">
        <w:rPr>
          <w:color w:val="000000" w:themeColor="text1"/>
          <w:sz w:val="20"/>
        </w:rPr>
        <w:t xml:space="preserve"> </w:t>
      </w:r>
      <w:r w:rsidR="00B37448" w:rsidRPr="004930C2">
        <w:rPr>
          <w:color w:val="000000" w:themeColor="text1"/>
          <w:sz w:val="20"/>
        </w:rPr>
        <w:t>T</w:t>
      </w:r>
      <w:r w:rsidR="00DA771D" w:rsidRPr="004930C2">
        <w:rPr>
          <w:color w:val="000000" w:themeColor="text1"/>
          <w:sz w:val="20"/>
        </w:rPr>
        <w:t xml:space="preserve">hese studies </w:t>
      </w:r>
      <w:r w:rsidR="00B37448" w:rsidRPr="004930C2">
        <w:rPr>
          <w:color w:val="000000" w:themeColor="text1"/>
          <w:sz w:val="20"/>
        </w:rPr>
        <w:t xml:space="preserve">suggest </w:t>
      </w:r>
      <w:r w:rsidR="001E05C5" w:rsidRPr="004930C2">
        <w:rPr>
          <w:color w:val="000000" w:themeColor="text1"/>
          <w:sz w:val="20"/>
        </w:rPr>
        <w:t>that</w:t>
      </w:r>
      <w:r w:rsidR="003E7ADB" w:rsidRPr="004930C2">
        <w:rPr>
          <w:rFonts w:hint="eastAsia"/>
          <w:color w:val="000000" w:themeColor="text1"/>
          <w:sz w:val="20"/>
        </w:rPr>
        <w:t xml:space="preserve"> </w:t>
      </w:r>
      <w:r w:rsidR="003E7ADB" w:rsidRPr="004930C2">
        <w:rPr>
          <w:color w:val="000000" w:themeColor="text1"/>
          <w:sz w:val="20"/>
        </w:rPr>
        <w:t xml:space="preserve">the proposed </w:t>
      </w:r>
      <w:proofErr w:type="spellStart"/>
      <w:r w:rsidR="002765BC" w:rsidRPr="004930C2">
        <w:rPr>
          <w:color w:val="000000" w:themeColor="text1"/>
          <w:sz w:val="20"/>
        </w:rPr>
        <w:t>coapplication</w:t>
      </w:r>
      <w:proofErr w:type="spellEnd"/>
      <w:r w:rsidR="002765BC" w:rsidRPr="004930C2">
        <w:rPr>
          <w:color w:val="000000" w:themeColor="text1"/>
          <w:sz w:val="20"/>
        </w:rPr>
        <w:t xml:space="preserve"> </w:t>
      </w:r>
      <w:r w:rsidR="003E7ADB" w:rsidRPr="004930C2">
        <w:rPr>
          <w:color w:val="000000" w:themeColor="text1"/>
          <w:sz w:val="20"/>
        </w:rPr>
        <w:t xml:space="preserve">method may also </w:t>
      </w:r>
      <w:r w:rsidR="009A77F1" w:rsidRPr="004930C2">
        <w:rPr>
          <w:color w:val="000000" w:themeColor="text1"/>
          <w:sz w:val="20"/>
        </w:rPr>
        <w:t xml:space="preserve">be </w:t>
      </w:r>
      <w:r w:rsidR="006D0EC6" w:rsidRPr="004930C2">
        <w:rPr>
          <w:color w:val="000000" w:themeColor="text1"/>
          <w:sz w:val="20"/>
        </w:rPr>
        <w:t>affected by</w:t>
      </w:r>
      <w:r w:rsidR="003E7ADB" w:rsidRPr="004930C2">
        <w:rPr>
          <w:color w:val="000000" w:themeColor="text1"/>
          <w:sz w:val="20"/>
        </w:rPr>
        <w:t xml:space="preserve"> </w:t>
      </w:r>
      <w:r w:rsidR="009A77F1" w:rsidRPr="004930C2">
        <w:rPr>
          <w:color w:val="000000" w:themeColor="text1"/>
          <w:sz w:val="20"/>
        </w:rPr>
        <w:t>such conditions, and further examinations</w:t>
      </w:r>
      <w:r w:rsidR="008E5628" w:rsidRPr="004930C2">
        <w:rPr>
          <w:color w:val="000000" w:themeColor="text1"/>
          <w:sz w:val="20"/>
        </w:rPr>
        <w:t xml:space="preserve"> </w:t>
      </w:r>
      <w:r w:rsidR="00B37448" w:rsidRPr="004930C2">
        <w:rPr>
          <w:color w:val="000000" w:themeColor="text1"/>
          <w:sz w:val="20"/>
        </w:rPr>
        <w:t xml:space="preserve">would be </w:t>
      </w:r>
      <w:r w:rsidR="0008123D" w:rsidRPr="004930C2">
        <w:rPr>
          <w:color w:val="000000" w:themeColor="text1"/>
          <w:sz w:val="20"/>
        </w:rPr>
        <w:t>necessary</w:t>
      </w:r>
      <w:r w:rsidR="002765BC" w:rsidRPr="004930C2">
        <w:rPr>
          <w:color w:val="000000" w:themeColor="text1"/>
          <w:sz w:val="20"/>
        </w:rPr>
        <w:t xml:space="preserve"> </w:t>
      </w:r>
      <w:r w:rsidR="00B37448" w:rsidRPr="004930C2">
        <w:rPr>
          <w:color w:val="000000" w:themeColor="text1"/>
          <w:sz w:val="20"/>
        </w:rPr>
        <w:t>before applying th</w:t>
      </w:r>
      <w:r w:rsidR="009A77F1" w:rsidRPr="004930C2">
        <w:rPr>
          <w:color w:val="000000" w:themeColor="text1"/>
          <w:sz w:val="20"/>
        </w:rPr>
        <w:t>e</w:t>
      </w:r>
      <w:r w:rsidR="00B37448" w:rsidRPr="004930C2">
        <w:rPr>
          <w:color w:val="000000" w:themeColor="text1"/>
          <w:sz w:val="20"/>
        </w:rPr>
        <w:t xml:space="preserve"> </w:t>
      </w:r>
      <w:proofErr w:type="spellStart"/>
      <w:r w:rsidR="00E140E0" w:rsidRPr="004930C2">
        <w:rPr>
          <w:color w:val="000000" w:themeColor="text1"/>
          <w:sz w:val="20"/>
        </w:rPr>
        <w:t>coapplication</w:t>
      </w:r>
      <w:proofErr w:type="spellEnd"/>
      <w:r w:rsidR="00E140E0" w:rsidRPr="004930C2">
        <w:rPr>
          <w:color w:val="000000" w:themeColor="text1"/>
          <w:sz w:val="20"/>
        </w:rPr>
        <w:t xml:space="preserve"> </w:t>
      </w:r>
      <w:r w:rsidR="00B37448" w:rsidRPr="004930C2">
        <w:rPr>
          <w:color w:val="000000" w:themeColor="text1"/>
          <w:sz w:val="20"/>
        </w:rPr>
        <w:t>technology on site.</w:t>
      </w:r>
      <w:bookmarkEnd w:id="8"/>
    </w:p>
    <w:p w14:paraId="5C7DE336" w14:textId="77777777" w:rsidR="008817A2" w:rsidRPr="004930C2" w:rsidRDefault="008817A2" w:rsidP="00330D39">
      <w:pPr>
        <w:spacing w:line="480" w:lineRule="auto"/>
        <w:rPr>
          <w:color w:val="000000" w:themeColor="text1"/>
          <w:sz w:val="20"/>
        </w:rPr>
      </w:pPr>
    </w:p>
    <w:p w14:paraId="3F5736D1" w14:textId="027F28F6" w:rsidR="00E40D4F" w:rsidRPr="004930C2" w:rsidRDefault="00B86418" w:rsidP="00330D39">
      <w:pPr>
        <w:spacing w:line="480" w:lineRule="auto"/>
        <w:rPr>
          <w:b/>
          <w:color w:val="000000" w:themeColor="text1"/>
          <w:sz w:val="20"/>
        </w:rPr>
      </w:pPr>
      <w:r w:rsidRPr="004930C2">
        <w:rPr>
          <w:b/>
          <w:color w:val="000000" w:themeColor="text1"/>
          <w:sz w:val="20"/>
        </w:rPr>
        <w:t>5</w:t>
      </w:r>
      <w:r w:rsidR="00E40D4F" w:rsidRPr="004930C2">
        <w:rPr>
          <w:b/>
          <w:color w:val="000000" w:themeColor="text1"/>
          <w:sz w:val="20"/>
        </w:rPr>
        <w:t>. Conclusion</w:t>
      </w:r>
      <w:r w:rsidR="00CE63C6" w:rsidRPr="004930C2">
        <w:rPr>
          <w:rFonts w:hint="eastAsia"/>
          <w:b/>
          <w:color w:val="000000" w:themeColor="text1"/>
          <w:sz w:val="20"/>
        </w:rPr>
        <w:t>s</w:t>
      </w:r>
    </w:p>
    <w:p w14:paraId="5D6681A6" w14:textId="688708BE" w:rsidR="002E2C5E" w:rsidRPr="004930C2" w:rsidRDefault="002B5C32" w:rsidP="00330D39">
      <w:pPr>
        <w:spacing w:line="480" w:lineRule="auto"/>
        <w:rPr>
          <w:b/>
          <w:color w:val="000000" w:themeColor="text1"/>
          <w:sz w:val="20"/>
        </w:rPr>
      </w:pPr>
      <w:r w:rsidRPr="004930C2">
        <w:rPr>
          <w:color w:val="000000" w:themeColor="text1"/>
          <w:sz w:val="20"/>
        </w:rPr>
        <w:t xml:space="preserve">This study showed that biochar-compost application tends to promote plant growth </w:t>
      </w:r>
      <w:r w:rsidR="009035D9" w:rsidRPr="004930C2">
        <w:rPr>
          <w:color w:val="000000" w:themeColor="text1"/>
          <w:sz w:val="20"/>
        </w:rPr>
        <w:t xml:space="preserve">when </w:t>
      </w:r>
      <w:r w:rsidRPr="004930C2">
        <w:rPr>
          <w:color w:val="000000" w:themeColor="text1"/>
          <w:sz w:val="20"/>
        </w:rPr>
        <w:t xml:space="preserve">compared with compost application alone, and </w:t>
      </w:r>
      <w:r w:rsidR="009035D9" w:rsidRPr="004930C2">
        <w:rPr>
          <w:color w:val="000000" w:themeColor="text1"/>
          <w:sz w:val="20"/>
        </w:rPr>
        <w:t xml:space="preserve">that </w:t>
      </w:r>
      <w:r w:rsidRPr="004930C2">
        <w:rPr>
          <w:color w:val="000000" w:themeColor="text1"/>
          <w:sz w:val="20"/>
        </w:rPr>
        <w:t>manure-biochar at 450°C and 600°C increase</w:t>
      </w:r>
      <w:r w:rsidR="005F74F6" w:rsidRPr="004930C2">
        <w:rPr>
          <w:color w:val="000000" w:themeColor="text1"/>
          <w:sz w:val="20"/>
        </w:rPr>
        <w:t>s</w:t>
      </w:r>
      <w:r w:rsidRPr="004930C2">
        <w:rPr>
          <w:color w:val="000000" w:themeColor="text1"/>
          <w:sz w:val="20"/>
        </w:rPr>
        <w:t xml:space="preserve"> plant growth significantly. The positive impact </w:t>
      </w:r>
      <w:r w:rsidR="00B0271C" w:rsidRPr="004930C2">
        <w:rPr>
          <w:color w:val="000000" w:themeColor="text1"/>
          <w:sz w:val="20"/>
        </w:rPr>
        <w:t>would be</w:t>
      </w:r>
      <w:r w:rsidRPr="004930C2">
        <w:rPr>
          <w:color w:val="000000" w:themeColor="text1"/>
          <w:sz w:val="20"/>
        </w:rPr>
        <w:t xml:space="preserve"> due to </w:t>
      </w:r>
      <w:r w:rsidR="009035D9" w:rsidRPr="004930C2">
        <w:rPr>
          <w:color w:val="000000" w:themeColor="text1"/>
          <w:sz w:val="20"/>
        </w:rPr>
        <w:t>increased</w:t>
      </w:r>
      <w:r w:rsidRPr="004930C2">
        <w:rPr>
          <w:color w:val="000000" w:themeColor="text1"/>
          <w:sz w:val="20"/>
        </w:rPr>
        <w:t xml:space="preserve"> mineralization of compost and nitrogen fixation through rhizobacteria</w:t>
      </w:r>
      <w:r w:rsidR="00434D99" w:rsidRPr="004930C2">
        <w:rPr>
          <w:color w:val="000000" w:themeColor="text1"/>
          <w:sz w:val="20"/>
        </w:rPr>
        <w:t xml:space="preserve"> and/or diazotrophic endophytes</w:t>
      </w:r>
      <w:r w:rsidRPr="004930C2">
        <w:rPr>
          <w:color w:val="000000" w:themeColor="text1"/>
          <w:sz w:val="20"/>
        </w:rPr>
        <w:t>. We also found that the extent of plant growth is affected by diversity of biochar, such as feedstock type and carbonization temperature, and feedstock type is a more dominant factor than carbonization temperature. Manure</w:t>
      </w:r>
      <w:r w:rsidR="00C76627">
        <w:rPr>
          <w:color w:val="000000" w:themeColor="text1"/>
          <w:sz w:val="20"/>
        </w:rPr>
        <w:t xml:space="preserve"> </w:t>
      </w:r>
      <w:r w:rsidRPr="004930C2">
        <w:rPr>
          <w:color w:val="000000" w:themeColor="text1"/>
          <w:sz w:val="20"/>
        </w:rPr>
        <w:t xml:space="preserve">biochar is a more suitable </w:t>
      </w:r>
      <w:r w:rsidR="001C2CF0" w:rsidRPr="004930C2">
        <w:rPr>
          <w:color w:val="000000" w:themeColor="text1"/>
          <w:sz w:val="20"/>
        </w:rPr>
        <w:t>biochar</w:t>
      </w:r>
      <w:r w:rsidRPr="004930C2">
        <w:rPr>
          <w:color w:val="000000" w:themeColor="text1"/>
          <w:sz w:val="20"/>
        </w:rPr>
        <w:t xml:space="preserve"> because it has favorable chemical properties that enhance microbial activity more than wood</w:t>
      </w:r>
      <w:r w:rsidR="00C76627">
        <w:rPr>
          <w:color w:val="000000" w:themeColor="text1"/>
          <w:sz w:val="20"/>
        </w:rPr>
        <w:t xml:space="preserve"> </w:t>
      </w:r>
      <w:r w:rsidRPr="004930C2">
        <w:rPr>
          <w:color w:val="000000" w:themeColor="text1"/>
          <w:sz w:val="20"/>
        </w:rPr>
        <w:t xml:space="preserve">biochar and could serve as a nitrogen source. </w:t>
      </w:r>
      <w:r w:rsidR="002D41BE" w:rsidRPr="004930C2">
        <w:rPr>
          <w:color w:val="000000" w:themeColor="text1"/>
          <w:sz w:val="20"/>
        </w:rPr>
        <w:t xml:space="preserve">The study demonstrated that the difference consensus on the effectiveness of biochar-compost application on plant growth is due to a diversity of biochar, and the selection of appropriate biochar is </w:t>
      </w:r>
      <w:r w:rsidR="00CB5875" w:rsidRPr="004930C2">
        <w:rPr>
          <w:color w:val="000000" w:themeColor="text1"/>
          <w:sz w:val="20"/>
        </w:rPr>
        <w:t>critical</w:t>
      </w:r>
      <w:r w:rsidR="002D41BE" w:rsidRPr="004930C2">
        <w:rPr>
          <w:color w:val="000000" w:themeColor="text1"/>
          <w:sz w:val="20"/>
        </w:rPr>
        <w:t xml:space="preserve"> t</w:t>
      </w:r>
      <w:r w:rsidRPr="004930C2">
        <w:rPr>
          <w:color w:val="000000" w:themeColor="text1"/>
          <w:sz w:val="20"/>
        </w:rPr>
        <w:t xml:space="preserve">o </w:t>
      </w:r>
      <w:r w:rsidR="002D41BE" w:rsidRPr="004930C2">
        <w:rPr>
          <w:color w:val="000000" w:themeColor="text1"/>
          <w:sz w:val="20"/>
        </w:rPr>
        <w:t xml:space="preserve">establish the </w:t>
      </w:r>
      <w:r w:rsidR="00CB5875" w:rsidRPr="004930C2">
        <w:rPr>
          <w:color w:val="000000" w:themeColor="text1"/>
          <w:sz w:val="20"/>
        </w:rPr>
        <w:t>proposed technology.</w:t>
      </w:r>
      <w:r w:rsidRPr="004930C2">
        <w:rPr>
          <w:color w:val="000000" w:themeColor="text1"/>
          <w:sz w:val="20"/>
        </w:rPr>
        <w:t xml:space="preserve"> </w:t>
      </w:r>
      <w:r w:rsidR="009C0051" w:rsidRPr="004930C2">
        <w:rPr>
          <w:b/>
          <w:color w:val="000000" w:themeColor="text1"/>
          <w:sz w:val="20"/>
        </w:rPr>
        <w:br w:type="page"/>
      </w:r>
    </w:p>
    <w:p w14:paraId="36008EAB" w14:textId="77777777" w:rsidR="00A63D73" w:rsidRPr="004930C2" w:rsidRDefault="00A63D73" w:rsidP="00330D39">
      <w:pPr>
        <w:spacing w:line="480" w:lineRule="auto"/>
        <w:rPr>
          <w:b/>
          <w:color w:val="000000" w:themeColor="text1"/>
          <w:sz w:val="20"/>
        </w:rPr>
      </w:pPr>
      <w:r w:rsidRPr="004930C2">
        <w:rPr>
          <w:b/>
          <w:color w:val="000000" w:themeColor="text1"/>
          <w:sz w:val="20"/>
        </w:rPr>
        <w:lastRenderedPageBreak/>
        <w:t>References</w:t>
      </w:r>
    </w:p>
    <w:p w14:paraId="36057E7E" w14:textId="283BE41C" w:rsidR="00A114F9" w:rsidRPr="004930C2" w:rsidRDefault="00A114F9" w:rsidP="00330D39">
      <w:pPr>
        <w:autoSpaceDE w:val="0"/>
        <w:autoSpaceDN w:val="0"/>
        <w:adjustRightInd w:val="0"/>
        <w:spacing w:line="480" w:lineRule="auto"/>
        <w:ind w:left="480" w:hanging="480"/>
        <w:rPr>
          <w:color w:val="000000" w:themeColor="text1"/>
          <w:sz w:val="20"/>
        </w:rPr>
      </w:pPr>
      <w:proofErr w:type="spellStart"/>
      <w:r w:rsidRPr="004930C2">
        <w:rPr>
          <w:color w:val="000000" w:themeColor="text1"/>
          <w:sz w:val="20"/>
        </w:rPr>
        <w:t>Agegnehu</w:t>
      </w:r>
      <w:proofErr w:type="spellEnd"/>
      <w:r w:rsidRPr="004930C2">
        <w:rPr>
          <w:color w:val="000000" w:themeColor="text1"/>
          <w:sz w:val="20"/>
        </w:rPr>
        <w:t xml:space="preserve"> G, Bass AM, Nelson PN, Bird MI (2016) Benefits of biochar, compost and biochar–compost for soil quality, maize yield and greenhouse gas emissions in a tropical agricultural soil. Sci Total Environ 543</w:t>
      </w:r>
      <w:r w:rsidR="009E1DD6" w:rsidRPr="004930C2">
        <w:rPr>
          <w:color w:val="000000" w:themeColor="text1"/>
          <w:sz w:val="20"/>
        </w:rPr>
        <w:t>:</w:t>
      </w:r>
      <w:r w:rsidRPr="004930C2">
        <w:rPr>
          <w:color w:val="000000" w:themeColor="text1"/>
          <w:sz w:val="20"/>
        </w:rPr>
        <w:t>295-306. https://doi.org/10.1016/j.scitotenv.2015.11.054</w:t>
      </w:r>
    </w:p>
    <w:p w14:paraId="54A3FABD" w14:textId="691808C9" w:rsidR="0018263D" w:rsidRPr="004930C2" w:rsidRDefault="00BA7EBD"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Ahmad MT, Asghar HN, Saleem M, Khan MY, </w:t>
      </w:r>
      <w:proofErr w:type="spellStart"/>
      <w:r w:rsidRPr="004930C2">
        <w:rPr>
          <w:color w:val="000000" w:themeColor="text1"/>
          <w:sz w:val="20"/>
        </w:rPr>
        <w:t>Zahir</w:t>
      </w:r>
      <w:proofErr w:type="spellEnd"/>
      <w:r w:rsidRPr="004930C2">
        <w:rPr>
          <w:color w:val="000000" w:themeColor="text1"/>
          <w:sz w:val="20"/>
        </w:rPr>
        <w:t xml:space="preserve"> ZA (2015) Synergistic effect of rhizobia and biochar on growth and physiology of maize. </w:t>
      </w:r>
      <w:proofErr w:type="spellStart"/>
      <w:r w:rsidRPr="004930C2">
        <w:rPr>
          <w:color w:val="000000" w:themeColor="text1"/>
          <w:sz w:val="20"/>
        </w:rPr>
        <w:t>Agron</w:t>
      </w:r>
      <w:proofErr w:type="spellEnd"/>
      <w:r w:rsidRPr="004930C2">
        <w:rPr>
          <w:color w:val="000000" w:themeColor="text1"/>
          <w:sz w:val="20"/>
        </w:rPr>
        <w:t xml:space="preserve"> J 107:2327-2334. https://doi</w:t>
      </w:r>
      <w:r w:rsidR="008F1F2F">
        <w:rPr>
          <w:rFonts w:hint="eastAsia"/>
          <w:color w:val="000000" w:themeColor="text1"/>
          <w:sz w:val="20"/>
        </w:rPr>
        <w:t>.</w:t>
      </w:r>
      <w:r w:rsidR="008F1F2F">
        <w:rPr>
          <w:color w:val="000000" w:themeColor="text1"/>
          <w:sz w:val="20"/>
        </w:rPr>
        <w:t>org/</w:t>
      </w:r>
      <w:r w:rsidRPr="004930C2">
        <w:rPr>
          <w:color w:val="000000" w:themeColor="text1"/>
          <w:sz w:val="20"/>
        </w:rPr>
        <w:t>10.2134/agronj15.0212</w:t>
      </w:r>
    </w:p>
    <w:p w14:paraId="760B8F51" w14:textId="3E67C18E" w:rsidR="0018263D" w:rsidRPr="004930C2" w:rsidRDefault="0018263D" w:rsidP="004930C2">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t>Ameloot</w:t>
      </w:r>
      <w:proofErr w:type="spellEnd"/>
      <w:r w:rsidRPr="004930C2">
        <w:rPr>
          <w:color w:val="000000" w:themeColor="text1"/>
          <w:sz w:val="20"/>
        </w:rPr>
        <w:t xml:space="preserve"> N, Graber ER, Verheijen FGA, De Neve S (2013) Interactions between biochar stability and soil organisms: review and research needs. Eur J Soil Sci 64:379-390. https://doi.org/10.1111/ejss.12064</w:t>
      </w:r>
    </w:p>
    <w:p w14:paraId="038F78AF" w14:textId="58883197" w:rsidR="007C3133" w:rsidRDefault="007C3133"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Ara I, Islam M S, </w:t>
      </w:r>
      <w:proofErr w:type="spellStart"/>
      <w:r w:rsidRPr="004930C2">
        <w:rPr>
          <w:color w:val="000000" w:themeColor="text1"/>
          <w:sz w:val="20"/>
        </w:rPr>
        <w:t>Kashem</w:t>
      </w:r>
      <w:proofErr w:type="spellEnd"/>
      <w:r w:rsidRPr="004930C2">
        <w:rPr>
          <w:color w:val="000000" w:themeColor="text1"/>
          <w:sz w:val="20"/>
        </w:rPr>
        <w:t xml:space="preserve"> M A, Osman K T (2018) A comparative study of phosphorus availability in an acidic soil and an alkaline soil amended with organic and inorganic phosphorus sources. J Soil Sci Plant </w:t>
      </w:r>
      <w:proofErr w:type="spellStart"/>
      <w:r w:rsidRPr="004930C2">
        <w:rPr>
          <w:color w:val="000000" w:themeColor="text1"/>
          <w:sz w:val="20"/>
        </w:rPr>
        <w:t>Nutr</w:t>
      </w:r>
      <w:proofErr w:type="spellEnd"/>
      <w:r w:rsidRPr="004930C2">
        <w:rPr>
          <w:color w:val="000000" w:themeColor="text1"/>
          <w:sz w:val="20"/>
        </w:rPr>
        <w:t xml:space="preserve"> 18:466-478.</w:t>
      </w:r>
      <w:r w:rsidRPr="004930C2">
        <w:rPr>
          <w:sz w:val="20"/>
        </w:rPr>
        <w:t xml:space="preserve"> </w:t>
      </w:r>
      <w:r w:rsidRPr="004930C2">
        <w:rPr>
          <w:color w:val="000000" w:themeColor="text1"/>
          <w:sz w:val="20"/>
        </w:rPr>
        <w:t>http://doi.org/10.4067/S0718-95162018005001402</w:t>
      </w:r>
    </w:p>
    <w:p w14:paraId="3122779F" w14:textId="6027E2C3" w:rsidR="006A4A65" w:rsidRPr="004930C2" w:rsidRDefault="006A4A65" w:rsidP="007C3133">
      <w:pPr>
        <w:autoSpaceDE w:val="0"/>
        <w:autoSpaceDN w:val="0"/>
        <w:adjustRightInd w:val="0"/>
        <w:spacing w:line="480" w:lineRule="auto"/>
        <w:ind w:left="400" w:rightChars="50" w:right="120" w:hangingChars="200" w:hanging="400"/>
        <w:rPr>
          <w:color w:val="000000" w:themeColor="text1"/>
          <w:sz w:val="20"/>
        </w:rPr>
      </w:pPr>
      <w:r w:rsidRPr="006A4A65">
        <w:rPr>
          <w:color w:val="000000" w:themeColor="text1"/>
          <w:sz w:val="20"/>
        </w:rPr>
        <w:t xml:space="preserve">Batista EMCC, Shultz J, Matos TTS, </w:t>
      </w:r>
      <w:proofErr w:type="spellStart"/>
      <w:r w:rsidRPr="006A4A65">
        <w:rPr>
          <w:color w:val="000000" w:themeColor="text1"/>
          <w:sz w:val="20"/>
        </w:rPr>
        <w:t>Fornari</w:t>
      </w:r>
      <w:proofErr w:type="spellEnd"/>
      <w:r w:rsidRPr="006A4A65">
        <w:rPr>
          <w:color w:val="000000" w:themeColor="text1"/>
          <w:sz w:val="20"/>
        </w:rPr>
        <w:t xml:space="preserve"> MR, Ferreira TM, </w:t>
      </w:r>
      <w:proofErr w:type="spellStart"/>
      <w:r w:rsidRPr="006A4A65">
        <w:rPr>
          <w:color w:val="000000" w:themeColor="text1"/>
          <w:sz w:val="20"/>
        </w:rPr>
        <w:t>Szpoganicz</w:t>
      </w:r>
      <w:proofErr w:type="spellEnd"/>
      <w:r w:rsidRPr="006A4A65">
        <w:rPr>
          <w:color w:val="000000" w:themeColor="text1"/>
          <w:sz w:val="20"/>
        </w:rPr>
        <w:t xml:space="preserve"> B, de Freitas RA, </w:t>
      </w:r>
      <w:proofErr w:type="spellStart"/>
      <w:r w:rsidRPr="006A4A65">
        <w:rPr>
          <w:color w:val="000000" w:themeColor="text1"/>
          <w:sz w:val="20"/>
        </w:rPr>
        <w:t>Mangrich</w:t>
      </w:r>
      <w:proofErr w:type="spellEnd"/>
      <w:r w:rsidRPr="006A4A65">
        <w:rPr>
          <w:color w:val="000000" w:themeColor="text1"/>
          <w:sz w:val="20"/>
        </w:rPr>
        <w:t xml:space="preserve"> AS </w:t>
      </w:r>
      <w:r>
        <w:rPr>
          <w:color w:val="000000" w:themeColor="text1"/>
          <w:sz w:val="20"/>
        </w:rPr>
        <w:t>(</w:t>
      </w:r>
      <w:r w:rsidRPr="006A4A65">
        <w:rPr>
          <w:color w:val="000000" w:themeColor="text1"/>
          <w:sz w:val="20"/>
        </w:rPr>
        <w:t>2018</w:t>
      </w:r>
      <w:r>
        <w:rPr>
          <w:color w:val="000000" w:themeColor="text1"/>
          <w:sz w:val="20"/>
        </w:rPr>
        <w:t>)</w:t>
      </w:r>
      <w:r w:rsidRPr="006A4A65">
        <w:rPr>
          <w:color w:val="000000" w:themeColor="text1"/>
          <w:sz w:val="20"/>
        </w:rPr>
        <w:t xml:space="preserve"> Effect of surface and porosity of biochar on water holding capacity aiming indirectly at preservation of the Amazon biome. Sci Rep 8</w:t>
      </w:r>
      <w:r w:rsidR="00987805">
        <w:rPr>
          <w:color w:val="000000" w:themeColor="text1"/>
          <w:sz w:val="20"/>
        </w:rPr>
        <w:t>:</w:t>
      </w:r>
      <w:r w:rsidRPr="006A4A65">
        <w:rPr>
          <w:color w:val="000000" w:themeColor="text1"/>
          <w:sz w:val="20"/>
        </w:rPr>
        <w:t>10677. http</w:t>
      </w:r>
      <w:r w:rsidR="00987805">
        <w:rPr>
          <w:color w:val="000000" w:themeColor="text1"/>
          <w:sz w:val="20"/>
        </w:rPr>
        <w:t>s</w:t>
      </w:r>
      <w:r w:rsidRPr="006A4A65">
        <w:rPr>
          <w:color w:val="000000" w:themeColor="text1"/>
          <w:sz w:val="20"/>
        </w:rPr>
        <w:t>://</w:t>
      </w:r>
      <w:r w:rsidR="00987805">
        <w:rPr>
          <w:color w:val="000000" w:themeColor="text1"/>
          <w:sz w:val="20"/>
        </w:rPr>
        <w:t>doi.org/</w:t>
      </w:r>
      <w:r w:rsidRPr="006A4A65">
        <w:rPr>
          <w:color w:val="000000" w:themeColor="text1"/>
          <w:sz w:val="20"/>
        </w:rPr>
        <w:t>10.1038/s41598-018-28794-z</w:t>
      </w:r>
    </w:p>
    <w:p w14:paraId="2655CF1D" w14:textId="11A8FD8F"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Berry PM, Sylvester-Bradley R, Philipps L, Hatch DJ, Cuttle SP, </w:t>
      </w:r>
      <w:proofErr w:type="spellStart"/>
      <w:r w:rsidRPr="004930C2">
        <w:rPr>
          <w:color w:val="000000" w:themeColor="text1"/>
          <w:sz w:val="20"/>
        </w:rPr>
        <w:t>Rayns</w:t>
      </w:r>
      <w:proofErr w:type="spellEnd"/>
      <w:r w:rsidRPr="004930C2">
        <w:rPr>
          <w:color w:val="000000" w:themeColor="text1"/>
          <w:sz w:val="20"/>
        </w:rPr>
        <w:t xml:space="preserve"> FW, Gosling P (2002) Is the productivity of organic farms restricted by the supply of available nitrogen?</w:t>
      </w:r>
      <w:r w:rsidRPr="004930C2">
        <w:rPr>
          <w:sz w:val="20"/>
        </w:rPr>
        <w:t xml:space="preserve"> </w:t>
      </w:r>
      <w:r w:rsidRPr="004930C2">
        <w:rPr>
          <w:color w:val="000000" w:themeColor="text1"/>
          <w:sz w:val="20"/>
        </w:rPr>
        <w:t xml:space="preserve">Soil Use </w:t>
      </w:r>
      <w:proofErr w:type="spellStart"/>
      <w:r w:rsidRPr="004930C2">
        <w:rPr>
          <w:color w:val="000000" w:themeColor="text1"/>
          <w:sz w:val="20"/>
        </w:rPr>
        <w:t>Manag</w:t>
      </w:r>
      <w:proofErr w:type="spellEnd"/>
      <w:r w:rsidRPr="004930C2">
        <w:rPr>
          <w:color w:val="000000" w:themeColor="text1"/>
          <w:sz w:val="20"/>
        </w:rPr>
        <w:t xml:space="preserve"> 18:248-255. https://doi.org/10.1079/SUM2002129</w:t>
      </w:r>
    </w:p>
    <w:p w14:paraId="70E82872" w14:textId="2F6A86CB" w:rsidR="00D0146B" w:rsidRPr="004930C2" w:rsidRDefault="00D0146B"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Buss W, Graham MC, MacKinnon G, </w:t>
      </w:r>
      <w:proofErr w:type="spellStart"/>
      <w:r w:rsidRPr="004930C2">
        <w:rPr>
          <w:color w:val="000000" w:themeColor="text1"/>
          <w:sz w:val="20"/>
        </w:rPr>
        <w:t>Mašek</w:t>
      </w:r>
      <w:proofErr w:type="spellEnd"/>
      <w:r w:rsidRPr="004930C2">
        <w:rPr>
          <w:color w:val="000000" w:themeColor="text1"/>
          <w:sz w:val="20"/>
        </w:rPr>
        <w:t xml:space="preserve"> O (2016) Strategies for producing </w:t>
      </w:r>
      <w:proofErr w:type="spellStart"/>
      <w:r w:rsidRPr="004930C2">
        <w:rPr>
          <w:color w:val="000000" w:themeColor="text1"/>
          <w:sz w:val="20"/>
        </w:rPr>
        <w:t>biochars</w:t>
      </w:r>
      <w:proofErr w:type="spellEnd"/>
      <w:r w:rsidRPr="004930C2">
        <w:rPr>
          <w:color w:val="000000" w:themeColor="text1"/>
          <w:sz w:val="20"/>
        </w:rPr>
        <w:t xml:space="preserve"> with minimum PAH contamination. J Anal Appl Pyrolysis 119:24-30</w:t>
      </w:r>
      <w:r w:rsidR="003624A8" w:rsidRPr="004930C2">
        <w:rPr>
          <w:color w:val="000000" w:themeColor="text1"/>
          <w:sz w:val="20"/>
        </w:rPr>
        <w:t xml:space="preserve">. </w:t>
      </w:r>
      <w:r w:rsidRPr="004930C2">
        <w:rPr>
          <w:color w:val="000000" w:themeColor="text1"/>
          <w:sz w:val="20"/>
        </w:rPr>
        <w:t>https://doi.org/10.1016/j.jaap.2016.04.001</w:t>
      </w:r>
    </w:p>
    <w:p w14:paraId="44F75291" w14:textId="37B75D87"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lastRenderedPageBreak/>
        <w:t xml:space="preserve">Cao X, Harris W (2010) Properties of dairy-manure-derived biochar pertinent to its potential use in remediation. </w:t>
      </w:r>
      <w:proofErr w:type="spellStart"/>
      <w:r w:rsidRPr="004930C2">
        <w:rPr>
          <w:color w:val="000000" w:themeColor="text1"/>
          <w:sz w:val="20"/>
        </w:rPr>
        <w:t>Bioresour</w:t>
      </w:r>
      <w:proofErr w:type="spellEnd"/>
      <w:r w:rsidRPr="004930C2">
        <w:rPr>
          <w:color w:val="000000" w:themeColor="text1"/>
          <w:sz w:val="20"/>
        </w:rPr>
        <w:t xml:space="preserve"> Technol 101:5222-5228. https://doi.org/10.1016/j.biortech.2010.02.052</w:t>
      </w:r>
    </w:p>
    <w:p w14:paraId="5F276602" w14:textId="0E7FD518"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t>Cernansky</w:t>
      </w:r>
      <w:proofErr w:type="spellEnd"/>
      <w:r w:rsidRPr="004930C2">
        <w:rPr>
          <w:color w:val="000000" w:themeColor="text1"/>
          <w:sz w:val="20"/>
        </w:rPr>
        <w:t xml:space="preserve"> R (2015) Agriculture: State-of-the-art soil. Nature 517:258-260. https://doi.org/10.1038/517258a</w:t>
      </w:r>
    </w:p>
    <w:p w14:paraId="058132B2" w14:textId="6DDD5B47"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Chan KY, Van </w:t>
      </w:r>
      <w:proofErr w:type="spellStart"/>
      <w:r w:rsidRPr="004930C2">
        <w:rPr>
          <w:color w:val="000000" w:themeColor="text1"/>
          <w:sz w:val="20"/>
        </w:rPr>
        <w:t>Zwieten</w:t>
      </w:r>
      <w:proofErr w:type="spellEnd"/>
      <w:r w:rsidRPr="004930C2">
        <w:rPr>
          <w:color w:val="000000" w:themeColor="text1"/>
          <w:sz w:val="20"/>
        </w:rPr>
        <w:t xml:space="preserve">, L, </w:t>
      </w:r>
      <w:proofErr w:type="spellStart"/>
      <w:r w:rsidRPr="004930C2">
        <w:rPr>
          <w:color w:val="000000" w:themeColor="text1"/>
          <w:sz w:val="20"/>
        </w:rPr>
        <w:t>Meszaros</w:t>
      </w:r>
      <w:proofErr w:type="spellEnd"/>
      <w:r w:rsidRPr="004930C2">
        <w:rPr>
          <w:color w:val="000000" w:themeColor="text1"/>
          <w:sz w:val="20"/>
        </w:rPr>
        <w:t xml:space="preserve">, I, </w:t>
      </w:r>
      <w:proofErr w:type="spellStart"/>
      <w:r w:rsidRPr="004930C2">
        <w:rPr>
          <w:color w:val="000000" w:themeColor="text1"/>
          <w:sz w:val="20"/>
        </w:rPr>
        <w:t>Downie</w:t>
      </w:r>
      <w:proofErr w:type="spellEnd"/>
      <w:r w:rsidRPr="004930C2">
        <w:rPr>
          <w:color w:val="000000" w:themeColor="text1"/>
          <w:sz w:val="20"/>
        </w:rPr>
        <w:t xml:space="preserve"> A, Joseph S (2007) Agronomic values of </w:t>
      </w:r>
      <w:proofErr w:type="spellStart"/>
      <w:r w:rsidRPr="004930C2">
        <w:rPr>
          <w:color w:val="000000" w:themeColor="text1"/>
          <w:sz w:val="20"/>
        </w:rPr>
        <w:t>greenwaste</w:t>
      </w:r>
      <w:proofErr w:type="spellEnd"/>
      <w:r w:rsidRPr="004930C2">
        <w:rPr>
          <w:color w:val="000000" w:themeColor="text1"/>
          <w:sz w:val="20"/>
        </w:rPr>
        <w:t xml:space="preserve"> biochar as a soil amendment. Soil Res 45:629</w:t>
      </w:r>
      <w:r w:rsidR="009E1DD6" w:rsidRPr="004930C2">
        <w:rPr>
          <w:color w:val="000000" w:themeColor="text1"/>
          <w:sz w:val="20"/>
        </w:rPr>
        <w:t>-634</w:t>
      </w:r>
      <w:r w:rsidRPr="004930C2">
        <w:rPr>
          <w:color w:val="000000" w:themeColor="text1"/>
          <w:sz w:val="20"/>
        </w:rPr>
        <w:t>. https://doi.org/10.1071/SR07109</w:t>
      </w:r>
    </w:p>
    <w:p w14:paraId="48829395" w14:textId="4244DD1C"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Chan KY, Van </w:t>
      </w:r>
      <w:proofErr w:type="spellStart"/>
      <w:r w:rsidRPr="004930C2">
        <w:rPr>
          <w:color w:val="000000" w:themeColor="text1"/>
          <w:sz w:val="20"/>
        </w:rPr>
        <w:t>Zwieten</w:t>
      </w:r>
      <w:proofErr w:type="spellEnd"/>
      <w:r w:rsidRPr="004930C2">
        <w:rPr>
          <w:color w:val="000000" w:themeColor="text1"/>
          <w:sz w:val="20"/>
        </w:rPr>
        <w:t xml:space="preserve"> L, </w:t>
      </w:r>
      <w:proofErr w:type="spellStart"/>
      <w:r w:rsidRPr="004930C2">
        <w:rPr>
          <w:color w:val="000000" w:themeColor="text1"/>
          <w:sz w:val="20"/>
        </w:rPr>
        <w:t>Meszaros</w:t>
      </w:r>
      <w:proofErr w:type="spellEnd"/>
      <w:r w:rsidRPr="004930C2">
        <w:rPr>
          <w:color w:val="000000" w:themeColor="text1"/>
          <w:sz w:val="20"/>
        </w:rPr>
        <w:t xml:space="preserve"> I, </w:t>
      </w:r>
      <w:proofErr w:type="spellStart"/>
      <w:r w:rsidRPr="004930C2">
        <w:rPr>
          <w:color w:val="000000" w:themeColor="text1"/>
          <w:sz w:val="20"/>
        </w:rPr>
        <w:t>Downie</w:t>
      </w:r>
      <w:proofErr w:type="spellEnd"/>
      <w:r w:rsidRPr="004930C2">
        <w:rPr>
          <w:color w:val="000000" w:themeColor="text1"/>
          <w:sz w:val="20"/>
        </w:rPr>
        <w:t xml:space="preserve"> A, Joseph S (2008) Using poultry litter </w:t>
      </w:r>
      <w:proofErr w:type="spellStart"/>
      <w:r w:rsidRPr="004930C2">
        <w:rPr>
          <w:color w:val="000000" w:themeColor="text1"/>
          <w:sz w:val="20"/>
        </w:rPr>
        <w:t>biochars</w:t>
      </w:r>
      <w:proofErr w:type="spellEnd"/>
      <w:r w:rsidRPr="004930C2">
        <w:rPr>
          <w:color w:val="000000" w:themeColor="text1"/>
          <w:sz w:val="20"/>
        </w:rPr>
        <w:t xml:space="preserve"> as soil amendments. Soil Res 46:437</w:t>
      </w:r>
      <w:r w:rsidR="009E1DD6" w:rsidRPr="004930C2">
        <w:rPr>
          <w:color w:val="000000" w:themeColor="text1"/>
          <w:sz w:val="20"/>
        </w:rPr>
        <w:t>-444</w:t>
      </w:r>
      <w:r w:rsidRPr="004930C2">
        <w:rPr>
          <w:color w:val="000000" w:themeColor="text1"/>
          <w:sz w:val="20"/>
        </w:rPr>
        <w:t>. https://doi.org/10.1071/SR08036</w:t>
      </w:r>
    </w:p>
    <w:p w14:paraId="15631247" w14:textId="5BDC07F8" w:rsidR="00805F32" w:rsidRPr="004930C2" w:rsidRDefault="00805F32" w:rsidP="004930C2">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t>Elbeltagy</w:t>
      </w:r>
      <w:proofErr w:type="spellEnd"/>
      <w:r w:rsidRPr="004930C2">
        <w:rPr>
          <w:color w:val="000000" w:themeColor="text1"/>
          <w:sz w:val="20"/>
        </w:rPr>
        <w:t xml:space="preserve"> A, </w:t>
      </w:r>
      <w:proofErr w:type="spellStart"/>
      <w:r w:rsidRPr="004930C2">
        <w:rPr>
          <w:color w:val="000000" w:themeColor="text1"/>
          <w:sz w:val="20"/>
        </w:rPr>
        <w:t>Nishioka</w:t>
      </w:r>
      <w:proofErr w:type="spellEnd"/>
      <w:r w:rsidRPr="004930C2">
        <w:rPr>
          <w:color w:val="000000" w:themeColor="text1"/>
          <w:sz w:val="20"/>
        </w:rPr>
        <w:t xml:space="preserve"> K, Sato T, Suzuki H, Ye B, Hamada T, </w:t>
      </w:r>
      <w:proofErr w:type="spellStart"/>
      <w:r w:rsidRPr="004930C2">
        <w:rPr>
          <w:color w:val="000000" w:themeColor="text1"/>
          <w:sz w:val="20"/>
        </w:rPr>
        <w:t>Isawa</w:t>
      </w:r>
      <w:proofErr w:type="spellEnd"/>
      <w:r w:rsidRPr="004930C2">
        <w:rPr>
          <w:color w:val="000000" w:themeColor="text1"/>
          <w:sz w:val="20"/>
        </w:rPr>
        <w:t xml:space="preserve"> T, Mitsui H, </w:t>
      </w:r>
      <w:proofErr w:type="spellStart"/>
      <w:r w:rsidRPr="004930C2">
        <w:rPr>
          <w:color w:val="000000" w:themeColor="text1"/>
          <w:sz w:val="20"/>
        </w:rPr>
        <w:t>Minamisawa</w:t>
      </w:r>
      <w:proofErr w:type="spellEnd"/>
      <w:r w:rsidRPr="004930C2">
        <w:rPr>
          <w:color w:val="000000" w:themeColor="text1"/>
          <w:sz w:val="20"/>
        </w:rPr>
        <w:t xml:space="preserve"> K (2001) Endophytic colonization and in planta nitrogen fixation by a </w:t>
      </w:r>
      <w:proofErr w:type="spellStart"/>
      <w:r w:rsidRPr="004930C2">
        <w:rPr>
          <w:i/>
          <w:color w:val="000000" w:themeColor="text1"/>
          <w:sz w:val="20"/>
        </w:rPr>
        <w:t>Herbaspirillum</w:t>
      </w:r>
      <w:proofErr w:type="spellEnd"/>
      <w:r w:rsidRPr="004930C2">
        <w:rPr>
          <w:color w:val="000000" w:themeColor="text1"/>
          <w:sz w:val="20"/>
        </w:rPr>
        <w:t xml:space="preserve"> sp. isolated from wild rice species. Appl Environ Microbiol 67:5285-5293. https://doi.org/10.1128/AEM.67.11.5285-5293.2001</w:t>
      </w:r>
    </w:p>
    <w:p w14:paraId="54648874" w14:textId="75FFDAE5"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Gray M, Johnson MG, </w:t>
      </w:r>
      <w:proofErr w:type="spellStart"/>
      <w:r w:rsidRPr="004930C2">
        <w:rPr>
          <w:color w:val="000000" w:themeColor="text1"/>
          <w:sz w:val="20"/>
        </w:rPr>
        <w:t>Dragila</w:t>
      </w:r>
      <w:proofErr w:type="spellEnd"/>
      <w:r w:rsidRPr="004930C2">
        <w:rPr>
          <w:color w:val="000000" w:themeColor="text1"/>
          <w:sz w:val="20"/>
        </w:rPr>
        <w:t xml:space="preserve"> MI, Kleber M (2014) Water uptake in </w:t>
      </w:r>
      <w:proofErr w:type="spellStart"/>
      <w:r w:rsidRPr="004930C2">
        <w:rPr>
          <w:color w:val="000000" w:themeColor="text1"/>
          <w:sz w:val="20"/>
        </w:rPr>
        <w:t>biochars</w:t>
      </w:r>
      <w:proofErr w:type="spellEnd"/>
      <w:r w:rsidRPr="004930C2">
        <w:rPr>
          <w:color w:val="000000" w:themeColor="text1"/>
          <w:sz w:val="20"/>
        </w:rPr>
        <w:t>: The roles of porosity and hydrophobicity. Biomass Bioenergy 61:196-205. https://doi.org/10.1016/j.biombioe.2013.12.010</w:t>
      </w:r>
    </w:p>
    <w:p w14:paraId="7CA0829A" w14:textId="56C0AB36" w:rsidR="00295C91" w:rsidRPr="004930C2" w:rsidRDefault="00295C91" w:rsidP="004930C2">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t>Hairani</w:t>
      </w:r>
      <w:proofErr w:type="spellEnd"/>
      <w:r w:rsidRPr="004930C2">
        <w:rPr>
          <w:color w:val="000000" w:themeColor="text1"/>
          <w:sz w:val="20"/>
        </w:rPr>
        <w:t xml:space="preserve"> A, Osaki M, Watanabe T (2016) Effect of biochar application on mineral and microbial properties of soils growing different plant species. Soil Sci Plant </w:t>
      </w:r>
      <w:proofErr w:type="spellStart"/>
      <w:r w:rsidRPr="004930C2">
        <w:rPr>
          <w:color w:val="000000" w:themeColor="text1"/>
          <w:sz w:val="20"/>
        </w:rPr>
        <w:t>Nutr</w:t>
      </w:r>
      <w:proofErr w:type="spellEnd"/>
      <w:r w:rsidRPr="004930C2">
        <w:rPr>
          <w:color w:val="000000" w:themeColor="text1"/>
          <w:sz w:val="20"/>
        </w:rPr>
        <w:t xml:space="preserve"> 62:1</w:t>
      </w:r>
      <w:r w:rsidR="005A4A5D" w:rsidRPr="004930C2">
        <w:rPr>
          <w:color w:val="000000" w:themeColor="text1"/>
          <w:sz w:val="20"/>
        </w:rPr>
        <w:t>-</w:t>
      </w:r>
      <w:r w:rsidRPr="004930C2">
        <w:rPr>
          <w:color w:val="000000" w:themeColor="text1"/>
          <w:sz w:val="20"/>
        </w:rPr>
        <w:t>7. http://doi.org/10.1080/00380768.2016.1212648</w:t>
      </w:r>
    </w:p>
    <w:p w14:paraId="2FD3B55D" w14:textId="5CFE20E0"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Hamer U, </w:t>
      </w:r>
      <w:proofErr w:type="spellStart"/>
      <w:r w:rsidRPr="004930C2">
        <w:rPr>
          <w:color w:val="000000" w:themeColor="text1"/>
          <w:sz w:val="20"/>
        </w:rPr>
        <w:t>Marschner</w:t>
      </w:r>
      <w:proofErr w:type="spellEnd"/>
      <w:r w:rsidRPr="004930C2">
        <w:rPr>
          <w:color w:val="000000" w:themeColor="text1"/>
          <w:sz w:val="20"/>
        </w:rPr>
        <w:t xml:space="preserve"> B, </w:t>
      </w:r>
      <w:proofErr w:type="spellStart"/>
      <w:r w:rsidRPr="004930C2">
        <w:rPr>
          <w:color w:val="000000" w:themeColor="text1"/>
          <w:sz w:val="20"/>
        </w:rPr>
        <w:t>Brodowski</w:t>
      </w:r>
      <w:proofErr w:type="spellEnd"/>
      <w:r w:rsidRPr="004930C2">
        <w:rPr>
          <w:color w:val="000000" w:themeColor="text1"/>
          <w:sz w:val="20"/>
        </w:rPr>
        <w:t xml:space="preserve"> S, </w:t>
      </w:r>
      <w:proofErr w:type="spellStart"/>
      <w:r w:rsidRPr="004930C2">
        <w:rPr>
          <w:color w:val="000000" w:themeColor="text1"/>
          <w:sz w:val="20"/>
        </w:rPr>
        <w:t>Amelung</w:t>
      </w:r>
      <w:proofErr w:type="spellEnd"/>
      <w:r w:rsidRPr="004930C2">
        <w:rPr>
          <w:color w:val="000000" w:themeColor="text1"/>
          <w:sz w:val="20"/>
        </w:rPr>
        <w:t xml:space="preserve"> W (2004) Interactive priming of black carbon and glucose </w:t>
      </w:r>
      <w:proofErr w:type="spellStart"/>
      <w:r w:rsidRPr="004930C2">
        <w:rPr>
          <w:color w:val="000000" w:themeColor="text1"/>
          <w:sz w:val="20"/>
        </w:rPr>
        <w:t>mineralisation</w:t>
      </w:r>
      <w:proofErr w:type="spellEnd"/>
      <w:r w:rsidRPr="004930C2">
        <w:rPr>
          <w:color w:val="000000" w:themeColor="text1"/>
          <w:sz w:val="20"/>
        </w:rPr>
        <w:t xml:space="preserve">. Org Geochem 35:823-830. </w:t>
      </w:r>
      <w:r w:rsidR="0018263D" w:rsidRPr="004930C2">
        <w:rPr>
          <w:color w:val="000000" w:themeColor="text1"/>
          <w:sz w:val="20"/>
        </w:rPr>
        <w:t>https://doi.org/10.1016/j.orggeochem.2004.03.003</w:t>
      </w:r>
    </w:p>
    <w:p w14:paraId="67E187DA" w14:textId="4C29F8B8"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He X, Xu M, </w:t>
      </w:r>
      <w:proofErr w:type="spellStart"/>
      <w:r w:rsidRPr="004930C2">
        <w:rPr>
          <w:color w:val="000000" w:themeColor="text1"/>
          <w:sz w:val="20"/>
        </w:rPr>
        <w:t>Qiu</w:t>
      </w:r>
      <w:proofErr w:type="spellEnd"/>
      <w:r w:rsidRPr="004930C2">
        <w:rPr>
          <w:color w:val="000000" w:themeColor="text1"/>
          <w:sz w:val="20"/>
        </w:rPr>
        <w:t xml:space="preserve"> GY, Zhou J (2009) Use of </w:t>
      </w:r>
      <w:r w:rsidRPr="004930C2">
        <w:rPr>
          <w:color w:val="000000" w:themeColor="text1"/>
          <w:sz w:val="20"/>
          <w:vertAlign w:val="superscript"/>
        </w:rPr>
        <w:t>15</w:t>
      </w:r>
      <w:r w:rsidRPr="004930C2">
        <w:rPr>
          <w:color w:val="000000" w:themeColor="text1"/>
          <w:sz w:val="20"/>
        </w:rPr>
        <w:t xml:space="preserve">N stable isotope to quantify nitrogen transfer between mycorrhizal plants. J Plant </w:t>
      </w:r>
      <w:proofErr w:type="spellStart"/>
      <w:r w:rsidRPr="004930C2">
        <w:rPr>
          <w:color w:val="000000" w:themeColor="text1"/>
          <w:sz w:val="20"/>
        </w:rPr>
        <w:t>Ecol</w:t>
      </w:r>
      <w:proofErr w:type="spellEnd"/>
      <w:r w:rsidRPr="004930C2">
        <w:rPr>
          <w:color w:val="000000" w:themeColor="text1"/>
          <w:sz w:val="20"/>
        </w:rPr>
        <w:t xml:space="preserve"> 2:107-118. https://doi.org/10.1093/jpe/rtp015</w:t>
      </w:r>
    </w:p>
    <w:p w14:paraId="5169364C" w14:textId="4A4FDB04" w:rsidR="007C3133" w:rsidRDefault="007C3133" w:rsidP="004930C2">
      <w:pPr>
        <w:autoSpaceDE w:val="0"/>
        <w:autoSpaceDN w:val="0"/>
        <w:adjustRightInd w:val="0"/>
        <w:spacing w:line="480" w:lineRule="auto"/>
        <w:ind w:left="400" w:rightChars="50" w:right="120" w:hangingChars="200" w:hanging="400"/>
        <w:rPr>
          <w:color w:val="000000" w:themeColor="text1"/>
          <w:sz w:val="20"/>
        </w:rPr>
      </w:pPr>
      <w:r w:rsidRPr="007C3133">
        <w:rPr>
          <w:color w:val="000000" w:themeColor="text1"/>
          <w:sz w:val="20"/>
        </w:rPr>
        <w:lastRenderedPageBreak/>
        <w:t>Huang M, Fan L, Chen J, Jiang L, Zou Y (2018) Continuous applications of biochar to rice: Effects on nitrogen uptake and utilization. Sci Rep 8:11461. https://doi.org/10.1038/s41598-018-29877-7</w:t>
      </w:r>
    </w:p>
    <w:p w14:paraId="52259295" w14:textId="25373140"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Jaafar NM, </w:t>
      </w:r>
      <w:proofErr w:type="spellStart"/>
      <w:r w:rsidRPr="004930C2">
        <w:rPr>
          <w:color w:val="000000" w:themeColor="text1"/>
          <w:sz w:val="20"/>
        </w:rPr>
        <w:t>Clode</w:t>
      </w:r>
      <w:proofErr w:type="spellEnd"/>
      <w:r w:rsidRPr="004930C2">
        <w:rPr>
          <w:color w:val="000000" w:themeColor="text1"/>
          <w:sz w:val="20"/>
        </w:rPr>
        <w:t xml:space="preserve"> PL, Abbott LK (2015) Soil microbial responses to </w:t>
      </w:r>
      <w:proofErr w:type="spellStart"/>
      <w:r w:rsidRPr="004930C2">
        <w:rPr>
          <w:color w:val="000000" w:themeColor="text1"/>
          <w:sz w:val="20"/>
        </w:rPr>
        <w:t>biochars</w:t>
      </w:r>
      <w:proofErr w:type="spellEnd"/>
      <w:r w:rsidRPr="004930C2">
        <w:rPr>
          <w:color w:val="000000" w:themeColor="text1"/>
          <w:sz w:val="20"/>
        </w:rPr>
        <w:t xml:space="preserve"> varying in particle size, surface and pore properties. Pedosphere 25:770-780. https://doi.org/10.1016/S1002-0160(15)30058-8</w:t>
      </w:r>
    </w:p>
    <w:p w14:paraId="0675368C" w14:textId="68E9E5FC"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Kinney TJ, </w:t>
      </w:r>
      <w:proofErr w:type="spellStart"/>
      <w:r w:rsidRPr="004930C2">
        <w:rPr>
          <w:color w:val="000000" w:themeColor="text1"/>
          <w:sz w:val="20"/>
        </w:rPr>
        <w:t>Masiello</w:t>
      </w:r>
      <w:proofErr w:type="spellEnd"/>
      <w:r w:rsidRPr="004930C2">
        <w:rPr>
          <w:color w:val="000000" w:themeColor="text1"/>
          <w:sz w:val="20"/>
        </w:rPr>
        <w:t xml:space="preserve"> CA, Dugan B, Hockaday WC, Dean MR, </w:t>
      </w:r>
      <w:proofErr w:type="spellStart"/>
      <w:r w:rsidRPr="004930C2">
        <w:rPr>
          <w:color w:val="000000" w:themeColor="text1"/>
          <w:sz w:val="20"/>
        </w:rPr>
        <w:t>Zygourakis</w:t>
      </w:r>
      <w:proofErr w:type="spellEnd"/>
      <w:r w:rsidRPr="004930C2">
        <w:rPr>
          <w:color w:val="000000" w:themeColor="text1"/>
          <w:sz w:val="20"/>
        </w:rPr>
        <w:t xml:space="preserve"> K, Barnes RT (2012) Hydrologic properties of </w:t>
      </w:r>
      <w:proofErr w:type="spellStart"/>
      <w:r w:rsidRPr="004930C2">
        <w:rPr>
          <w:color w:val="000000" w:themeColor="text1"/>
          <w:sz w:val="20"/>
        </w:rPr>
        <w:t>biochars</w:t>
      </w:r>
      <w:proofErr w:type="spellEnd"/>
      <w:r w:rsidRPr="004930C2">
        <w:rPr>
          <w:color w:val="000000" w:themeColor="text1"/>
          <w:sz w:val="20"/>
        </w:rPr>
        <w:t xml:space="preserve"> produced at different temperatures. Biomass Bioenergy 41:34-43. https://doi.org/10.1016/j.biombioe.2012.01.033</w:t>
      </w:r>
    </w:p>
    <w:p w14:paraId="59BA5939" w14:textId="3FC6FF30"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Lehmann J, </w:t>
      </w:r>
      <w:proofErr w:type="spellStart"/>
      <w:r w:rsidRPr="004930C2">
        <w:rPr>
          <w:color w:val="000000" w:themeColor="text1"/>
          <w:sz w:val="20"/>
        </w:rPr>
        <w:t>Rillig</w:t>
      </w:r>
      <w:proofErr w:type="spellEnd"/>
      <w:r w:rsidRPr="004930C2">
        <w:rPr>
          <w:color w:val="000000" w:themeColor="text1"/>
          <w:sz w:val="20"/>
        </w:rPr>
        <w:t xml:space="preserve"> MC, </w:t>
      </w:r>
      <w:proofErr w:type="spellStart"/>
      <w:r w:rsidRPr="004930C2">
        <w:rPr>
          <w:color w:val="000000" w:themeColor="text1"/>
          <w:sz w:val="20"/>
        </w:rPr>
        <w:t>Thies</w:t>
      </w:r>
      <w:proofErr w:type="spellEnd"/>
      <w:r w:rsidRPr="004930C2">
        <w:rPr>
          <w:color w:val="000000" w:themeColor="text1"/>
          <w:sz w:val="20"/>
        </w:rPr>
        <w:t xml:space="preserve"> J, </w:t>
      </w:r>
      <w:proofErr w:type="spellStart"/>
      <w:r w:rsidRPr="004930C2">
        <w:rPr>
          <w:color w:val="000000" w:themeColor="text1"/>
          <w:sz w:val="20"/>
        </w:rPr>
        <w:t>Masiello</w:t>
      </w:r>
      <w:proofErr w:type="spellEnd"/>
      <w:r w:rsidRPr="004930C2">
        <w:rPr>
          <w:color w:val="000000" w:themeColor="text1"/>
          <w:sz w:val="20"/>
        </w:rPr>
        <w:t xml:space="preserve"> CA, Hockaday WC, Crowley D (2011) Biochar effects on soil biota–A review.</w:t>
      </w:r>
      <w:r w:rsidRPr="004930C2">
        <w:rPr>
          <w:sz w:val="20"/>
        </w:rPr>
        <w:t xml:space="preserve"> </w:t>
      </w:r>
      <w:r w:rsidRPr="004930C2">
        <w:rPr>
          <w:color w:val="000000" w:themeColor="text1"/>
          <w:sz w:val="20"/>
        </w:rPr>
        <w:t xml:space="preserve">Soil Biol </w:t>
      </w:r>
      <w:proofErr w:type="spellStart"/>
      <w:r w:rsidRPr="004930C2">
        <w:rPr>
          <w:color w:val="000000" w:themeColor="text1"/>
          <w:sz w:val="20"/>
        </w:rPr>
        <w:t>Biochem</w:t>
      </w:r>
      <w:proofErr w:type="spellEnd"/>
      <w:r w:rsidRPr="004930C2">
        <w:rPr>
          <w:color w:val="000000" w:themeColor="text1"/>
          <w:sz w:val="20"/>
        </w:rPr>
        <w:t xml:space="preserve"> 43:1812-1836. https://doi.org/10.1016/j.soilbio.2011.04.022</w:t>
      </w:r>
    </w:p>
    <w:p w14:paraId="323683AD" w14:textId="66085D69" w:rsidR="0018263D" w:rsidRPr="004930C2" w:rsidRDefault="00A114F9" w:rsidP="007C3133">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t>Mašek</w:t>
      </w:r>
      <w:proofErr w:type="spellEnd"/>
      <w:r w:rsidRPr="004930C2">
        <w:rPr>
          <w:color w:val="000000" w:themeColor="text1"/>
          <w:sz w:val="20"/>
        </w:rPr>
        <w:t xml:space="preserve"> O, </w:t>
      </w:r>
      <w:proofErr w:type="spellStart"/>
      <w:r w:rsidRPr="004930C2">
        <w:rPr>
          <w:color w:val="000000" w:themeColor="text1"/>
          <w:sz w:val="20"/>
        </w:rPr>
        <w:t>Brownsort</w:t>
      </w:r>
      <w:proofErr w:type="spellEnd"/>
      <w:r w:rsidRPr="004930C2">
        <w:rPr>
          <w:color w:val="000000" w:themeColor="text1"/>
          <w:sz w:val="20"/>
        </w:rPr>
        <w:t xml:space="preserve"> P, Cross A, </w:t>
      </w:r>
      <w:proofErr w:type="spellStart"/>
      <w:r w:rsidRPr="004930C2">
        <w:rPr>
          <w:color w:val="000000" w:themeColor="text1"/>
          <w:sz w:val="20"/>
        </w:rPr>
        <w:t>Sohi</w:t>
      </w:r>
      <w:proofErr w:type="spellEnd"/>
      <w:r w:rsidRPr="004930C2">
        <w:rPr>
          <w:color w:val="000000" w:themeColor="text1"/>
          <w:sz w:val="20"/>
        </w:rPr>
        <w:t xml:space="preserve"> S (2013) Influence of production conditions on the yield and environmental stability of biochar. Fuel 103:151-155. </w:t>
      </w:r>
      <w:r w:rsidR="0018263D" w:rsidRPr="004930C2">
        <w:rPr>
          <w:color w:val="000000" w:themeColor="text1"/>
          <w:sz w:val="20"/>
        </w:rPr>
        <w:t>https://doi.org/10.1016/j.fuel.2011.08.044</w:t>
      </w:r>
    </w:p>
    <w:p w14:paraId="54B43512" w14:textId="24E5A32D" w:rsidR="00BA7EBD" w:rsidRPr="004930C2" w:rsidRDefault="00BA7EBD"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Nadeem SM, Imran M, Naveed M, Khan MY, Ahmad M, </w:t>
      </w:r>
      <w:proofErr w:type="spellStart"/>
      <w:r w:rsidRPr="004930C2">
        <w:rPr>
          <w:color w:val="000000" w:themeColor="text1"/>
          <w:sz w:val="20"/>
        </w:rPr>
        <w:t>Zahir</w:t>
      </w:r>
      <w:proofErr w:type="spellEnd"/>
      <w:r w:rsidRPr="004930C2">
        <w:rPr>
          <w:color w:val="000000" w:themeColor="text1"/>
          <w:sz w:val="20"/>
        </w:rPr>
        <w:t xml:space="preserve"> ZA, Crowley DE (2017) Synergistic use of biochar, compost and plant growth-promoting rhizobacteria for enhancing cucumber growth under water deficit conditions. J Sci Food Agric 97:5139-5145. https://doi:10.1002/jsfa.8393</w:t>
      </w:r>
    </w:p>
    <w:p w14:paraId="636DA641" w14:textId="5348FD14" w:rsidR="00987805" w:rsidRDefault="00987805" w:rsidP="004930C2">
      <w:pPr>
        <w:autoSpaceDE w:val="0"/>
        <w:autoSpaceDN w:val="0"/>
        <w:adjustRightInd w:val="0"/>
        <w:spacing w:line="480" w:lineRule="auto"/>
        <w:ind w:left="400" w:rightChars="50" w:right="120" w:hangingChars="200" w:hanging="400"/>
        <w:rPr>
          <w:color w:val="000000" w:themeColor="text1"/>
          <w:sz w:val="20"/>
        </w:rPr>
      </w:pPr>
      <w:r w:rsidRPr="00987805">
        <w:rPr>
          <w:color w:val="000000" w:themeColor="text1"/>
          <w:sz w:val="20"/>
        </w:rPr>
        <w:t xml:space="preserve">Oladele SO </w:t>
      </w:r>
      <w:r>
        <w:rPr>
          <w:color w:val="000000" w:themeColor="text1"/>
          <w:sz w:val="20"/>
        </w:rPr>
        <w:t>(</w:t>
      </w:r>
      <w:r w:rsidRPr="00987805">
        <w:rPr>
          <w:color w:val="000000" w:themeColor="text1"/>
          <w:sz w:val="20"/>
        </w:rPr>
        <w:t>2019</w:t>
      </w:r>
      <w:r>
        <w:rPr>
          <w:color w:val="000000" w:themeColor="text1"/>
          <w:sz w:val="20"/>
        </w:rPr>
        <w:t>)</w:t>
      </w:r>
      <w:r w:rsidRPr="00987805">
        <w:rPr>
          <w:color w:val="000000" w:themeColor="text1"/>
          <w:sz w:val="20"/>
        </w:rPr>
        <w:t xml:space="preserve"> Changes in physicochemical properties and quality index of an </w:t>
      </w:r>
      <w:proofErr w:type="spellStart"/>
      <w:r w:rsidRPr="00987805">
        <w:rPr>
          <w:color w:val="000000" w:themeColor="text1"/>
          <w:sz w:val="20"/>
        </w:rPr>
        <w:t>Alfisol</w:t>
      </w:r>
      <w:proofErr w:type="spellEnd"/>
      <w:r w:rsidRPr="00987805">
        <w:rPr>
          <w:color w:val="000000" w:themeColor="text1"/>
          <w:sz w:val="20"/>
        </w:rPr>
        <w:t xml:space="preserve"> after three years of rice husk biochar amendment in rainfed rice – Maize cropping sequence. </w:t>
      </w:r>
      <w:proofErr w:type="spellStart"/>
      <w:r w:rsidRPr="00987805">
        <w:rPr>
          <w:color w:val="000000" w:themeColor="text1"/>
          <w:sz w:val="20"/>
        </w:rPr>
        <w:t>Geoderma</w:t>
      </w:r>
      <w:proofErr w:type="spellEnd"/>
      <w:r w:rsidRPr="00987805">
        <w:rPr>
          <w:color w:val="000000" w:themeColor="text1"/>
          <w:sz w:val="20"/>
        </w:rPr>
        <w:t xml:space="preserve"> 353</w:t>
      </w:r>
      <w:r>
        <w:rPr>
          <w:color w:val="000000" w:themeColor="text1"/>
          <w:sz w:val="20"/>
        </w:rPr>
        <w:t>:</w:t>
      </w:r>
      <w:r w:rsidRPr="00987805">
        <w:rPr>
          <w:color w:val="000000" w:themeColor="text1"/>
          <w:sz w:val="20"/>
        </w:rPr>
        <w:t>359–371. https://doi.org/10.1016/j.geoderma.2019.06.038</w:t>
      </w:r>
    </w:p>
    <w:p w14:paraId="1C0CBC88" w14:textId="7C42DEFB"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t>Quilliam</w:t>
      </w:r>
      <w:proofErr w:type="spellEnd"/>
      <w:r w:rsidRPr="004930C2">
        <w:rPr>
          <w:color w:val="000000" w:themeColor="text1"/>
          <w:sz w:val="20"/>
        </w:rPr>
        <w:t xml:space="preserve"> RS, DeLuca TH, Jones DL (2013) Biochar application reduces nodulation but increases nitrogenase activity in clover. Plant Soil 366:83-92. https://doi.org/10.1007/s11104-012-1411-4</w:t>
      </w:r>
    </w:p>
    <w:p w14:paraId="018BD7E1" w14:textId="4B6AF39B" w:rsidR="009853EC" w:rsidRPr="004930C2" w:rsidRDefault="0064042B" w:rsidP="004930C2">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lastRenderedPageBreak/>
        <w:t>Rajkovich</w:t>
      </w:r>
      <w:proofErr w:type="spellEnd"/>
      <w:r w:rsidRPr="004930C2">
        <w:rPr>
          <w:color w:val="000000" w:themeColor="text1"/>
          <w:sz w:val="20"/>
        </w:rPr>
        <w:t xml:space="preserve"> S, Enders A, Hanley K, </w:t>
      </w:r>
      <w:r w:rsidR="009853EC" w:rsidRPr="004930C2">
        <w:rPr>
          <w:color w:val="000000" w:themeColor="text1"/>
          <w:sz w:val="20"/>
        </w:rPr>
        <w:t>Hyland C, Zimmerman AR, Lehmann J (2012)</w:t>
      </w:r>
      <w:r w:rsidRPr="004930C2">
        <w:rPr>
          <w:color w:val="000000" w:themeColor="text1"/>
          <w:sz w:val="20"/>
        </w:rPr>
        <w:t xml:space="preserve"> Corn growth and nitrogen nutrition after additions of </w:t>
      </w:r>
      <w:proofErr w:type="spellStart"/>
      <w:r w:rsidRPr="004930C2">
        <w:rPr>
          <w:color w:val="000000" w:themeColor="text1"/>
          <w:sz w:val="20"/>
        </w:rPr>
        <w:t>biochars</w:t>
      </w:r>
      <w:proofErr w:type="spellEnd"/>
      <w:r w:rsidRPr="004930C2">
        <w:rPr>
          <w:color w:val="000000" w:themeColor="text1"/>
          <w:sz w:val="20"/>
        </w:rPr>
        <w:t xml:space="preserve"> with varying properties to a temperate soil. Biol </w:t>
      </w:r>
      <w:proofErr w:type="spellStart"/>
      <w:r w:rsidRPr="004930C2">
        <w:rPr>
          <w:color w:val="000000" w:themeColor="text1"/>
          <w:sz w:val="20"/>
        </w:rPr>
        <w:t>Fertil</w:t>
      </w:r>
      <w:proofErr w:type="spellEnd"/>
      <w:r w:rsidRPr="004930C2">
        <w:rPr>
          <w:color w:val="000000" w:themeColor="text1"/>
          <w:sz w:val="20"/>
        </w:rPr>
        <w:t xml:space="preserve"> Soils 48</w:t>
      </w:r>
      <w:r w:rsidR="009853EC" w:rsidRPr="004930C2">
        <w:rPr>
          <w:color w:val="000000" w:themeColor="text1"/>
          <w:sz w:val="20"/>
        </w:rPr>
        <w:t>:</w:t>
      </w:r>
      <w:r w:rsidRPr="004930C2">
        <w:rPr>
          <w:color w:val="000000" w:themeColor="text1"/>
          <w:sz w:val="20"/>
        </w:rPr>
        <w:t>271</w:t>
      </w:r>
      <w:r w:rsidR="009853EC" w:rsidRPr="004930C2">
        <w:rPr>
          <w:color w:val="000000" w:themeColor="text1"/>
          <w:sz w:val="20"/>
        </w:rPr>
        <w:t>-</w:t>
      </w:r>
      <w:r w:rsidRPr="004930C2">
        <w:rPr>
          <w:color w:val="000000" w:themeColor="text1"/>
          <w:sz w:val="20"/>
        </w:rPr>
        <w:t>284. https://doi.org/10.1007/s00374-011-0624-7</w:t>
      </w:r>
    </w:p>
    <w:p w14:paraId="48164074" w14:textId="314F631F" w:rsidR="00295C91" w:rsidRPr="004930C2" w:rsidRDefault="00295C91"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Schmidt HP, </w:t>
      </w:r>
      <w:proofErr w:type="spellStart"/>
      <w:r w:rsidRPr="004930C2">
        <w:rPr>
          <w:color w:val="000000" w:themeColor="text1"/>
          <w:sz w:val="20"/>
        </w:rPr>
        <w:t>Kammann</w:t>
      </w:r>
      <w:proofErr w:type="spellEnd"/>
      <w:r w:rsidRPr="004930C2">
        <w:rPr>
          <w:color w:val="000000" w:themeColor="text1"/>
          <w:sz w:val="20"/>
        </w:rPr>
        <w:t xml:space="preserve"> C, </w:t>
      </w:r>
      <w:proofErr w:type="spellStart"/>
      <w:r w:rsidRPr="004930C2">
        <w:rPr>
          <w:color w:val="000000" w:themeColor="text1"/>
          <w:sz w:val="20"/>
        </w:rPr>
        <w:t>Niggli</w:t>
      </w:r>
      <w:proofErr w:type="spellEnd"/>
      <w:r w:rsidRPr="004930C2">
        <w:rPr>
          <w:color w:val="000000" w:themeColor="text1"/>
          <w:sz w:val="20"/>
        </w:rPr>
        <w:t xml:space="preserve"> C, </w:t>
      </w:r>
      <w:proofErr w:type="spellStart"/>
      <w:r w:rsidRPr="004930C2">
        <w:rPr>
          <w:color w:val="000000" w:themeColor="text1"/>
          <w:sz w:val="20"/>
        </w:rPr>
        <w:t>Evangelou</w:t>
      </w:r>
      <w:proofErr w:type="spellEnd"/>
      <w:r w:rsidRPr="004930C2">
        <w:rPr>
          <w:color w:val="000000" w:themeColor="text1"/>
          <w:sz w:val="20"/>
        </w:rPr>
        <w:t xml:space="preserve"> MWH, Mackie KA, </w:t>
      </w:r>
      <w:proofErr w:type="spellStart"/>
      <w:r w:rsidRPr="004930C2">
        <w:rPr>
          <w:color w:val="000000" w:themeColor="text1"/>
          <w:sz w:val="20"/>
        </w:rPr>
        <w:t>Abiven</w:t>
      </w:r>
      <w:proofErr w:type="spellEnd"/>
      <w:r w:rsidRPr="004930C2">
        <w:rPr>
          <w:color w:val="000000" w:themeColor="text1"/>
          <w:sz w:val="20"/>
        </w:rPr>
        <w:t xml:space="preserve"> S (2014) Biochar and biochar-compost as soil amendments to a vineyard soil: Influences on plant growth, nutrient uptake, plant health and grape quality. Agric </w:t>
      </w:r>
      <w:proofErr w:type="spellStart"/>
      <w:r w:rsidRPr="004930C2">
        <w:rPr>
          <w:color w:val="000000" w:themeColor="text1"/>
          <w:sz w:val="20"/>
        </w:rPr>
        <w:t>Ecosyst</w:t>
      </w:r>
      <w:proofErr w:type="spellEnd"/>
      <w:r w:rsidRPr="004930C2">
        <w:rPr>
          <w:color w:val="000000" w:themeColor="text1"/>
          <w:sz w:val="20"/>
        </w:rPr>
        <w:t xml:space="preserve"> Environ 191:117</w:t>
      </w:r>
      <w:r w:rsidR="0018263D" w:rsidRPr="004930C2">
        <w:rPr>
          <w:color w:val="000000" w:themeColor="text1"/>
          <w:sz w:val="20"/>
        </w:rPr>
        <w:t>-</w:t>
      </w:r>
      <w:r w:rsidRPr="004930C2">
        <w:rPr>
          <w:color w:val="000000" w:themeColor="text1"/>
          <w:sz w:val="20"/>
        </w:rPr>
        <w:t>123. https://doi.org/10.1016/j.agee.2014.04.001</w:t>
      </w:r>
    </w:p>
    <w:p w14:paraId="5EEDBBBC" w14:textId="525214A1"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Schulz H, Dunst G, Glaser B (2014) No effect level of co-composted biochar on plant growth and soil properties in a greenhouse experiment. Agronomy 4:34-51. https://doi.org/10.3390/agronomy4010034</w:t>
      </w:r>
    </w:p>
    <w:p w14:paraId="61480C70" w14:textId="6F407C1D"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Schulz H, Glaser B (2012) Effects of biochar compared to organic and inorganic fertilizers on soil quality and plant growth in a greenhouse experiment. J Plant </w:t>
      </w:r>
      <w:proofErr w:type="spellStart"/>
      <w:r w:rsidRPr="004930C2">
        <w:rPr>
          <w:color w:val="000000" w:themeColor="text1"/>
          <w:sz w:val="20"/>
        </w:rPr>
        <w:t>Nutr</w:t>
      </w:r>
      <w:proofErr w:type="spellEnd"/>
      <w:r w:rsidRPr="004930C2">
        <w:rPr>
          <w:color w:val="000000" w:themeColor="text1"/>
          <w:sz w:val="20"/>
        </w:rPr>
        <w:t xml:space="preserve"> Soil Sci 175:410-422. https://doi.org/10.1002/jpln.201100143</w:t>
      </w:r>
    </w:p>
    <w:p w14:paraId="2412092B" w14:textId="027F5446"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Seufert V, </w:t>
      </w:r>
      <w:proofErr w:type="spellStart"/>
      <w:r w:rsidRPr="004930C2">
        <w:rPr>
          <w:color w:val="000000" w:themeColor="text1"/>
          <w:sz w:val="20"/>
        </w:rPr>
        <w:t>Ramankutty</w:t>
      </w:r>
      <w:proofErr w:type="spellEnd"/>
      <w:r w:rsidRPr="004930C2">
        <w:rPr>
          <w:color w:val="000000" w:themeColor="text1"/>
          <w:sz w:val="20"/>
        </w:rPr>
        <w:t xml:space="preserve"> N, Foley JA (2012) Comparing the yields of organic and conventional agriculture. Nature 485:229-232. https://doi.org/10.1038/nature11069</w:t>
      </w:r>
    </w:p>
    <w:p w14:paraId="62F68059" w14:textId="4A8A20DC"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t>Shinogi</w:t>
      </w:r>
      <w:proofErr w:type="spellEnd"/>
      <w:r w:rsidRPr="004930C2">
        <w:rPr>
          <w:color w:val="000000" w:themeColor="text1"/>
          <w:sz w:val="20"/>
        </w:rPr>
        <w:t xml:space="preserve"> Y, Yoshida H, Koizumi T, Yamaoka M, Saito T (2003) Basic characteristics of low-temperature carbon products from waste sludge. Adv Environ Res 7:661-665. https://doi.org/10.1016/S1093-0191(02)00040-0</w:t>
      </w:r>
    </w:p>
    <w:p w14:paraId="25A6CC59" w14:textId="758F03CC"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Singh BP, Cowie AL, </w:t>
      </w:r>
      <w:proofErr w:type="spellStart"/>
      <w:r w:rsidRPr="004930C2">
        <w:rPr>
          <w:color w:val="000000" w:themeColor="text1"/>
          <w:sz w:val="20"/>
        </w:rPr>
        <w:t>Smernik</w:t>
      </w:r>
      <w:proofErr w:type="spellEnd"/>
      <w:r w:rsidRPr="004930C2">
        <w:rPr>
          <w:color w:val="000000" w:themeColor="text1"/>
          <w:sz w:val="20"/>
        </w:rPr>
        <w:t xml:space="preserve"> RJ (2012) Biochar carbon stability in a clayey soil as a function of feedstock and pyrolysis temperature. Environ Sci Technol 46:11770-11778. https://doi.org/10.1021/es302545b</w:t>
      </w:r>
    </w:p>
    <w:p w14:paraId="1464BD6F" w14:textId="2616B6E6" w:rsidR="00805F32" w:rsidRPr="004930C2" w:rsidRDefault="00805F32"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lastRenderedPageBreak/>
        <w:t xml:space="preserve">Soares RA, </w:t>
      </w:r>
      <w:proofErr w:type="spellStart"/>
      <w:r w:rsidRPr="004930C2">
        <w:rPr>
          <w:color w:val="000000" w:themeColor="text1"/>
          <w:sz w:val="20"/>
        </w:rPr>
        <w:t>Roesch</w:t>
      </w:r>
      <w:proofErr w:type="spellEnd"/>
      <w:r w:rsidRPr="004930C2">
        <w:rPr>
          <w:color w:val="000000" w:themeColor="text1"/>
          <w:sz w:val="20"/>
        </w:rPr>
        <w:t xml:space="preserve"> LFW, </w:t>
      </w:r>
      <w:proofErr w:type="spellStart"/>
      <w:r w:rsidRPr="004930C2">
        <w:rPr>
          <w:color w:val="000000" w:themeColor="text1"/>
          <w:sz w:val="20"/>
        </w:rPr>
        <w:t>Zanatta</w:t>
      </w:r>
      <w:proofErr w:type="spellEnd"/>
      <w:r w:rsidRPr="004930C2">
        <w:rPr>
          <w:color w:val="000000" w:themeColor="text1"/>
          <w:sz w:val="20"/>
        </w:rPr>
        <w:t xml:space="preserve"> G, de Oliveira Camargo FA, Passaglia LMP (2006) Occurrence and distribution of nitrogen fixing bacterial community associated with oat (</w:t>
      </w:r>
      <w:proofErr w:type="spellStart"/>
      <w:r w:rsidRPr="004930C2">
        <w:rPr>
          <w:i/>
          <w:color w:val="000000" w:themeColor="text1"/>
          <w:sz w:val="20"/>
        </w:rPr>
        <w:t>Avena</w:t>
      </w:r>
      <w:proofErr w:type="spellEnd"/>
      <w:r w:rsidRPr="004930C2">
        <w:rPr>
          <w:i/>
          <w:color w:val="000000" w:themeColor="text1"/>
          <w:sz w:val="20"/>
        </w:rPr>
        <w:t xml:space="preserve"> sativa</w:t>
      </w:r>
      <w:r w:rsidRPr="004930C2">
        <w:rPr>
          <w:color w:val="000000" w:themeColor="text1"/>
          <w:sz w:val="20"/>
        </w:rPr>
        <w:t xml:space="preserve">) assessed by molecular and microbiological techniques. Appl Soil </w:t>
      </w:r>
      <w:proofErr w:type="spellStart"/>
      <w:r w:rsidRPr="004930C2">
        <w:rPr>
          <w:color w:val="000000" w:themeColor="text1"/>
          <w:sz w:val="20"/>
        </w:rPr>
        <w:t>Ecol</w:t>
      </w:r>
      <w:proofErr w:type="spellEnd"/>
      <w:r w:rsidRPr="004930C2">
        <w:rPr>
          <w:color w:val="000000" w:themeColor="text1"/>
          <w:sz w:val="20"/>
        </w:rPr>
        <w:t xml:space="preserve"> 33:221-234. https://doi.org/10.1016/j.apsoil.2006.01.001</w:t>
      </w:r>
    </w:p>
    <w:p w14:paraId="72680FFB" w14:textId="7547C674" w:rsidR="00033167" w:rsidRPr="004930C2" w:rsidRDefault="00033167"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Song XD, </w:t>
      </w:r>
      <w:proofErr w:type="spellStart"/>
      <w:r w:rsidRPr="004930C2">
        <w:rPr>
          <w:color w:val="000000" w:themeColor="text1"/>
          <w:sz w:val="20"/>
        </w:rPr>
        <w:t>Xue</w:t>
      </w:r>
      <w:proofErr w:type="spellEnd"/>
      <w:r w:rsidRPr="004930C2">
        <w:rPr>
          <w:color w:val="000000" w:themeColor="text1"/>
          <w:sz w:val="20"/>
        </w:rPr>
        <w:t xml:space="preserve"> XY, Chen DZ, He PJ, Dai XH (2014) Application of biochar from sewage sludge to plant cultivation: Influence of pyrolysis temperature and biochar-to-soil ratio on yield and heavy metal accumulation. Chemosphere 109:213-220. https://doi.org/10.1016/j.chemosphere.2014.01.070</w:t>
      </w:r>
    </w:p>
    <w:p w14:paraId="0AFA2909" w14:textId="760C2E92"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t>Subedi</w:t>
      </w:r>
      <w:proofErr w:type="spellEnd"/>
      <w:r w:rsidRPr="004930C2">
        <w:rPr>
          <w:color w:val="000000" w:themeColor="text1"/>
          <w:sz w:val="20"/>
        </w:rPr>
        <w:t xml:space="preserve"> R, Taupe N, Ikoyi I, </w:t>
      </w:r>
      <w:proofErr w:type="spellStart"/>
      <w:r w:rsidRPr="004930C2">
        <w:rPr>
          <w:color w:val="000000" w:themeColor="text1"/>
          <w:sz w:val="20"/>
        </w:rPr>
        <w:t>Bertora</w:t>
      </w:r>
      <w:proofErr w:type="spellEnd"/>
      <w:r w:rsidRPr="004930C2">
        <w:rPr>
          <w:color w:val="000000" w:themeColor="text1"/>
          <w:sz w:val="20"/>
        </w:rPr>
        <w:t xml:space="preserve"> C, </w:t>
      </w:r>
      <w:proofErr w:type="spellStart"/>
      <w:r w:rsidRPr="004930C2">
        <w:rPr>
          <w:color w:val="000000" w:themeColor="text1"/>
          <w:sz w:val="20"/>
        </w:rPr>
        <w:t>Zavattaro</w:t>
      </w:r>
      <w:proofErr w:type="spellEnd"/>
      <w:r w:rsidRPr="004930C2">
        <w:rPr>
          <w:color w:val="000000" w:themeColor="text1"/>
          <w:sz w:val="20"/>
        </w:rPr>
        <w:t xml:space="preserve"> L, </w:t>
      </w:r>
      <w:proofErr w:type="spellStart"/>
      <w:r w:rsidRPr="004930C2">
        <w:rPr>
          <w:color w:val="000000" w:themeColor="text1"/>
          <w:sz w:val="20"/>
        </w:rPr>
        <w:t>Schmalenberger</w:t>
      </w:r>
      <w:proofErr w:type="spellEnd"/>
      <w:r w:rsidRPr="004930C2">
        <w:rPr>
          <w:color w:val="000000" w:themeColor="text1"/>
          <w:sz w:val="20"/>
        </w:rPr>
        <w:t xml:space="preserve"> A, Leahy JJ, </w:t>
      </w:r>
      <w:proofErr w:type="spellStart"/>
      <w:r w:rsidRPr="004930C2">
        <w:rPr>
          <w:color w:val="000000" w:themeColor="text1"/>
          <w:sz w:val="20"/>
        </w:rPr>
        <w:t>Grignani</w:t>
      </w:r>
      <w:proofErr w:type="spellEnd"/>
      <w:r w:rsidRPr="004930C2">
        <w:rPr>
          <w:color w:val="000000" w:themeColor="text1"/>
          <w:sz w:val="20"/>
        </w:rPr>
        <w:t xml:space="preserve"> C (2016) Chemically and biologically-mediated fertilizing value of manure-derived biochar. Sci Total Environ 550:924-933. https://doi.org/10.1016/j.scitotenv.2016.01.160</w:t>
      </w:r>
    </w:p>
    <w:p w14:paraId="7A592082" w14:textId="170B4460" w:rsidR="005B6A80" w:rsidRPr="004930C2" w:rsidRDefault="005B6A80" w:rsidP="004930C2">
      <w:pPr>
        <w:autoSpaceDE w:val="0"/>
        <w:autoSpaceDN w:val="0"/>
        <w:adjustRightInd w:val="0"/>
        <w:spacing w:line="480" w:lineRule="auto"/>
        <w:ind w:left="400" w:rightChars="50" w:right="120" w:hangingChars="200" w:hanging="400"/>
        <w:rPr>
          <w:color w:val="000000" w:themeColor="text1"/>
          <w:sz w:val="20"/>
        </w:rPr>
      </w:pPr>
      <w:r w:rsidRPr="005B6A80">
        <w:rPr>
          <w:color w:val="000000" w:themeColor="text1"/>
          <w:sz w:val="20"/>
        </w:rPr>
        <w:t xml:space="preserve">Sun F, Lu S </w:t>
      </w:r>
      <w:r>
        <w:rPr>
          <w:color w:val="000000" w:themeColor="text1"/>
          <w:sz w:val="20"/>
        </w:rPr>
        <w:t>(</w:t>
      </w:r>
      <w:r w:rsidRPr="005B6A80">
        <w:rPr>
          <w:color w:val="000000" w:themeColor="text1"/>
          <w:sz w:val="20"/>
        </w:rPr>
        <w:t>2014</w:t>
      </w:r>
      <w:r>
        <w:rPr>
          <w:color w:val="000000" w:themeColor="text1"/>
          <w:sz w:val="20"/>
        </w:rPr>
        <w:t>)</w:t>
      </w:r>
      <w:r w:rsidRPr="005B6A80">
        <w:rPr>
          <w:color w:val="000000" w:themeColor="text1"/>
          <w:sz w:val="20"/>
        </w:rPr>
        <w:t xml:space="preserve"> </w:t>
      </w:r>
      <w:proofErr w:type="spellStart"/>
      <w:r w:rsidRPr="005B6A80">
        <w:rPr>
          <w:color w:val="000000" w:themeColor="text1"/>
          <w:sz w:val="20"/>
        </w:rPr>
        <w:t>Biochars</w:t>
      </w:r>
      <w:proofErr w:type="spellEnd"/>
      <w:r w:rsidRPr="005B6A80">
        <w:rPr>
          <w:color w:val="000000" w:themeColor="text1"/>
          <w:sz w:val="20"/>
        </w:rPr>
        <w:t xml:space="preserve"> improve aggregate stability, water retention, and pore-space properties of clayey soil. J Plant </w:t>
      </w:r>
      <w:proofErr w:type="spellStart"/>
      <w:r w:rsidRPr="005B6A80">
        <w:rPr>
          <w:color w:val="000000" w:themeColor="text1"/>
          <w:sz w:val="20"/>
        </w:rPr>
        <w:t>Nutr</w:t>
      </w:r>
      <w:proofErr w:type="spellEnd"/>
      <w:r w:rsidRPr="005B6A80">
        <w:rPr>
          <w:color w:val="000000" w:themeColor="text1"/>
          <w:sz w:val="20"/>
        </w:rPr>
        <w:t xml:space="preserve"> Soil Sci 177</w:t>
      </w:r>
      <w:r>
        <w:rPr>
          <w:color w:val="000000" w:themeColor="text1"/>
          <w:sz w:val="20"/>
        </w:rPr>
        <w:t>:</w:t>
      </w:r>
      <w:r w:rsidRPr="005B6A80">
        <w:rPr>
          <w:color w:val="000000" w:themeColor="text1"/>
          <w:sz w:val="20"/>
        </w:rPr>
        <w:t>26–33. https://doi.org/10.1002/jpln.201200639</w:t>
      </w:r>
    </w:p>
    <w:p w14:paraId="7DF2B175" w14:textId="363F99A8" w:rsidR="0064042B" w:rsidRPr="004930C2" w:rsidRDefault="0064042B"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Xiao F, </w:t>
      </w:r>
      <w:proofErr w:type="spellStart"/>
      <w:r w:rsidRPr="004930C2">
        <w:rPr>
          <w:color w:val="000000" w:themeColor="text1"/>
          <w:sz w:val="20"/>
        </w:rPr>
        <w:t>Bedane</w:t>
      </w:r>
      <w:proofErr w:type="spellEnd"/>
      <w:r w:rsidRPr="004930C2">
        <w:rPr>
          <w:color w:val="000000" w:themeColor="text1"/>
          <w:sz w:val="20"/>
        </w:rPr>
        <w:t xml:space="preserve"> AH, Zhao JX, Mann MD, </w:t>
      </w:r>
      <w:proofErr w:type="spellStart"/>
      <w:r w:rsidRPr="004930C2">
        <w:rPr>
          <w:color w:val="000000" w:themeColor="text1"/>
          <w:sz w:val="20"/>
        </w:rPr>
        <w:t>Pignatello</w:t>
      </w:r>
      <w:proofErr w:type="spellEnd"/>
      <w:r w:rsidRPr="004930C2">
        <w:rPr>
          <w:color w:val="000000" w:themeColor="text1"/>
          <w:sz w:val="20"/>
        </w:rPr>
        <w:t xml:space="preserve"> JJ (2018) Thermal air oxidation changes surface and adsorptive properties of black carbon (char/biochar). Sci Total Environ 618</w:t>
      </w:r>
      <w:r w:rsidR="0018263D" w:rsidRPr="004930C2">
        <w:rPr>
          <w:color w:val="000000" w:themeColor="text1"/>
          <w:sz w:val="20"/>
        </w:rPr>
        <w:t>:</w:t>
      </w:r>
      <w:r w:rsidRPr="004930C2">
        <w:rPr>
          <w:color w:val="000000" w:themeColor="text1"/>
          <w:sz w:val="20"/>
        </w:rPr>
        <w:t xml:space="preserve">276-283. </w:t>
      </w:r>
      <w:r w:rsidR="0018263D" w:rsidRPr="004930C2">
        <w:rPr>
          <w:color w:val="000000" w:themeColor="text1"/>
          <w:sz w:val="20"/>
        </w:rPr>
        <w:t>https://doi.org/10.1016/j.scitotenv.2017.11.008</w:t>
      </w:r>
    </w:p>
    <w:p w14:paraId="4191BB8B" w14:textId="6B74988D" w:rsidR="0018263D" w:rsidRPr="004930C2" w:rsidRDefault="0018263D"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Xu G, Sun J N, Shao H B, Chang S X (2014) Biochar had effects on phosphorus sorption and desorption in three soils with differing acidity. </w:t>
      </w:r>
      <w:proofErr w:type="spellStart"/>
      <w:r w:rsidRPr="004930C2">
        <w:rPr>
          <w:color w:val="000000" w:themeColor="text1"/>
          <w:sz w:val="20"/>
        </w:rPr>
        <w:t>Ecol</w:t>
      </w:r>
      <w:proofErr w:type="spellEnd"/>
      <w:r w:rsidRPr="004930C2">
        <w:rPr>
          <w:color w:val="000000" w:themeColor="text1"/>
          <w:sz w:val="20"/>
        </w:rPr>
        <w:t xml:space="preserve"> </w:t>
      </w:r>
      <w:proofErr w:type="spellStart"/>
      <w:r w:rsidRPr="004930C2">
        <w:rPr>
          <w:color w:val="000000" w:themeColor="text1"/>
          <w:sz w:val="20"/>
        </w:rPr>
        <w:t>Eng</w:t>
      </w:r>
      <w:proofErr w:type="spellEnd"/>
      <w:r w:rsidRPr="004930C2">
        <w:rPr>
          <w:color w:val="000000" w:themeColor="text1"/>
          <w:sz w:val="20"/>
        </w:rPr>
        <w:t xml:space="preserve"> 62:54-60. https://doi.org/10.1016/j.ecoleng.2013.10.027</w:t>
      </w:r>
    </w:p>
    <w:p w14:paraId="3A04E250" w14:textId="7272CCAD"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Wang J, Pan X, Liu Y, Zhang X, </w:t>
      </w:r>
      <w:proofErr w:type="spellStart"/>
      <w:r w:rsidRPr="004930C2">
        <w:rPr>
          <w:color w:val="000000" w:themeColor="text1"/>
          <w:sz w:val="20"/>
        </w:rPr>
        <w:t>Xiong</w:t>
      </w:r>
      <w:proofErr w:type="spellEnd"/>
      <w:r w:rsidRPr="004930C2">
        <w:rPr>
          <w:color w:val="000000" w:themeColor="text1"/>
          <w:sz w:val="20"/>
        </w:rPr>
        <w:t xml:space="preserve"> Z (2012) Effects of biochar amendment in two soils on greenhouse gas emissions and crop production. Plant Soil 360:287-298. https://doi.org/10.1007/s11104-012-1250-3</w:t>
      </w:r>
    </w:p>
    <w:p w14:paraId="686AD8B3" w14:textId="0F321E53"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proofErr w:type="spellStart"/>
      <w:r w:rsidRPr="004930C2">
        <w:rPr>
          <w:color w:val="000000" w:themeColor="text1"/>
          <w:sz w:val="20"/>
        </w:rPr>
        <w:lastRenderedPageBreak/>
        <w:t>Yoneyama</w:t>
      </w:r>
      <w:proofErr w:type="spellEnd"/>
      <w:r w:rsidRPr="004930C2">
        <w:rPr>
          <w:color w:val="000000" w:themeColor="text1"/>
          <w:sz w:val="20"/>
        </w:rPr>
        <w:t xml:space="preserve"> T, Fujita K, Yoshida T, Matsumoto T, </w:t>
      </w:r>
      <w:proofErr w:type="spellStart"/>
      <w:r w:rsidRPr="004930C2">
        <w:rPr>
          <w:color w:val="000000" w:themeColor="text1"/>
          <w:sz w:val="20"/>
        </w:rPr>
        <w:t>Kambayashi</w:t>
      </w:r>
      <w:proofErr w:type="spellEnd"/>
      <w:r w:rsidRPr="004930C2">
        <w:rPr>
          <w:color w:val="000000" w:themeColor="text1"/>
          <w:sz w:val="20"/>
        </w:rPr>
        <w:t xml:space="preserve"> I, Yazaki J (1986) Variation in natural abundance of </w:t>
      </w:r>
      <w:r w:rsidRPr="004930C2">
        <w:rPr>
          <w:color w:val="000000" w:themeColor="text1"/>
          <w:sz w:val="20"/>
          <w:vertAlign w:val="superscript"/>
        </w:rPr>
        <w:t>15</w:t>
      </w:r>
      <w:r w:rsidRPr="004930C2">
        <w:rPr>
          <w:color w:val="000000" w:themeColor="text1"/>
          <w:sz w:val="20"/>
        </w:rPr>
        <w:t xml:space="preserve">N among plant parts and in </w:t>
      </w:r>
      <w:r w:rsidRPr="004930C2">
        <w:rPr>
          <w:color w:val="000000" w:themeColor="text1"/>
          <w:sz w:val="20"/>
          <w:vertAlign w:val="superscript"/>
        </w:rPr>
        <w:t>15</w:t>
      </w:r>
      <w:r w:rsidRPr="004930C2">
        <w:rPr>
          <w:color w:val="000000" w:themeColor="text1"/>
          <w:sz w:val="20"/>
        </w:rPr>
        <w:t>N/</w:t>
      </w:r>
      <w:r w:rsidRPr="004930C2">
        <w:rPr>
          <w:color w:val="000000" w:themeColor="text1"/>
          <w:sz w:val="20"/>
          <w:vertAlign w:val="superscript"/>
        </w:rPr>
        <w:t>14</w:t>
      </w:r>
      <w:r w:rsidRPr="004930C2">
        <w:rPr>
          <w:color w:val="000000" w:themeColor="text1"/>
          <w:sz w:val="20"/>
        </w:rPr>
        <w:t>N fractionation during N</w:t>
      </w:r>
      <w:r w:rsidRPr="004930C2">
        <w:rPr>
          <w:color w:val="000000" w:themeColor="text1"/>
          <w:sz w:val="20"/>
          <w:vertAlign w:val="subscript"/>
        </w:rPr>
        <w:t>2</w:t>
      </w:r>
      <w:r w:rsidRPr="004930C2">
        <w:rPr>
          <w:color w:val="000000" w:themeColor="text1"/>
          <w:sz w:val="20"/>
        </w:rPr>
        <w:t xml:space="preserve"> fixation in the legume-rhizobia symbiotic system. Plant Cell </w:t>
      </w:r>
      <w:proofErr w:type="spellStart"/>
      <w:r w:rsidRPr="004930C2">
        <w:rPr>
          <w:color w:val="000000" w:themeColor="text1"/>
          <w:sz w:val="20"/>
        </w:rPr>
        <w:t>Physiol</w:t>
      </w:r>
      <w:proofErr w:type="spellEnd"/>
      <w:r w:rsidRPr="004930C2">
        <w:rPr>
          <w:color w:val="000000" w:themeColor="text1"/>
          <w:sz w:val="20"/>
        </w:rPr>
        <w:t xml:space="preserve"> 27:791-799. https://doi.org/10.1093/oxfordjournals.pcp.a077165</w:t>
      </w:r>
    </w:p>
    <w:p w14:paraId="71A2DB99" w14:textId="4B9CB048" w:rsidR="00494516" w:rsidRPr="004930C2" w:rsidRDefault="0064042B"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Zhang J, Huang B, Chen L, Li Y, Li W, Luo Z (2018) Characteristics of biochar produced from yak manure at different pyrolysis temperature and its effects on the yield and growth of highland barley. Chem </w:t>
      </w:r>
      <w:proofErr w:type="spellStart"/>
      <w:r w:rsidRPr="004930C2">
        <w:rPr>
          <w:color w:val="000000" w:themeColor="text1"/>
          <w:sz w:val="20"/>
        </w:rPr>
        <w:t>Speciat</w:t>
      </w:r>
      <w:proofErr w:type="spellEnd"/>
      <w:r w:rsidRPr="004930C2">
        <w:rPr>
          <w:color w:val="000000" w:themeColor="text1"/>
          <w:sz w:val="20"/>
        </w:rPr>
        <w:t xml:space="preserve"> </w:t>
      </w:r>
      <w:proofErr w:type="spellStart"/>
      <w:r w:rsidRPr="004930C2">
        <w:rPr>
          <w:color w:val="000000" w:themeColor="text1"/>
          <w:sz w:val="20"/>
        </w:rPr>
        <w:t>Bioavailab</w:t>
      </w:r>
      <w:proofErr w:type="spellEnd"/>
      <w:r w:rsidRPr="004930C2">
        <w:rPr>
          <w:color w:val="000000" w:themeColor="text1"/>
          <w:sz w:val="20"/>
        </w:rPr>
        <w:t xml:space="preserve"> 30:57-67</w:t>
      </w:r>
      <w:r w:rsidR="00B320E5" w:rsidRPr="004930C2">
        <w:rPr>
          <w:sz w:val="20"/>
        </w:rPr>
        <w:t xml:space="preserve">. </w:t>
      </w:r>
      <w:r w:rsidR="00B320E5" w:rsidRPr="004930C2">
        <w:rPr>
          <w:color w:val="000000" w:themeColor="text1"/>
          <w:sz w:val="20"/>
        </w:rPr>
        <w:t>https://doi.org/10.1080/09542299.2018.1487774</w:t>
      </w:r>
    </w:p>
    <w:p w14:paraId="6608295C" w14:textId="5D0D2009"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Zhao L, Cao X, </w:t>
      </w:r>
      <w:proofErr w:type="spellStart"/>
      <w:r w:rsidRPr="004930C2">
        <w:rPr>
          <w:color w:val="000000" w:themeColor="text1"/>
          <w:sz w:val="20"/>
        </w:rPr>
        <w:t>Mašek</w:t>
      </w:r>
      <w:proofErr w:type="spellEnd"/>
      <w:r w:rsidRPr="004930C2">
        <w:rPr>
          <w:color w:val="000000" w:themeColor="text1"/>
          <w:sz w:val="20"/>
        </w:rPr>
        <w:t xml:space="preserve"> O, Zimmerman A (2013) Heterogeneity of biochar properties as a function of feedstock sources and production temperatures. J Hazard Mater 256-257:1-9. https://doi.org/10.1016/j.jhazmat.2013.04.015</w:t>
      </w:r>
    </w:p>
    <w:p w14:paraId="6227A28F" w14:textId="46521A10" w:rsidR="00A114F9" w:rsidRPr="004930C2" w:rsidRDefault="00A114F9" w:rsidP="004930C2">
      <w:pPr>
        <w:autoSpaceDE w:val="0"/>
        <w:autoSpaceDN w:val="0"/>
        <w:adjustRightInd w:val="0"/>
        <w:spacing w:line="480" w:lineRule="auto"/>
        <w:ind w:left="400" w:rightChars="50" w:right="120" w:hangingChars="200" w:hanging="400"/>
        <w:rPr>
          <w:color w:val="000000" w:themeColor="text1"/>
          <w:sz w:val="20"/>
        </w:rPr>
      </w:pPr>
      <w:r w:rsidRPr="004930C2">
        <w:rPr>
          <w:color w:val="000000" w:themeColor="text1"/>
          <w:sz w:val="20"/>
        </w:rPr>
        <w:t xml:space="preserve">Zheng H, Wang Z, Deng X, Herbert S, Xing B (2013) Impacts of adding biochar on nitrogen retention and bioavailability in agricultural soil. </w:t>
      </w:r>
      <w:proofErr w:type="spellStart"/>
      <w:r w:rsidRPr="004930C2">
        <w:rPr>
          <w:color w:val="000000" w:themeColor="text1"/>
          <w:sz w:val="20"/>
        </w:rPr>
        <w:t>Geoderma</w:t>
      </w:r>
      <w:proofErr w:type="spellEnd"/>
      <w:r w:rsidRPr="004930C2">
        <w:rPr>
          <w:color w:val="000000" w:themeColor="text1"/>
          <w:sz w:val="20"/>
        </w:rPr>
        <w:t xml:space="preserve"> 206:32-39. https://doi.org/10.1016/j.geoderma.2013.04.018</w:t>
      </w:r>
    </w:p>
    <w:p w14:paraId="2594369F" w14:textId="328AFA5D" w:rsidR="00A114F9" w:rsidRPr="004930C2" w:rsidRDefault="00A114F9" w:rsidP="00330D39">
      <w:pPr>
        <w:autoSpaceDE w:val="0"/>
        <w:autoSpaceDN w:val="0"/>
        <w:adjustRightInd w:val="0"/>
        <w:spacing w:line="480" w:lineRule="auto"/>
        <w:ind w:left="480" w:hanging="480"/>
        <w:rPr>
          <w:color w:val="000000" w:themeColor="text1"/>
          <w:sz w:val="20"/>
        </w:rPr>
      </w:pPr>
      <w:r w:rsidRPr="004930C2">
        <w:rPr>
          <w:color w:val="000000" w:themeColor="text1"/>
          <w:sz w:val="20"/>
        </w:rPr>
        <w:t xml:space="preserve">Zimmerman AR, Gao B, </w:t>
      </w:r>
      <w:proofErr w:type="spellStart"/>
      <w:r w:rsidRPr="004930C2">
        <w:rPr>
          <w:color w:val="000000" w:themeColor="text1"/>
          <w:sz w:val="20"/>
        </w:rPr>
        <w:t>Ahn</w:t>
      </w:r>
      <w:proofErr w:type="spellEnd"/>
      <w:r w:rsidRPr="004930C2">
        <w:rPr>
          <w:color w:val="000000" w:themeColor="text1"/>
          <w:sz w:val="20"/>
        </w:rPr>
        <w:t xml:space="preserve"> MY (2011) Positive and negative carbon mineralization priming effects among a variety of biochar-amended soils. Soil Biol </w:t>
      </w:r>
      <w:proofErr w:type="spellStart"/>
      <w:r w:rsidRPr="004930C2">
        <w:rPr>
          <w:color w:val="000000" w:themeColor="text1"/>
          <w:sz w:val="20"/>
        </w:rPr>
        <w:t>Biochem</w:t>
      </w:r>
      <w:proofErr w:type="spellEnd"/>
      <w:r w:rsidRPr="004930C2">
        <w:rPr>
          <w:color w:val="000000" w:themeColor="text1"/>
          <w:sz w:val="20"/>
        </w:rPr>
        <w:t xml:space="preserve"> 43:1169-1179. https://doi.org/10.1016/j.soilbio.2011.02.005</w:t>
      </w:r>
    </w:p>
    <w:p w14:paraId="36008ED0" w14:textId="48ABD0C8" w:rsidR="00A63D73" w:rsidRPr="004930C2" w:rsidRDefault="00A63D73" w:rsidP="00330D39">
      <w:pPr>
        <w:autoSpaceDE w:val="0"/>
        <w:autoSpaceDN w:val="0"/>
        <w:adjustRightInd w:val="0"/>
        <w:spacing w:line="480" w:lineRule="auto"/>
        <w:rPr>
          <w:color w:val="000000" w:themeColor="text1"/>
          <w:sz w:val="20"/>
        </w:rPr>
      </w:pPr>
      <w:r w:rsidRPr="004930C2">
        <w:rPr>
          <w:color w:val="000000" w:themeColor="text1"/>
          <w:sz w:val="20"/>
        </w:rPr>
        <w:br w:type="page"/>
      </w:r>
    </w:p>
    <w:p w14:paraId="36008EDD" w14:textId="28217208" w:rsidR="00A63D73" w:rsidRPr="004930C2" w:rsidRDefault="00A63D73" w:rsidP="00330D39">
      <w:pPr>
        <w:autoSpaceDE w:val="0"/>
        <w:autoSpaceDN w:val="0"/>
        <w:adjustRightInd w:val="0"/>
        <w:spacing w:line="480" w:lineRule="auto"/>
        <w:rPr>
          <w:color w:val="000000" w:themeColor="text1"/>
          <w:sz w:val="20"/>
        </w:rPr>
      </w:pPr>
      <w:r w:rsidRPr="004930C2">
        <w:rPr>
          <w:color w:val="000000" w:themeColor="text1"/>
          <w:sz w:val="20"/>
        </w:rPr>
        <w:lastRenderedPageBreak/>
        <w:t xml:space="preserve">Table 1. Experimental </w:t>
      </w:r>
      <w:r w:rsidR="004572CC" w:rsidRPr="004930C2">
        <w:rPr>
          <w:color w:val="000000" w:themeColor="text1"/>
          <w:sz w:val="20"/>
        </w:rPr>
        <w:t>setup: treatment,</w:t>
      </w:r>
      <w:r w:rsidRPr="004930C2">
        <w:rPr>
          <w:color w:val="000000" w:themeColor="text1"/>
          <w:sz w:val="20"/>
        </w:rPr>
        <w:t xml:space="preserve"> application rate of compost, wood biochar (</w:t>
      </w:r>
      <w:r w:rsidR="00F5577D" w:rsidRPr="004930C2">
        <w:rPr>
          <w:color w:val="000000" w:themeColor="text1"/>
          <w:sz w:val="20"/>
        </w:rPr>
        <w:t>WD</w:t>
      </w:r>
      <w:r w:rsidR="00F5577D" w:rsidRPr="004930C2">
        <w:rPr>
          <w:color w:val="000000" w:themeColor="text1"/>
          <w:sz w:val="20"/>
          <w:vertAlign w:val="subscript"/>
        </w:rPr>
        <w:t>BC</w:t>
      </w:r>
      <w:r w:rsidRPr="004930C2">
        <w:rPr>
          <w:color w:val="000000" w:themeColor="text1"/>
          <w:sz w:val="20"/>
        </w:rPr>
        <w:t>), and dairy manure biochar (</w:t>
      </w:r>
      <w:r w:rsidR="00F5577D" w:rsidRPr="004930C2">
        <w:rPr>
          <w:color w:val="000000" w:themeColor="text1"/>
          <w:sz w:val="20"/>
        </w:rPr>
        <w:t>DM</w:t>
      </w:r>
      <w:r w:rsidR="00F5577D" w:rsidRPr="004930C2">
        <w:rPr>
          <w:color w:val="000000" w:themeColor="text1"/>
          <w:sz w:val="20"/>
          <w:vertAlign w:val="subscript"/>
        </w:rPr>
        <w:t>BC</w:t>
      </w:r>
      <w:r w:rsidRPr="004930C2">
        <w:rPr>
          <w:color w:val="000000" w:themeColor="text1"/>
          <w:sz w:val="20"/>
        </w:rPr>
        <w:t xml:space="preserve">), and total nitrogen input </w:t>
      </w:r>
      <w:r w:rsidR="00444053" w:rsidRPr="004930C2">
        <w:rPr>
          <w:color w:val="000000" w:themeColor="text1"/>
          <w:sz w:val="20"/>
        </w:rPr>
        <w:t>per</w:t>
      </w:r>
      <w:r w:rsidRPr="004930C2">
        <w:rPr>
          <w:color w:val="000000" w:themeColor="text1"/>
          <w:sz w:val="20"/>
        </w:rPr>
        <w:t xml:space="preserve"> application.</w:t>
      </w:r>
    </w:p>
    <w:tbl>
      <w:tblPr>
        <w:tblW w:w="8380" w:type="dxa"/>
        <w:tblCellMar>
          <w:left w:w="99" w:type="dxa"/>
          <w:right w:w="99" w:type="dxa"/>
        </w:tblCellMar>
        <w:tblLook w:val="04A0" w:firstRow="1" w:lastRow="0" w:firstColumn="1" w:lastColumn="0" w:noHBand="0" w:noVBand="1"/>
      </w:tblPr>
      <w:tblGrid>
        <w:gridCol w:w="3260"/>
        <w:gridCol w:w="1420"/>
        <w:gridCol w:w="1040"/>
        <w:gridCol w:w="1040"/>
        <w:gridCol w:w="1620"/>
      </w:tblGrid>
      <w:tr w:rsidR="00A25083" w:rsidRPr="004930C2" w14:paraId="23C4217D" w14:textId="77777777" w:rsidTr="00A76F54">
        <w:trPr>
          <w:trHeight w:val="360"/>
        </w:trPr>
        <w:tc>
          <w:tcPr>
            <w:tcW w:w="3260" w:type="dxa"/>
            <w:vMerge w:val="restart"/>
            <w:tcBorders>
              <w:top w:val="single" w:sz="4" w:space="0" w:color="auto"/>
              <w:left w:val="nil"/>
              <w:bottom w:val="single" w:sz="4" w:space="0" w:color="000000"/>
              <w:right w:val="nil"/>
            </w:tcBorders>
            <w:shd w:val="clear" w:color="000000" w:fill="FFFFFF"/>
            <w:vAlign w:val="center"/>
            <w:hideMark/>
          </w:tcPr>
          <w:p w14:paraId="206B1ADC" w14:textId="670DC032" w:rsidR="008B5C89" w:rsidRPr="004930C2" w:rsidRDefault="008B5C89" w:rsidP="00A52F28">
            <w:pPr>
              <w:spacing w:line="480" w:lineRule="auto"/>
              <w:jc w:val="center"/>
              <w:rPr>
                <w:color w:val="000000" w:themeColor="text1"/>
                <w:sz w:val="20"/>
              </w:rPr>
            </w:pPr>
            <w:r w:rsidRPr="004930C2">
              <w:rPr>
                <w:color w:val="000000" w:themeColor="text1"/>
                <w:sz w:val="20"/>
              </w:rPr>
              <w:t xml:space="preserve">Experimental </w:t>
            </w:r>
            <w:r w:rsidR="00701677" w:rsidRPr="004930C2">
              <w:rPr>
                <w:color w:val="000000" w:themeColor="text1"/>
                <w:sz w:val="20"/>
              </w:rPr>
              <w:t>treatment</w:t>
            </w:r>
          </w:p>
        </w:tc>
        <w:tc>
          <w:tcPr>
            <w:tcW w:w="1420" w:type="dxa"/>
            <w:vMerge w:val="restart"/>
            <w:tcBorders>
              <w:top w:val="single" w:sz="4" w:space="0" w:color="auto"/>
              <w:left w:val="nil"/>
              <w:bottom w:val="nil"/>
              <w:right w:val="nil"/>
            </w:tcBorders>
            <w:shd w:val="clear" w:color="000000" w:fill="FFFFFF"/>
            <w:vAlign w:val="center"/>
            <w:hideMark/>
          </w:tcPr>
          <w:p w14:paraId="47F23034" w14:textId="77777777" w:rsidR="008B5C89" w:rsidRPr="004930C2" w:rsidRDefault="008B5C89" w:rsidP="00A52F28">
            <w:pPr>
              <w:spacing w:line="480" w:lineRule="auto"/>
              <w:jc w:val="center"/>
              <w:rPr>
                <w:color w:val="000000" w:themeColor="text1"/>
                <w:sz w:val="20"/>
              </w:rPr>
            </w:pPr>
            <w:r w:rsidRPr="004930C2">
              <w:rPr>
                <w:color w:val="000000" w:themeColor="text1"/>
                <w:sz w:val="20"/>
              </w:rPr>
              <w:t>Compost</w:t>
            </w:r>
          </w:p>
        </w:tc>
        <w:tc>
          <w:tcPr>
            <w:tcW w:w="2080" w:type="dxa"/>
            <w:gridSpan w:val="2"/>
            <w:tcBorders>
              <w:top w:val="single" w:sz="4" w:space="0" w:color="auto"/>
              <w:left w:val="nil"/>
              <w:bottom w:val="single" w:sz="4" w:space="0" w:color="auto"/>
              <w:right w:val="nil"/>
            </w:tcBorders>
            <w:shd w:val="clear" w:color="000000" w:fill="FFFFFF"/>
            <w:vAlign w:val="center"/>
            <w:hideMark/>
          </w:tcPr>
          <w:p w14:paraId="31302344" w14:textId="77777777" w:rsidR="008B5C89" w:rsidRPr="004930C2" w:rsidRDefault="008B5C89" w:rsidP="00A52F28">
            <w:pPr>
              <w:spacing w:line="480" w:lineRule="auto"/>
              <w:jc w:val="center"/>
              <w:rPr>
                <w:color w:val="000000" w:themeColor="text1"/>
                <w:sz w:val="20"/>
              </w:rPr>
            </w:pPr>
            <w:r w:rsidRPr="004930C2">
              <w:rPr>
                <w:color w:val="000000" w:themeColor="text1"/>
                <w:sz w:val="20"/>
              </w:rPr>
              <w:t>Biochar (BC)</w:t>
            </w:r>
          </w:p>
        </w:tc>
        <w:tc>
          <w:tcPr>
            <w:tcW w:w="1620" w:type="dxa"/>
            <w:vMerge w:val="restart"/>
            <w:tcBorders>
              <w:top w:val="single" w:sz="4" w:space="0" w:color="auto"/>
              <w:left w:val="nil"/>
              <w:bottom w:val="nil"/>
              <w:right w:val="nil"/>
            </w:tcBorders>
            <w:shd w:val="clear" w:color="000000" w:fill="FFFFFF"/>
            <w:noWrap/>
            <w:vAlign w:val="center"/>
            <w:hideMark/>
          </w:tcPr>
          <w:p w14:paraId="1EC5C285" w14:textId="77777777" w:rsidR="008B5C89" w:rsidRPr="004930C2" w:rsidRDefault="008B5C89" w:rsidP="00A52F28">
            <w:pPr>
              <w:spacing w:line="480" w:lineRule="auto"/>
              <w:jc w:val="center"/>
              <w:rPr>
                <w:color w:val="000000" w:themeColor="text1"/>
                <w:sz w:val="20"/>
              </w:rPr>
            </w:pPr>
            <w:r w:rsidRPr="004930C2">
              <w:rPr>
                <w:color w:val="000000" w:themeColor="text1"/>
                <w:sz w:val="20"/>
              </w:rPr>
              <w:t>Nitrogen input</w:t>
            </w:r>
          </w:p>
        </w:tc>
      </w:tr>
      <w:tr w:rsidR="00A25083" w:rsidRPr="004930C2" w14:paraId="3F2EBACF" w14:textId="77777777" w:rsidTr="008B5C89">
        <w:trPr>
          <w:trHeight w:val="360"/>
        </w:trPr>
        <w:tc>
          <w:tcPr>
            <w:tcW w:w="3260" w:type="dxa"/>
            <w:vMerge/>
            <w:tcBorders>
              <w:top w:val="single" w:sz="12" w:space="0" w:color="auto"/>
              <w:left w:val="nil"/>
              <w:bottom w:val="single" w:sz="4" w:space="0" w:color="000000"/>
              <w:right w:val="nil"/>
            </w:tcBorders>
            <w:vAlign w:val="center"/>
            <w:hideMark/>
          </w:tcPr>
          <w:p w14:paraId="36458297" w14:textId="77777777" w:rsidR="008B5C89" w:rsidRPr="004930C2" w:rsidRDefault="008B5C89" w:rsidP="00A52F28">
            <w:pPr>
              <w:spacing w:line="480" w:lineRule="auto"/>
              <w:rPr>
                <w:color w:val="000000" w:themeColor="text1"/>
                <w:sz w:val="20"/>
              </w:rPr>
            </w:pPr>
          </w:p>
        </w:tc>
        <w:tc>
          <w:tcPr>
            <w:tcW w:w="1420" w:type="dxa"/>
            <w:vMerge/>
            <w:tcBorders>
              <w:top w:val="single" w:sz="12" w:space="0" w:color="auto"/>
              <w:left w:val="nil"/>
              <w:bottom w:val="nil"/>
              <w:right w:val="nil"/>
            </w:tcBorders>
            <w:vAlign w:val="center"/>
            <w:hideMark/>
          </w:tcPr>
          <w:p w14:paraId="23AFADF4" w14:textId="77777777" w:rsidR="008B5C89" w:rsidRPr="004930C2" w:rsidRDefault="008B5C89" w:rsidP="00A52F28">
            <w:pPr>
              <w:spacing w:line="480" w:lineRule="auto"/>
              <w:rPr>
                <w:color w:val="000000" w:themeColor="text1"/>
                <w:sz w:val="20"/>
              </w:rPr>
            </w:pPr>
          </w:p>
        </w:tc>
        <w:tc>
          <w:tcPr>
            <w:tcW w:w="1040" w:type="dxa"/>
            <w:tcBorders>
              <w:top w:val="nil"/>
              <w:left w:val="nil"/>
              <w:bottom w:val="nil"/>
              <w:right w:val="nil"/>
            </w:tcBorders>
            <w:shd w:val="clear" w:color="000000" w:fill="FFFFFF"/>
            <w:vAlign w:val="center"/>
            <w:hideMark/>
          </w:tcPr>
          <w:p w14:paraId="25B12DFA" w14:textId="77777777" w:rsidR="008B5C89" w:rsidRPr="004930C2" w:rsidRDefault="008B5C89" w:rsidP="00A52F28">
            <w:pPr>
              <w:spacing w:line="480" w:lineRule="auto"/>
              <w:jc w:val="center"/>
              <w:rPr>
                <w:color w:val="000000" w:themeColor="text1"/>
                <w:sz w:val="20"/>
              </w:rPr>
            </w:pPr>
            <w:r w:rsidRPr="004930C2">
              <w:rPr>
                <w:color w:val="000000" w:themeColor="text1"/>
                <w:sz w:val="20"/>
              </w:rPr>
              <w:t>WD</w:t>
            </w:r>
          </w:p>
        </w:tc>
        <w:tc>
          <w:tcPr>
            <w:tcW w:w="1040" w:type="dxa"/>
            <w:tcBorders>
              <w:top w:val="nil"/>
              <w:left w:val="nil"/>
              <w:bottom w:val="nil"/>
              <w:right w:val="nil"/>
            </w:tcBorders>
            <w:shd w:val="clear" w:color="000000" w:fill="FFFFFF"/>
            <w:vAlign w:val="center"/>
            <w:hideMark/>
          </w:tcPr>
          <w:p w14:paraId="193D9C7A" w14:textId="77777777" w:rsidR="008B5C89" w:rsidRPr="004930C2" w:rsidRDefault="008B5C89" w:rsidP="00A52F28">
            <w:pPr>
              <w:spacing w:line="480" w:lineRule="auto"/>
              <w:jc w:val="center"/>
              <w:rPr>
                <w:color w:val="000000" w:themeColor="text1"/>
                <w:sz w:val="20"/>
              </w:rPr>
            </w:pPr>
            <w:r w:rsidRPr="004930C2">
              <w:rPr>
                <w:color w:val="000000" w:themeColor="text1"/>
                <w:sz w:val="20"/>
              </w:rPr>
              <w:t>DM</w:t>
            </w:r>
          </w:p>
        </w:tc>
        <w:tc>
          <w:tcPr>
            <w:tcW w:w="1620" w:type="dxa"/>
            <w:vMerge/>
            <w:tcBorders>
              <w:top w:val="single" w:sz="12" w:space="0" w:color="auto"/>
              <w:left w:val="nil"/>
              <w:bottom w:val="nil"/>
              <w:right w:val="nil"/>
            </w:tcBorders>
            <w:vAlign w:val="center"/>
            <w:hideMark/>
          </w:tcPr>
          <w:p w14:paraId="6BA8A0D3" w14:textId="77777777" w:rsidR="008B5C89" w:rsidRPr="004930C2" w:rsidRDefault="008B5C89" w:rsidP="00A52F28">
            <w:pPr>
              <w:spacing w:line="480" w:lineRule="auto"/>
              <w:rPr>
                <w:color w:val="000000" w:themeColor="text1"/>
                <w:sz w:val="20"/>
              </w:rPr>
            </w:pPr>
          </w:p>
        </w:tc>
      </w:tr>
      <w:tr w:rsidR="00A25083" w:rsidRPr="004930C2" w14:paraId="44B4342C" w14:textId="77777777" w:rsidTr="008B5C89">
        <w:trPr>
          <w:trHeight w:val="360"/>
        </w:trPr>
        <w:tc>
          <w:tcPr>
            <w:tcW w:w="3260" w:type="dxa"/>
            <w:vMerge/>
            <w:tcBorders>
              <w:top w:val="single" w:sz="12" w:space="0" w:color="auto"/>
              <w:left w:val="nil"/>
              <w:bottom w:val="single" w:sz="4" w:space="0" w:color="000000"/>
              <w:right w:val="nil"/>
            </w:tcBorders>
            <w:vAlign w:val="center"/>
            <w:hideMark/>
          </w:tcPr>
          <w:p w14:paraId="7EC17049" w14:textId="77777777" w:rsidR="008B5C89" w:rsidRPr="004930C2" w:rsidRDefault="008B5C89" w:rsidP="00A52F28">
            <w:pPr>
              <w:spacing w:line="480" w:lineRule="auto"/>
              <w:rPr>
                <w:color w:val="000000" w:themeColor="text1"/>
                <w:sz w:val="20"/>
              </w:rPr>
            </w:pPr>
          </w:p>
        </w:tc>
        <w:tc>
          <w:tcPr>
            <w:tcW w:w="1420" w:type="dxa"/>
            <w:tcBorders>
              <w:top w:val="nil"/>
              <w:left w:val="nil"/>
              <w:bottom w:val="single" w:sz="4" w:space="0" w:color="auto"/>
              <w:right w:val="nil"/>
            </w:tcBorders>
            <w:shd w:val="clear" w:color="000000" w:fill="FFFFFF"/>
            <w:vAlign w:val="center"/>
            <w:hideMark/>
          </w:tcPr>
          <w:p w14:paraId="5DFD9F99" w14:textId="77777777" w:rsidR="008B5C89" w:rsidRPr="004930C2" w:rsidRDefault="008B5C89" w:rsidP="00A52F28">
            <w:pPr>
              <w:spacing w:line="480" w:lineRule="auto"/>
              <w:jc w:val="center"/>
              <w:rPr>
                <w:color w:val="000000" w:themeColor="text1"/>
                <w:sz w:val="20"/>
              </w:rPr>
            </w:pPr>
            <w:r w:rsidRPr="004930C2">
              <w:rPr>
                <w:color w:val="000000" w:themeColor="text1"/>
                <w:sz w:val="20"/>
              </w:rPr>
              <w:t>(g-wet pot</w:t>
            </w:r>
            <w:r w:rsidRPr="004930C2">
              <w:rPr>
                <w:color w:val="000000" w:themeColor="text1"/>
                <w:sz w:val="20"/>
                <w:vertAlign w:val="superscript"/>
              </w:rPr>
              <w:t>−1</w:t>
            </w:r>
            <w:r w:rsidRPr="004930C2">
              <w:rPr>
                <w:color w:val="000000" w:themeColor="text1"/>
                <w:sz w:val="20"/>
              </w:rPr>
              <w:t>)</w:t>
            </w:r>
          </w:p>
        </w:tc>
        <w:tc>
          <w:tcPr>
            <w:tcW w:w="2080" w:type="dxa"/>
            <w:gridSpan w:val="2"/>
            <w:tcBorders>
              <w:top w:val="nil"/>
              <w:left w:val="nil"/>
              <w:bottom w:val="single" w:sz="4" w:space="0" w:color="auto"/>
              <w:right w:val="nil"/>
            </w:tcBorders>
            <w:shd w:val="clear" w:color="000000" w:fill="FFFFFF"/>
            <w:vAlign w:val="center"/>
            <w:hideMark/>
          </w:tcPr>
          <w:p w14:paraId="65E08CD1" w14:textId="77777777" w:rsidR="008B5C89" w:rsidRPr="004930C2" w:rsidRDefault="008B5C89" w:rsidP="00A52F28">
            <w:pPr>
              <w:spacing w:line="480" w:lineRule="auto"/>
              <w:jc w:val="center"/>
              <w:rPr>
                <w:color w:val="000000" w:themeColor="text1"/>
                <w:sz w:val="20"/>
              </w:rPr>
            </w:pPr>
            <w:r w:rsidRPr="004930C2">
              <w:rPr>
                <w:color w:val="000000" w:themeColor="text1"/>
                <w:sz w:val="20"/>
              </w:rPr>
              <w:t>(g-dry pot</w:t>
            </w:r>
            <w:r w:rsidRPr="004930C2">
              <w:rPr>
                <w:color w:val="000000" w:themeColor="text1"/>
                <w:sz w:val="20"/>
                <w:vertAlign w:val="superscript"/>
              </w:rPr>
              <w:t>−1</w:t>
            </w:r>
            <w:r w:rsidRPr="004930C2">
              <w:rPr>
                <w:color w:val="000000" w:themeColor="text1"/>
                <w:sz w:val="20"/>
              </w:rPr>
              <w:t>)</w:t>
            </w:r>
          </w:p>
        </w:tc>
        <w:tc>
          <w:tcPr>
            <w:tcW w:w="1620" w:type="dxa"/>
            <w:tcBorders>
              <w:top w:val="nil"/>
              <w:left w:val="nil"/>
              <w:bottom w:val="single" w:sz="4" w:space="0" w:color="auto"/>
              <w:right w:val="nil"/>
            </w:tcBorders>
            <w:shd w:val="clear" w:color="000000" w:fill="FFFFFF"/>
            <w:vAlign w:val="center"/>
            <w:hideMark/>
          </w:tcPr>
          <w:p w14:paraId="72871EC4" w14:textId="77777777" w:rsidR="008B5C89" w:rsidRPr="004930C2" w:rsidRDefault="008B5C89" w:rsidP="00A52F28">
            <w:pPr>
              <w:spacing w:line="480" w:lineRule="auto"/>
              <w:jc w:val="center"/>
              <w:rPr>
                <w:color w:val="000000" w:themeColor="text1"/>
                <w:sz w:val="20"/>
              </w:rPr>
            </w:pPr>
            <w:r w:rsidRPr="004930C2">
              <w:rPr>
                <w:color w:val="000000" w:themeColor="text1"/>
                <w:sz w:val="20"/>
              </w:rPr>
              <w:t>(mg-dry pot</w:t>
            </w:r>
            <w:r w:rsidRPr="004930C2">
              <w:rPr>
                <w:color w:val="000000" w:themeColor="text1"/>
                <w:sz w:val="20"/>
                <w:vertAlign w:val="superscript"/>
              </w:rPr>
              <w:t>−1</w:t>
            </w:r>
            <w:r w:rsidRPr="004930C2">
              <w:rPr>
                <w:color w:val="000000" w:themeColor="text1"/>
                <w:sz w:val="20"/>
              </w:rPr>
              <w:t>)</w:t>
            </w:r>
          </w:p>
        </w:tc>
      </w:tr>
      <w:tr w:rsidR="00A25083" w:rsidRPr="004930C2" w14:paraId="7C9BEEDB" w14:textId="77777777" w:rsidTr="008B5C89">
        <w:trPr>
          <w:trHeight w:val="360"/>
        </w:trPr>
        <w:tc>
          <w:tcPr>
            <w:tcW w:w="3260" w:type="dxa"/>
            <w:tcBorders>
              <w:top w:val="nil"/>
              <w:left w:val="nil"/>
              <w:bottom w:val="nil"/>
              <w:right w:val="nil"/>
            </w:tcBorders>
            <w:shd w:val="clear" w:color="000000" w:fill="FFFFFF"/>
            <w:noWrap/>
            <w:vAlign w:val="center"/>
            <w:hideMark/>
          </w:tcPr>
          <w:p w14:paraId="50425646" w14:textId="473B2939" w:rsidR="008B5C89" w:rsidRPr="004930C2" w:rsidRDefault="008B5C89" w:rsidP="00A52F28">
            <w:pPr>
              <w:spacing w:line="480" w:lineRule="auto"/>
              <w:rPr>
                <w:color w:val="000000" w:themeColor="text1"/>
                <w:sz w:val="20"/>
              </w:rPr>
            </w:pPr>
            <w:r w:rsidRPr="004930C2">
              <w:rPr>
                <w:color w:val="000000" w:themeColor="text1"/>
                <w:sz w:val="20"/>
              </w:rPr>
              <w:t>I.   Compost</w:t>
            </w:r>
          </w:p>
        </w:tc>
        <w:tc>
          <w:tcPr>
            <w:tcW w:w="1420" w:type="dxa"/>
            <w:tcBorders>
              <w:top w:val="nil"/>
              <w:left w:val="nil"/>
              <w:bottom w:val="nil"/>
              <w:right w:val="nil"/>
            </w:tcBorders>
            <w:shd w:val="clear" w:color="000000" w:fill="FFFFFF"/>
            <w:noWrap/>
            <w:vAlign w:val="center"/>
            <w:hideMark/>
          </w:tcPr>
          <w:p w14:paraId="1BF4908D" w14:textId="77777777" w:rsidR="008B5C89" w:rsidRPr="004930C2" w:rsidRDefault="008B5C89" w:rsidP="00A52F28">
            <w:pPr>
              <w:spacing w:line="480" w:lineRule="auto"/>
              <w:jc w:val="center"/>
              <w:rPr>
                <w:color w:val="000000" w:themeColor="text1"/>
                <w:sz w:val="20"/>
              </w:rPr>
            </w:pPr>
            <w:r w:rsidRPr="004930C2">
              <w:rPr>
                <w:color w:val="000000" w:themeColor="text1"/>
                <w:sz w:val="20"/>
              </w:rPr>
              <w:t>48.7</w:t>
            </w:r>
          </w:p>
        </w:tc>
        <w:tc>
          <w:tcPr>
            <w:tcW w:w="1040" w:type="dxa"/>
            <w:tcBorders>
              <w:top w:val="nil"/>
              <w:left w:val="nil"/>
              <w:bottom w:val="nil"/>
              <w:right w:val="nil"/>
            </w:tcBorders>
            <w:shd w:val="clear" w:color="000000" w:fill="FFFFFF"/>
            <w:noWrap/>
            <w:vAlign w:val="center"/>
            <w:hideMark/>
          </w:tcPr>
          <w:p w14:paraId="105A31E4" w14:textId="2743480E" w:rsidR="008B5C89" w:rsidRPr="004930C2" w:rsidRDefault="008B5C89" w:rsidP="00A52F28">
            <w:pPr>
              <w:spacing w:line="480" w:lineRule="auto"/>
              <w:jc w:val="center"/>
              <w:rPr>
                <w:color w:val="000000" w:themeColor="text1"/>
                <w:sz w:val="20"/>
              </w:rPr>
            </w:pPr>
          </w:p>
        </w:tc>
        <w:tc>
          <w:tcPr>
            <w:tcW w:w="1040" w:type="dxa"/>
            <w:tcBorders>
              <w:top w:val="nil"/>
              <w:left w:val="nil"/>
              <w:bottom w:val="nil"/>
              <w:right w:val="nil"/>
            </w:tcBorders>
            <w:shd w:val="clear" w:color="000000" w:fill="FFFFFF"/>
            <w:noWrap/>
            <w:vAlign w:val="center"/>
            <w:hideMark/>
          </w:tcPr>
          <w:p w14:paraId="6F38A1EF" w14:textId="5B300319" w:rsidR="008B5C89" w:rsidRPr="004930C2" w:rsidRDefault="008B5C89" w:rsidP="00A52F28">
            <w:pPr>
              <w:spacing w:line="480" w:lineRule="auto"/>
              <w:jc w:val="center"/>
              <w:rPr>
                <w:color w:val="000000" w:themeColor="text1"/>
                <w:sz w:val="20"/>
              </w:rPr>
            </w:pPr>
          </w:p>
        </w:tc>
        <w:tc>
          <w:tcPr>
            <w:tcW w:w="1620" w:type="dxa"/>
            <w:tcBorders>
              <w:top w:val="nil"/>
              <w:left w:val="nil"/>
              <w:bottom w:val="nil"/>
              <w:right w:val="nil"/>
            </w:tcBorders>
            <w:shd w:val="clear" w:color="000000" w:fill="FFFFFF"/>
            <w:noWrap/>
            <w:vAlign w:val="center"/>
            <w:hideMark/>
          </w:tcPr>
          <w:p w14:paraId="6AA9512C" w14:textId="77777777" w:rsidR="008B5C89" w:rsidRPr="004930C2" w:rsidRDefault="008B5C89" w:rsidP="00A52F28">
            <w:pPr>
              <w:spacing w:line="480" w:lineRule="auto"/>
              <w:jc w:val="center"/>
              <w:rPr>
                <w:color w:val="000000" w:themeColor="text1"/>
                <w:sz w:val="20"/>
              </w:rPr>
            </w:pPr>
            <w:r w:rsidRPr="004930C2">
              <w:rPr>
                <w:color w:val="000000" w:themeColor="text1"/>
                <w:sz w:val="20"/>
              </w:rPr>
              <w:t>356.2</w:t>
            </w:r>
          </w:p>
        </w:tc>
      </w:tr>
      <w:tr w:rsidR="00A25083" w:rsidRPr="004930C2" w14:paraId="470EDBE8" w14:textId="77777777" w:rsidTr="008B5C89">
        <w:trPr>
          <w:trHeight w:val="360"/>
        </w:trPr>
        <w:tc>
          <w:tcPr>
            <w:tcW w:w="3260" w:type="dxa"/>
            <w:tcBorders>
              <w:top w:val="nil"/>
              <w:left w:val="nil"/>
              <w:bottom w:val="nil"/>
              <w:right w:val="nil"/>
            </w:tcBorders>
            <w:shd w:val="clear" w:color="000000" w:fill="FFFFFF"/>
            <w:noWrap/>
            <w:vAlign w:val="center"/>
            <w:hideMark/>
          </w:tcPr>
          <w:p w14:paraId="05273AA7" w14:textId="344E9F1F" w:rsidR="008B5C89" w:rsidRPr="004930C2" w:rsidRDefault="008B5C89" w:rsidP="00A52F28">
            <w:pPr>
              <w:spacing w:line="480" w:lineRule="auto"/>
              <w:rPr>
                <w:color w:val="000000" w:themeColor="text1"/>
                <w:sz w:val="20"/>
              </w:rPr>
            </w:pPr>
            <w:r w:rsidRPr="004930C2">
              <w:rPr>
                <w:color w:val="000000" w:themeColor="text1"/>
                <w:sz w:val="20"/>
              </w:rPr>
              <w:t>II.  Compost + WD</w:t>
            </w:r>
            <w:r w:rsidRPr="004930C2">
              <w:rPr>
                <w:color w:val="000000" w:themeColor="text1"/>
                <w:sz w:val="20"/>
                <w:vertAlign w:val="subscript"/>
              </w:rPr>
              <w:t>BC</w:t>
            </w:r>
            <w:r w:rsidRPr="004930C2">
              <w:rPr>
                <w:color w:val="000000" w:themeColor="text1"/>
                <w:sz w:val="20"/>
              </w:rPr>
              <w:t xml:space="preserve"> (300°C)</w:t>
            </w:r>
          </w:p>
        </w:tc>
        <w:tc>
          <w:tcPr>
            <w:tcW w:w="1420" w:type="dxa"/>
            <w:tcBorders>
              <w:top w:val="nil"/>
              <w:left w:val="nil"/>
              <w:bottom w:val="nil"/>
              <w:right w:val="nil"/>
            </w:tcBorders>
            <w:shd w:val="clear" w:color="000000" w:fill="FFFFFF"/>
            <w:noWrap/>
            <w:vAlign w:val="center"/>
            <w:hideMark/>
          </w:tcPr>
          <w:p w14:paraId="4D01CC25" w14:textId="77777777" w:rsidR="008B5C89" w:rsidRPr="004930C2" w:rsidRDefault="008B5C89" w:rsidP="00A52F28">
            <w:pPr>
              <w:spacing w:line="480" w:lineRule="auto"/>
              <w:jc w:val="center"/>
              <w:rPr>
                <w:color w:val="000000" w:themeColor="text1"/>
                <w:sz w:val="20"/>
              </w:rPr>
            </w:pPr>
            <w:r w:rsidRPr="004930C2">
              <w:rPr>
                <w:color w:val="000000" w:themeColor="text1"/>
                <w:sz w:val="20"/>
              </w:rPr>
              <w:t>48.7</w:t>
            </w:r>
          </w:p>
        </w:tc>
        <w:tc>
          <w:tcPr>
            <w:tcW w:w="1040" w:type="dxa"/>
            <w:tcBorders>
              <w:top w:val="nil"/>
              <w:left w:val="nil"/>
              <w:bottom w:val="nil"/>
              <w:right w:val="nil"/>
            </w:tcBorders>
            <w:shd w:val="clear" w:color="000000" w:fill="FFFFFF"/>
            <w:noWrap/>
            <w:vAlign w:val="center"/>
            <w:hideMark/>
          </w:tcPr>
          <w:p w14:paraId="5901791D" w14:textId="77777777" w:rsidR="008B5C89" w:rsidRPr="004930C2" w:rsidRDefault="008B5C89" w:rsidP="00A52F28">
            <w:pPr>
              <w:spacing w:line="480" w:lineRule="auto"/>
              <w:jc w:val="center"/>
              <w:rPr>
                <w:color w:val="000000" w:themeColor="text1"/>
                <w:sz w:val="20"/>
              </w:rPr>
            </w:pPr>
            <w:r w:rsidRPr="004930C2">
              <w:rPr>
                <w:color w:val="000000" w:themeColor="text1"/>
                <w:sz w:val="20"/>
              </w:rPr>
              <w:t>7.2</w:t>
            </w:r>
          </w:p>
        </w:tc>
        <w:tc>
          <w:tcPr>
            <w:tcW w:w="1040" w:type="dxa"/>
            <w:tcBorders>
              <w:top w:val="nil"/>
              <w:left w:val="nil"/>
              <w:bottom w:val="nil"/>
              <w:right w:val="nil"/>
            </w:tcBorders>
            <w:shd w:val="clear" w:color="000000" w:fill="FFFFFF"/>
            <w:noWrap/>
            <w:vAlign w:val="center"/>
            <w:hideMark/>
          </w:tcPr>
          <w:p w14:paraId="289026ED" w14:textId="5BF3B0E5" w:rsidR="008B5C89" w:rsidRPr="004930C2" w:rsidRDefault="008B5C89" w:rsidP="00A52F28">
            <w:pPr>
              <w:spacing w:line="480" w:lineRule="auto"/>
              <w:jc w:val="center"/>
              <w:rPr>
                <w:color w:val="000000" w:themeColor="text1"/>
                <w:sz w:val="20"/>
              </w:rPr>
            </w:pPr>
          </w:p>
        </w:tc>
        <w:tc>
          <w:tcPr>
            <w:tcW w:w="1620" w:type="dxa"/>
            <w:tcBorders>
              <w:top w:val="nil"/>
              <w:left w:val="nil"/>
              <w:bottom w:val="nil"/>
              <w:right w:val="nil"/>
            </w:tcBorders>
            <w:shd w:val="clear" w:color="000000" w:fill="FFFFFF"/>
            <w:noWrap/>
            <w:vAlign w:val="center"/>
            <w:hideMark/>
          </w:tcPr>
          <w:p w14:paraId="3D322053" w14:textId="77777777" w:rsidR="008B5C89" w:rsidRPr="004930C2" w:rsidRDefault="008B5C89" w:rsidP="00A52F28">
            <w:pPr>
              <w:spacing w:line="480" w:lineRule="auto"/>
              <w:jc w:val="center"/>
              <w:rPr>
                <w:color w:val="000000" w:themeColor="text1"/>
                <w:sz w:val="20"/>
              </w:rPr>
            </w:pPr>
            <w:r w:rsidRPr="004930C2">
              <w:rPr>
                <w:color w:val="000000" w:themeColor="text1"/>
                <w:sz w:val="20"/>
              </w:rPr>
              <w:t>356.2</w:t>
            </w:r>
          </w:p>
        </w:tc>
      </w:tr>
      <w:tr w:rsidR="00A25083" w:rsidRPr="004930C2" w14:paraId="501F2503" w14:textId="77777777" w:rsidTr="008B5C89">
        <w:trPr>
          <w:trHeight w:val="360"/>
        </w:trPr>
        <w:tc>
          <w:tcPr>
            <w:tcW w:w="3260" w:type="dxa"/>
            <w:tcBorders>
              <w:top w:val="nil"/>
              <w:left w:val="nil"/>
              <w:bottom w:val="nil"/>
              <w:right w:val="nil"/>
            </w:tcBorders>
            <w:shd w:val="clear" w:color="000000" w:fill="FFFFFF"/>
            <w:noWrap/>
            <w:vAlign w:val="center"/>
            <w:hideMark/>
          </w:tcPr>
          <w:p w14:paraId="20171F43" w14:textId="6AD624CC" w:rsidR="008B5C89" w:rsidRPr="004930C2" w:rsidRDefault="008B5C89" w:rsidP="00A52F28">
            <w:pPr>
              <w:spacing w:line="480" w:lineRule="auto"/>
              <w:rPr>
                <w:color w:val="000000" w:themeColor="text1"/>
                <w:sz w:val="20"/>
              </w:rPr>
            </w:pPr>
            <w:r w:rsidRPr="004930C2">
              <w:rPr>
                <w:color w:val="000000" w:themeColor="text1"/>
                <w:sz w:val="20"/>
              </w:rPr>
              <w:t>III.  Compost + WD</w:t>
            </w:r>
            <w:r w:rsidRPr="004930C2">
              <w:rPr>
                <w:color w:val="000000" w:themeColor="text1"/>
                <w:sz w:val="20"/>
                <w:vertAlign w:val="subscript"/>
              </w:rPr>
              <w:t>BC</w:t>
            </w:r>
            <w:r w:rsidRPr="004930C2">
              <w:rPr>
                <w:color w:val="000000" w:themeColor="text1"/>
                <w:sz w:val="20"/>
              </w:rPr>
              <w:t xml:space="preserve"> (450°C)</w:t>
            </w:r>
          </w:p>
        </w:tc>
        <w:tc>
          <w:tcPr>
            <w:tcW w:w="1420" w:type="dxa"/>
            <w:tcBorders>
              <w:top w:val="nil"/>
              <w:left w:val="nil"/>
              <w:bottom w:val="nil"/>
              <w:right w:val="nil"/>
            </w:tcBorders>
            <w:shd w:val="clear" w:color="000000" w:fill="FFFFFF"/>
            <w:noWrap/>
            <w:vAlign w:val="center"/>
            <w:hideMark/>
          </w:tcPr>
          <w:p w14:paraId="321707DC" w14:textId="77777777" w:rsidR="008B5C89" w:rsidRPr="004930C2" w:rsidRDefault="008B5C89" w:rsidP="00A52F28">
            <w:pPr>
              <w:spacing w:line="480" w:lineRule="auto"/>
              <w:jc w:val="center"/>
              <w:rPr>
                <w:color w:val="000000" w:themeColor="text1"/>
                <w:sz w:val="20"/>
              </w:rPr>
            </w:pPr>
            <w:r w:rsidRPr="004930C2">
              <w:rPr>
                <w:color w:val="000000" w:themeColor="text1"/>
                <w:sz w:val="20"/>
              </w:rPr>
              <w:t>48.7</w:t>
            </w:r>
          </w:p>
        </w:tc>
        <w:tc>
          <w:tcPr>
            <w:tcW w:w="1040" w:type="dxa"/>
            <w:tcBorders>
              <w:top w:val="nil"/>
              <w:left w:val="nil"/>
              <w:bottom w:val="nil"/>
              <w:right w:val="nil"/>
            </w:tcBorders>
            <w:shd w:val="clear" w:color="000000" w:fill="FFFFFF"/>
            <w:noWrap/>
            <w:vAlign w:val="center"/>
            <w:hideMark/>
          </w:tcPr>
          <w:p w14:paraId="38955771" w14:textId="77777777" w:rsidR="008B5C89" w:rsidRPr="004930C2" w:rsidRDefault="008B5C89" w:rsidP="00A52F28">
            <w:pPr>
              <w:spacing w:line="480" w:lineRule="auto"/>
              <w:jc w:val="center"/>
              <w:rPr>
                <w:color w:val="000000" w:themeColor="text1"/>
                <w:sz w:val="20"/>
              </w:rPr>
            </w:pPr>
            <w:r w:rsidRPr="004930C2">
              <w:rPr>
                <w:color w:val="000000" w:themeColor="text1"/>
                <w:sz w:val="20"/>
              </w:rPr>
              <w:t>7.2</w:t>
            </w:r>
          </w:p>
        </w:tc>
        <w:tc>
          <w:tcPr>
            <w:tcW w:w="1040" w:type="dxa"/>
            <w:tcBorders>
              <w:top w:val="nil"/>
              <w:left w:val="nil"/>
              <w:bottom w:val="nil"/>
              <w:right w:val="nil"/>
            </w:tcBorders>
            <w:shd w:val="clear" w:color="000000" w:fill="FFFFFF"/>
            <w:noWrap/>
            <w:vAlign w:val="center"/>
            <w:hideMark/>
          </w:tcPr>
          <w:p w14:paraId="54485FB1" w14:textId="2ED620BA" w:rsidR="008B5C89" w:rsidRPr="004930C2" w:rsidRDefault="008B5C89" w:rsidP="00A52F28">
            <w:pPr>
              <w:spacing w:line="480" w:lineRule="auto"/>
              <w:jc w:val="center"/>
              <w:rPr>
                <w:color w:val="000000" w:themeColor="text1"/>
                <w:sz w:val="20"/>
              </w:rPr>
            </w:pPr>
          </w:p>
        </w:tc>
        <w:tc>
          <w:tcPr>
            <w:tcW w:w="1620" w:type="dxa"/>
            <w:tcBorders>
              <w:top w:val="nil"/>
              <w:left w:val="nil"/>
              <w:bottom w:val="nil"/>
              <w:right w:val="nil"/>
            </w:tcBorders>
            <w:shd w:val="clear" w:color="000000" w:fill="FFFFFF"/>
            <w:noWrap/>
            <w:vAlign w:val="center"/>
            <w:hideMark/>
          </w:tcPr>
          <w:p w14:paraId="778BFABD" w14:textId="77777777" w:rsidR="008B5C89" w:rsidRPr="004930C2" w:rsidRDefault="008B5C89" w:rsidP="00A52F28">
            <w:pPr>
              <w:spacing w:line="480" w:lineRule="auto"/>
              <w:jc w:val="center"/>
              <w:rPr>
                <w:color w:val="000000" w:themeColor="text1"/>
                <w:sz w:val="20"/>
              </w:rPr>
            </w:pPr>
            <w:r w:rsidRPr="004930C2">
              <w:rPr>
                <w:color w:val="000000" w:themeColor="text1"/>
                <w:sz w:val="20"/>
              </w:rPr>
              <w:t>356.2</w:t>
            </w:r>
          </w:p>
        </w:tc>
      </w:tr>
      <w:tr w:rsidR="00A25083" w:rsidRPr="004930C2" w14:paraId="3C7B3ECE" w14:textId="77777777" w:rsidTr="008B5C89">
        <w:trPr>
          <w:trHeight w:val="360"/>
        </w:trPr>
        <w:tc>
          <w:tcPr>
            <w:tcW w:w="3260" w:type="dxa"/>
            <w:tcBorders>
              <w:top w:val="nil"/>
              <w:left w:val="nil"/>
              <w:bottom w:val="nil"/>
              <w:right w:val="nil"/>
            </w:tcBorders>
            <w:shd w:val="clear" w:color="000000" w:fill="FFFFFF"/>
            <w:noWrap/>
            <w:vAlign w:val="center"/>
            <w:hideMark/>
          </w:tcPr>
          <w:p w14:paraId="55DBC3C6" w14:textId="6B8866A1" w:rsidR="008B5C89" w:rsidRPr="004930C2" w:rsidRDefault="008B5C89" w:rsidP="00A52F28">
            <w:pPr>
              <w:spacing w:line="480" w:lineRule="auto"/>
              <w:rPr>
                <w:color w:val="000000" w:themeColor="text1"/>
                <w:sz w:val="20"/>
              </w:rPr>
            </w:pPr>
            <w:r w:rsidRPr="004930C2">
              <w:rPr>
                <w:color w:val="000000" w:themeColor="text1"/>
                <w:sz w:val="20"/>
              </w:rPr>
              <w:t>IV.  Compost + WD</w:t>
            </w:r>
            <w:r w:rsidRPr="004930C2">
              <w:rPr>
                <w:color w:val="000000" w:themeColor="text1"/>
                <w:sz w:val="20"/>
                <w:vertAlign w:val="subscript"/>
              </w:rPr>
              <w:t>BC</w:t>
            </w:r>
            <w:r w:rsidRPr="004930C2">
              <w:rPr>
                <w:color w:val="000000" w:themeColor="text1"/>
                <w:sz w:val="20"/>
              </w:rPr>
              <w:t xml:space="preserve"> (600°C)</w:t>
            </w:r>
          </w:p>
        </w:tc>
        <w:tc>
          <w:tcPr>
            <w:tcW w:w="1420" w:type="dxa"/>
            <w:tcBorders>
              <w:top w:val="nil"/>
              <w:left w:val="nil"/>
              <w:bottom w:val="nil"/>
              <w:right w:val="nil"/>
            </w:tcBorders>
            <w:shd w:val="clear" w:color="000000" w:fill="FFFFFF"/>
            <w:noWrap/>
            <w:vAlign w:val="center"/>
            <w:hideMark/>
          </w:tcPr>
          <w:p w14:paraId="6AF25B0B" w14:textId="77777777" w:rsidR="008B5C89" w:rsidRPr="004930C2" w:rsidRDefault="008B5C89" w:rsidP="00A52F28">
            <w:pPr>
              <w:spacing w:line="480" w:lineRule="auto"/>
              <w:jc w:val="center"/>
              <w:rPr>
                <w:color w:val="000000" w:themeColor="text1"/>
                <w:sz w:val="20"/>
              </w:rPr>
            </w:pPr>
            <w:r w:rsidRPr="004930C2">
              <w:rPr>
                <w:color w:val="000000" w:themeColor="text1"/>
                <w:sz w:val="20"/>
              </w:rPr>
              <w:t>48.7</w:t>
            </w:r>
          </w:p>
        </w:tc>
        <w:tc>
          <w:tcPr>
            <w:tcW w:w="1040" w:type="dxa"/>
            <w:tcBorders>
              <w:top w:val="nil"/>
              <w:left w:val="nil"/>
              <w:bottom w:val="nil"/>
              <w:right w:val="nil"/>
            </w:tcBorders>
            <w:shd w:val="clear" w:color="000000" w:fill="FFFFFF"/>
            <w:noWrap/>
            <w:vAlign w:val="center"/>
            <w:hideMark/>
          </w:tcPr>
          <w:p w14:paraId="6E9BA636" w14:textId="77777777" w:rsidR="008B5C89" w:rsidRPr="004930C2" w:rsidRDefault="008B5C89" w:rsidP="00A52F28">
            <w:pPr>
              <w:spacing w:line="480" w:lineRule="auto"/>
              <w:jc w:val="center"/>
              <w:rPr>
                <w:color w:val="000000" w:themeColor="text1"/>
                <w:sz w:val="20"/>
              </w:rPr>
            </w:pPr>
            <w:r w:rsidRPr="004930C2">
              <w:rPr>
                <w:color w:val="000000" w:themeColor="text1"/>
                <w:sz w:val="20"/>
              </w:rPr>
              <w:t>7.2</w:t>
            </w:r>
          </w:p>
        </w:tc>
        <w:tc>
          <w:tcPr>
            <w:tcW w:w="1040" w:type="dxa"/>
            <w:tcBorders>
              <w:top w:val="nil"/>
              <w:left w:val="nil"/>
              <w:bottom w:val="nil"/>
              <w:right w:val="nil"/>
            </w:tcBorders>
            <w:shd w:val="clear" w:color="000000" w:fill="FFFFFF"/>
            <w:noWrap/>
            <w:vAlign w:val="center"/>
            <w:hideMark/>
          </w:tcPr>
          <w:p w14:paraId="64445123" w14:textId="67B249BF" w:rsidR="008B5C89" w:rsidRPr="004930C2" w:rsidRDefault="008B5C89" w:rsidP="00A52F28">
            <w:pPr>
              <w:spacing w:line="480" w:lineRule="auto"/>
              <w:jc w:val="center"/>
              <w:rPr>
                <w:color w:val="000000" w:themeColor="text1"/>
                <w:sz w:val="20"/>
              </w:rPr>
            </w:pPr>
          </w:p>
        </w:tc>
        <w:tc>
          <w:tcPr>
            <w:tcW w:w="1620" w:type="dxa"/>
            <w:tcBorders>
              <w:top w:val="nil"/>
              <w:left w:val="nil"/>
              <w:bottom w:val="nil"/>
              <w:right w:val="nil"/>
            </w:tcBorders>
            <w:shd w:val="clear" w:color="000000" w:fill="FFFFFF"/>
            <w:noWrap/>
            <w:vAlign w:val="center"/>
            <w:hideMark/>
          </w:tcPr>
          <w:p w14:paraId="2BE99EBB" w14:textId="77777777" w:rsidR="008B5C89" w:rsidRPr="004930C2" w:rsidRDefault="008B5C89" w:rsidP="00A52F28">
            <w:pPr>
              <w:spacing w:line="480" w:lineRule="auto"/>
              <w:jc w:val="center"/>
              <w:rPr>
                <w:color w:val="000000" w:themeColor="text1"/>
                <w:sz w:val="20"/>
              </w:rPr>
            </w:pPr>
            <w:r w:rsidRPr="004930C2">
              <w:rPr>
                <w:color w:val="000000" w:themeColor="text1"/>
                <w:sz w:val="20"/>
              </w:rPr>
              <w:t>356.2</w:t>
            </w:r>
          </w:p>
        </w:tc>
      </w:tr>
      <w:tr w:rsidR="00A25083" w:rsidRPr="004930C2" w14:paraId="0DE1EA38" w14:textId="77777777" w:rsidTr="008B5C89">
        <w:trPr>
          <w:trHeight w:val="360"/>
        </w:trPr>
        <w:tc>
          <w:tcPr>
            <w:tcW w:w="3260" w:type="dxa"/>
            <w:tcBorders>
              <w:top w:val="nil"/>
              <w:left w:val="nil"/>
              <w:bottom w:val="nil"/>
              <w:right w:val="nil"/>
            </w:tcBorders>
            <w:shd w:val="clear" w:color="000000" w:fill="FFFFFF"/>
            <w:noWrap/>
            <w:vAlign w:val="center"/>
            <w:hideMark/>
          </w:tcPr>
          <w:p w14:paraId="5F253AA1" w14:textId="724566DF" w:rsidR="008B5C89" w:rsidRPr="004930C2" w:rsidRDefault="008B5C89" w:rsidP="00A52F28">
            <w:pPr>
              <w:spacing w:line="480" w:lineRule="auto"/>
              <w:rPr>
                <w:color w:val="000000" w:themeColor="text1"/>
                <w:sz w:val="20"/>
              </w:rPr>
            </w:pPr>
            <w:r w:rsidRPr="004930C2">
              <w:rPr>
                <w:color w:val="000000" w:themeColor="text1"/>
                <w:sz w:val="20"/>
              </w:rPr>
              <w:t>V.  Compost + DM</w:t>
            </w:r>
            <w:r w:rsidRPr="004930C2">
              <w:rPr>
                <w:color w:val="000000" w:themeColor="text1"/>
                <w:sz w:val="20"/>
                <w:vertAlign w:val="subscript"/>
              </w:rPr>
              <w:t>BC</w:t>
            </w:r>
            <w:r w:rsidRPr="004930C2">
              <w:rPr>
                <w:color w:val="000000" w:themeColor="text1"/>
                <w:sz w:val="20"/>
              </w:rPr>
              <w:t xml:space="preserve"> (300°C)</w:t>
            </w:r>
          </w:p>
        </w:tc>
        <w:tc>
          <w:tcPr>
            <w:tcW w:w="1420" w:type="dxa"/>
            <w:tcBorders>
              <w:top w:val="nil"/>
              <w:left w:val="nil"/>
              <w:bottom w:val="nil"/>
              <w:right w:val="nil"/>
            </w:tcBorders>
            <w:shd w:val="clear" w:color="000000" w:fill="FFFFFF"/>
            <w:noWrap/>
            <w:vAlign w:val="center"/>
            <w:hideMark/>
          </w:tcPr>
          <w:p w14:paraId="32470B81" w14:textId="77777777" w:rsidR="008B5C89" w:rsidRPr="004930C2" w:rsidRDefault="008B5C89" w:rsidP="00A52F28">
            <w:pPr>
              <w:spacing w:line="480" w:lineRule="auto"/>
              <w:jc w:val="center"/>
              <w:rPr>
                <w:color w:val="000000" w:themeColor="text1"/>
                <w:sz w:val="20"/>
              </w:rPr>
            </w:pPr>
            <w:r w:rsidRPr="004930C2">
              <w:rPr>
                <w:color w:val="000000" w:themeColor="text1"/>
                <w:sz w:val="20"/>
              </w:rPr>
              <w:t>24.3</w:t>
            </w:r>
          </w:p>
        </w:tc>
        <w:tc>
          <w:tcPr>
            <w:tcW w:w="1040" w:type="dxa"/>
            <w:tcBorders>
              <w:top w:val="nil"/>
              <w:left w:val="nil"/>
              <w:bottom w:val="nil"/>
              <w:right w:val="nil"/>
            </w:tcBorders>
            <w:shd w:val="clear" w:color="000000" w:fill="FFFFFF"/>
            <w:noWrap/>
            <w:vAlign w:val="center"/>
            <w:hideMark/>
          </w:tcPr>
          <w:p w14:paraId="6A91259C" w14:textId="3DC41DD9" w:rsidR="008B5C89" w:rsidRPr="004930C2" w:rsidRDefault="008B5C89" w:rsidP="00A52F28">
            <w:pPr>
              <w:spacing w:line="480" w:lineRule="auto"/>
              <w:jc w:val="center"/>
              <w:rPr>
                <w:color w:val="000000" w:themeColor="text1"/>
                <w:sz w:val="20"/>
              </w:rPr>
            </w:pPr>
          </w:p>
        </w:tc>
        <w:tc>
          <w:tcPr>
            <w:tcW w:w="1040" w:type="dxa"/>
            <w:tcBorders>
              <w:top w:val="nil"/>
              <w:left w:val="nil"/>
              <w:bottom w:val="nil"/>
              <w:right w:val="nil"/>
            </w:tcBorders>
            <w:shd w:val="clear" w:color="000000" w:fill="FFFFFF"/>
            <w:noWrap/>
            <w:vAlign w:val="center"/>
            <w:hideMark/>
          </w:tcPr>
          <w:p w14:paraId="5D5CB207" w14:textId="77777777" w:rsidR="008B5C89" w:rsidRPr="004930C2" w:rsidRDefault="008B5C89" w:rsidP="00A52F28">
            <w:pPr>
              <w:spacing w:line="480" w:lineRule="auto"/>
              <w:jc w:val="center"/>
              <w:rPr>
                <w:color w:val="000000" w:themeColor="text1"/>
                <w:sz w:val="20"/>
              </w:rPr>
            </w:pPr>
            <w:r w:rsidRPr="004930C2">
              <w:rPr>
                <w:color w:val="000000" w:themeColor="text1"/>
                <w:sz w:val="20"/>
              </w:rPr>
              <w:t>6.9</w:t>
            </w:r>
          </w:p>
        </w:tc>
        <w:tc>
          <w:tcPr>
            <w:tcW w:w="1620" w:type="dxa"/>
            <w:tcBorders>
              <w:top w:val="nil"/>
              <w:left w:val="nil"/>
              <w:bottom w:val="nil"/>
              <w:right w:val="nil"/>
            </w:tcBorders>
            <w:shd w:val="clear" w:color="000000" w:fill="FFFFFF"/>
            <w:noWrap/>
            <w:vAlign w:val="center"/>
            <w:hideMark/>
          </w:tcPr>
          <w:p w14:paraId="4826A703" w14:textId="77777777" w:rsidR="008B5C89" w:rsidRPr="004930C2" w:rsidRDefault="008B5C89" w:rsidP="00A52F28">
            <w:pPr>
              <w:spacing w:line="480" w:lineRule="auto"/>
              <w:jc w:val="center"/>
              <w:rPr>
                <w:color w:val="000000" w:themeColor="text1"/>
                <w:sz w:val="20"/>
              </w:rPr>
            </w:pPr>
            <w:r w:rsidRPr="004930C2">
              <w:rPr>
                <w:color w:val="000000" w:themeColor="text1"/>
                <w:sz w:val="20"/>
              </w:rPr>
              <w:t>353.3</w:t>
            </w:r>
          </w:p>
        </w:tc>
      </w:tr>
      <w:tr w:rsidR="00A25083" w:rsidRPr="004930C2" w14:paraId="1B26423A" w14:textId="77777777" w:rsidTr="00A76F54">
        <w:trPr>
          <w:trHeight w:val="360"/>
        </w:trPr>
        <w:tc>
          <w:tcPr>
            <w:tcW w:w="3260" w:type="dxa"/>
            <w:tcBorders>
              <w:top w:val="nil"/>
              <w:left w:val="nil"/>
              <w:right w:val="nil"/>
            </w:tcBorders>
            <w:shd w:val="clear" w:color="000000" w:fill="FFFFFF"/>
            <w:noWrap/>
            <w:vAlign w:val="center"/>
            <w:hideMark/>
          </w:tcPr>
          <w:p w14:paraId="2EE32ECD" w14:textId="67B6FE44" w:rsidR="008B5C89" w:rsidRPr="004930C2" w:rsidRDefault="008B5C89" w:rsidP="00A52F28">
            <w:pPr>
              <w:spacing w:line="480" w:lineRule="auto"/>
              <w:rPr>
                <w:color w:val="000000" w:themeColor="text1"/>
                <w:sz w:val="20"/>
              </w:rPr>
            </w:pPr>
            <w:r w:rsidRPr="004930C2">
              <w:rPr>
                <w:color w:val="000000" w:themeColor="text1"/>
                <w:sz w:val="20"/>
              </w:rPr>
              <w:t>VI.  Compost + DM</w:t>
            </w:r>
            <w:r w:rsidRPr="004930C2">
              <w:rPr>
                <w:color w:val="000000" w:themeColor="text1"/>
                <w:sz w:val="20"/>
                <w:vertAlign w:val="subscript"/>
              </w:rPr>
              <w:t>BC</w:t>
            </w:r>
            <w:r w:rsidRPr="004930C2">
              <w:rPr>
                <w:color w:val="000000" w:themeColor="text1"/>
                <w:sz w:val="20"/>
              </w:rPr>
              <w:t xml:space="preserve"> (450°C)</w:t>
            </w:r>
          </w:p>
        </w:tc>
        <w:tc>
          <w:tcPr>
            <w:tcW w:w="1420" w:type="dxa"/>
            <w:tcBorders>
              <w:top w:val="nil"/>
              <w:left w:val="nil"/>
              <w:right w:val="nil"/>
            </w:tcBorders>
            <w:shd w:val="clear" w:color="000000" w:fill="FFFFFF"/>
            <w:noWrap/>
            <w:vAlign w:val="center"/>
            <w:hideMark/>
          </w:tcPr>
          <w:p w14:paraId="5C873AC0" w14:textId="77777777" w:rsidR="008B5C89" w:rsidRPr="004930C2" w:rsidRDefault="008B5C89" w:rsidP="00A52F28">
            <w:pPr>
              <w:spacing w:line="480" w:lineRule="auto"/>
              <w:jc w:val="center"/>
              <w:rPr>
                <w:color w:val="000000" w:themeColor="text1"/>
                <w:sz w:val="20"/>
              </w:rPr>
            </w:pPr>
            <w:r w:rsidRPr="004930C2">
              <w:rPr>
                <w:color w:val="000000" w:themeColor="text1"/>
                <w:sz w:val="20"/>
              </w:rPr>
              <w:t>24.3</w:t>
            </w:r>
          </w:p>
        </w:tc>
        <w:tc>
          <w:tcPr>
            <w:tcW w:w="1040" w:type="dxa"/>
            <w:tcBorders>
              <w:top w:val="nil"/>
              <w:left w:val="nil"/>
              <w:right w:val="nil"/>
            </w:tcBorders>
            <w:shd w:val="clear" w:color="000000" w:fill="FFFFFF"/>
            <w:noWrap/>
            <w:vAlign w:val="center"/>
            <w:hideMark/>
          </w:tcPr>
          <w:p w14:paraId="4AE5AE24" w14:textId="27B9D22B" w:rsidR="008B5C89" w:rsidRPr="004930C2" w:rsidRDefault="008B5C89" w:rsidP="00A52F28">
            <w:pPr>
              <w:spacing w:line="480" w:lineRule="auto"/>
              <w:jc w:val="center"/>
              <w:rPr>
                <w:color w:val="000000" w:themeColor="text1"/>
                <w:sz w:val="20"/>
              </w:rPr>
            </w:pPr>
          </w:p>
        </w:tc>
        <w:tc>
          <w:tcPr>
            <w:tcW w:w="1040" w:type="dxa"/>
            <w:tcBorders>
              <w:top w:val="nil"/>
              <w:left w:val="nil"/>
              <w:right w:val="nil"/>
            </w:tcBorders>
            <w:shd w:val="clear" w:color="000000" w:fill="FFFFFF"/>
            <w:noWrap/>
            <w:vAlign w:val="center"/>
            <w:hideMark/>
          </w:tcPr>
          <w:p w14:paraId="68568579" w14:textId="77777777" w:rsidR="008B5C89" w:rsidRPr="004930C2" w:rsidRDefault="008B5C89" w:rsidP="00A52F28">
            <w:pPr>
              <w:spacing w:line="480" w:lineRule="auto"/>
              <w:jc w:val="center"/>
              <w:rPr>
                <w:color w:val="000000" w:themeColor="text1"/>
                <w:sz w:val="20"/>
              </w:rPr>
            </w:pPr>
            <w:r w:rsidRPr="004930C2">
              <w:rPr>
                <w:color w:val="000000" w:themeColor="text1"/>
                <w:sz w:val="20"/>
              </w:rPr>
              <w:t>7.7</w:t>
            </w:r>
          </w:p>
        </w:tc>
        <w:tc>
          <w:tcPr>
            <w:tcW w:w="1620" w:type="dxa"/>
            <w:tcBorders>
              <w:top w:val="nil"/>
              <w:left w:val="nil"/>
              <w:right w:val="nil"/>
            </w:tcBorders>
            <w:shd w:val="clear" w:color="000000" w:fill="FFFFFF"/>
            <w:noWrap/>
            <w:vAlign w:val="center"/>
            <w:hideMark/>
          </w:tcPr>
          <w:p w14:paraId="5A4B7076" w14:textId="77777777" w:rsidR="008B5C89" w:rsidRPr="004930C2" w:rsidRDefault="008B5C89" w:rsidP="00A52F28">
            <w:pPr>
              <w:spacing w:line="480" w:lineRule="auto"/>
              <w:jc w:val="center"/>
              <w:rPr>
                <w:color w:val="000000" w:themeColor="text1"/>
                <w:sz w:val="20"/>
              </w:rPr>
            </w:pPr>
            <w:r w:rsidRPr="004930C2">
              <w:rPr>
                <w:color w:val="000000" w:themeColor="text1"/>
                <w:sz w:val="20"/>
              </w:rPr>
              <w:t>351.0</w:t>
            </w:r>
          </w:p>
        </w:tc>
      </w:tr>
      <w:tr w:rsidR="00A25083" w:rsidRPr="004930C2" w14:paraId="103C5F6E" w14:textId="77777777" w:rsidTr="00A76F54">
        <w:trPr>
          <w:trHeight w:val="360"/>
        </w:trPr>
        <w:tc>
          <w:tcPr>
            <w:tcW w:w="3260" w:type="dxa"/>
            <w:tcBorders>
              <w:top w:val="nil"/>
              <w:left w:val="nil"/>
              <w:bottom w:val="single" w:sz="4" w:space="0" w:color="auto"/>
              <w:right w:val="nil"/>
            </w:tcBorders>
            <w:shd w:val="clear" w:color="000000" w:fill="FFFFFF"/>
            <w:noWrap/>
            <w:vAlign w:val="center"/>
            <w:hideMark/>
          </w:tcPr>
          <w:p w14:paraId="25C75901" w14:textId="22DE879E" w:rsidR="008B5C89" w:rsidRPr="004930C2" w:rsidRDefault="008B5C89" w:rsidP="00A52F28">
            <w:pPr>
              <w:spacing w:line="480" w:lineRule="auto"/>
              <w:rPr>
                <w:color w:val="000000" w:themeColor="text1"/>
                <w:sz w:val="20"/>
              </w:rPr>
            </w:pPr>
            <w:r w:rsidRPr="004930C2">
              <w:rPr>
                <w:color w:val="000000" w:themeColor="text1"/>
                <w:sz w:val="20"/>
              </w:rPr>
              <w:t>VII. Compost + DM</w:t>
            </w:r>
            <w:r w:rsidRPr="004930C2">
              <w:rPr>
                <w:color w:val="000000" w:themeColor="text1"/>
                <w:sz w:val="20"/>
                <w:vertAlign w:val="subscript"/>
              </w:rPr>
              <w:t>BC</w:t>
            </w:r>
            <w:r w:rsidRPr="004930C2">
              <w:rPr>
                <w:color w:val="000000" w:themeColor="text1"/>
                <w:sz w:val="20"/>
              </w:rPr>
              <w:t xml:space="preserve"> (600°C)</w:t>
            </w:r>
          </w:p>
        </w:tc>
        <w:tc>
          <w:tcPr>
            <w:tcW w:w="1420" w:type="dxa"/>
            <w:tcBorders>
              <w:top w:val="nil"/>
              <w:left w:val="nil"/>
              <w:bottom w:val="single" w:sz="4" w:space="0" w:color="auto"/>
              <w:right w:val="nil"/>
            </w:tcBorders>
            <w:shd w:val="clear" w:color="000000" w:fill="FFFFFF"/>
            <w:noWrap/>
            <w:vAlign w:val="center"/>
            <w:hideMark/>
          </w:tcPr>
          <w:p w14:paraId="6BAE3C19" w14:textId="77777777" w:rsidR="008B5C89" w:rsidRPr="004930C2" w:rsidRDefault="008B5C89" w:rsidP="00A52F28">
            <w:pPr>
              <w:spacing w:line="480" w:lineRule="auto"/>
              <w:jc w:val="center"/>
              <w:rPr>
                <w:color w:val="000000" w:themeColor="text1"/>
                <w:sz w:val="20"/>
              </w:rPr>
            </w:pPr>
            <w:r w:rsidRPr="004930C2">
              <w:rPr>
                <w:color w:val="000000" w:themeColor="text1"/>
                <w:sz w:val="20"/>
              </w:rPr>
              <w:t>24.3</w:t>
            </w:r>
          </w:p>
        </w:tc>
        <w:tc>
          <w:tcPr>
            <w:tcW w:w="1040" w:type="dxa"/>
            <w:tcBorders>
              <w:top w:val="nil"/>
              <w:left w:val="nil"/>
              <w:bottom w:val="single" w:sz="4" w:space="0" w:color="auto"/>
              <w:right w:val="nil"/>
            </w:tcBorders>
            <w:shd w:val="clear" w:color="000000" w:fill="FFFFFF"/>
            <w:noWrap/>
            <w:vAlign w:val="center"/>
            <w:hideMark/>
          </w:tcPr>
          <w:p w14:paraId="164488E4" w14:textId="1EC08846" w:rsidR="008B5C89" w:rsidRPr="004930C2" w:rsidRDefault="008B5C89" w:rsidP="00A52F28">
            <w:pPr>
              <w:spacing w:line="480" w:lineRule="auto"/>
              <w:jc w:val="center"/>
              <w:rPr>
                <w:color w:val="000000" w:themeColor="text1"/>
                <w:sz w:val="20"/>
              </w:rPr>
            </w:pPr>
          </w:p>
        </w:tc>
        <w:tc>
          <w:tcPr>
            <w:tcW w:w="1040" w:type="dxa"/>
            <w:tcBorders>
              <w:top w:val="nil"/>
              <w:left w:val="nil"/>
              <w:bottom w:val="single" w:sz="4" w:space="0" w:color="auto"/>
              <w:right w:val="nil"/>
            </w:tcBorders>
            <w:shd w:val="clear" w:color="000000" w:fill="FFFFFF"/>
            <w:noWrap/>
            <w:vAlign w:val="center"/>
            <w:hideMark/>
          </w:tcPr>
          <w:p w14:paraId="5E444567" w14:textId="77777777" w:rsidR="008B5C89" w:rsidRPr="004930C2" w:rsidRDefault="008B5C89" w:rsidP="00A52F28">
            <w:pPr>
              <w:spacing w:line="480" w:lineRule="auto"/>
              <w:jc w:val="center"/>
              <w:rPr>
                <w:color w:val="000000" w:themeColor="text1"/>
                <w:sz w:val="20"/>
              </w:rPr>
            </w:pPr>
            <w:r w:rsidRPr="004930C2">
              <w:rPr>
                <w:color w:val="000000" w:themeColor="text1"/>
                <w:sz w:val="20"/>
              </w:rPr>
              <w:t>9.2</w:t>
            </w:r>
          </w:p>
        </w:tc>
        <w:tc>
          <w:tcPr>
            <w:tcW w:w="1620" w:type="dxa"/>
            <w:tcBorders>
              <w:top w:val="nil"/>
              <w:left w:val="nil"/>
              <w:bottom w:val="single" w:sz="4" w:space="0" w:color="auto"/>
              <w:right w:val="nil"/>
            </w:tcBorders>
            <w:shd w:val="clear" w:color="000000" w:fill="FFFFFF"/>
            <w:noWrap/>
            <w:vAlign w:val="center"/>
            <w:hideMark/>
          </w:tcPr>
          <w:p w14:paraId="7C27718E" w14:textId="77777777" w:rsidR="008B5C89" w:rsidRPr="004930C2" w:rsidRDefault="008B5C89" w:rsidP="00A52F28">
            <w:pPr>
              <w:spacing w:line="480" w:lineRule="auto"/>
              <w:jc w:val="center"/>
              <w:rPr>
                <w:color w:val="000000" w:themeColor="text1"/>
                <w:sz w:val="20"/>
              </w:rPr>
            </w:pPr>
            <w:r w:rsidRPr="004930C2">
              <w:rPr>
                <w:color w:val="000000" w:themeColor="text1"/>
                <w:sz w:val="20"/>
              </w:rPr>
              <w:t>348.5</w:t>
            </w:r>
          </w:p>
        </w:tc>
      </w:tr>
    </w:tbl>
    <w:p w14:paraId="0B61F403" w14:textId="77777777" w:rsidR="00701677" w:rsidRPr="004930C2" w:rsidRDefault="00701677" w:rsidP="00330D39">
      <w:pPr>
        <w:autoSpaceDE w:val="0"/>
        <w:autoSpaceDN w:val="0"/>
        <w:adjustRightInd w:val="0"/>
        <w:spacing w:line="480" w:lineRule="auto"/>
        <w:rPr>
          <w:color w:val="000000" w:themeColor="text1"/>
          <w:sz w:val="20"/>
        </w:rPr>
      </w:pPr>
    </w:p>
    <w:p w14:paraId="47DAC4DF" w14:textId="77777777" w:rsidR="00701677" w:rsidRPr="004930C2" w:rsidRDefault="00701677" w:rsidP="00330D39">
      <w:pPr>
        <w:autoSpaceDE w:val="0"/>
        <w:autoSpaceDN w:val="0"/>
        <w:adjustRightInd w:val="0"/>
        <w:spacing w:line="480" w:lineRule="auto"/>
        <w:rPr>
          <w:color w:val="000000" w:themeColor="text1"/>
          <w:sz w:val="20"/>
        </w:rPr>
      </w:pPr>
      <w:r w:rsidRPr="004930C2">
        <w:rPr>
          <w:color w:val="000000" w:themeColor="text1"/>
          <w:sz w:val="20"/>
        </w:rPr>
        <w:t>WD: Wood</w:t>
      </w:r>
    </w:p>
    <w:p w14:paraId="2EBF782E" w14:textId="77777777" w:rsidR="00701677" w:rsidRPr="004930C2" w:rsidRDefault="00701677" w:rsidP="00330D39">
      <w:pPr>
        <w:autoSpaceDE w:val="0"/>
        <w:autoSpaceDN w:val="0"/>
        <w:adjustRightInd w:val="0"/>
        <w:spacing w:line="480" w:lineRule="auto"/>
        <w:rPr>
          <w:color w:val="000000" w:themeColor="text1"/>
          <w:sz w:val="20"/>
        </w:rPr>
      </w:pPr>
      <w:r w:rsidRPr="004930C2">
        <w:rPr>
          <w:color w:val="000000" w:themeColor="text1"/>
          <w:sz w:val="20"/>
        </w:rPr>
        <w:t>WD</w:t>
      </w:r>
      <w:r w:rsidRPr="004930C2">
        <w:rPr>
          <w:color w:val="000000" w:themeColor="text1"/>
          <w:sz w:val="20"/>
          <w:vertAlign w:val="subscript"/>
        </w:rPr>
        <w:t>BC</w:t>
      </w:r>
      <w:r w:rsidRPr="004930C2">
        <w:rPr>
          <w:color w:val="000000" w:themeColor="text1"/>
          <w:sz w:val="20"/>
        </w:rPr>
        <w:t>: Wood biochar</w:t>
      </w:r>
    </w:p>
    <w:p w14:paraId="02723609" w14:textId="77777777" w:rsidR="00701677" w:rsidRPr="004930C2" w:rsidRDefault="00701677" w:rsidP="00330D39">
      <w:pPr>
        <w:autoSpaceDE w:val="0"/>
        <w:autoSpaceDN w:val="0"/>
        <w:adjustRightInd w:val="0"/>
        <w:spacing w:line="480" w:lineRule="auto"/>
        <w:rPr>
          <w:color w:val="000000" w:themeColor="text1"/>
          <w:sz w:val="20"/>
        </w:rPr>
      </w:pPr>
      <w:r w:rsidRPr="004930C2">
        <w:rPr>
          <w:color w:val="000000" w:themeColor="text1"/>
          <w:sz w:val="20"/>
        </w:rPr>
        <w:t>DM: Dairy manure</w:t>
      </w:r>
    </w:p>
    <w:p w14:paraId="728FA905" w14:textId="77777777" w:rsidR="00701677" w:rsidRPr="004930C2" w:rsidRDefault="00701677" w:rsidP="00330D39">
      <w:pPr>
        <w:autoSpaceDE w:val="0"/>
        <w:autoSpaceDN w:val="0"/>
        <w:adjustRightInd w:val="0"/>
        <w:spacing w:line="480" w:lineRule="auto"/>
        <w:rPr>
          <w:color w:val="000000" w:themeColor="text1"/>
          <w:sz w:val="20"/>
        </w:rPr>
      </w:pPr>
      <w:r w:rsidRPr="004930C2">
        <w:rPr>
          <w:color w:val="000000" w:themeColor="text1"/>
          <w:sz w:val="20"/>
        </w:rPr>
        <w:t>DM</w:t>
      </w:r>
      <w:r w:rsidRPr="004930C2">
        <w:rPr>
          <w:color w:val="000000" w:themeColor="text1"/>
          <w:sz w:val="20"/>
          <w:vertAlign w:val="subscript"/>
        </w:rPr>
        <w:t>BC</w:t>
      </w:r>
      <w:r w:rsidRPr="004930C2">
        <w:rPr>
          <w:color w:val="000000" w:themeColor="text1"/>
          <w:sz w:val="20"/>
        </w:rPr>
        <w:t>: Dairy manure biochar</w:t>
      </w:r>
    </w:p>
    <w:p w14:paraId="0C54160A" w14:textId="51FB806D" w:rsidR="00701677" w:rsidRPr="004930C2" w:rsidRDefault="00701677" w:rsidP="00330D39">
      <w:pPr>
        <w:autoSpaceDE w:val="0"/>
        <w:autoSpaceDN w:val="0"/>
        <w:adjustRightInd w:val="0"/>
        <w:spacing w:line="480" w:lineRule="auto"/>
        <w:rPr>
          <w:color w:val="000000" w:themeColor="text1"/>
          <w:sz w:val="20"/>
        </w:rPr>
      </w:pPr>
      <w:r w:rsidRPr="004930C2">
        <w:rPr>
          <w:color w:val="000000" w:themeColor="text1"/>
          <w:sz w:val="20"/>
          <w:vertAlign w:val="superscript"/>
        </w:rPr>
        <w:t>a</w:t>
      </w:r>
      <w:r w:rsidRPr="004930C2">
        <w:rPr>
          <w:color w:val="000000" w:themeColor="text1"/>
          <w:sz w:val="20"/>
        </w:rPr>
        <w:t>: Carbonization temperature of biochar in parentheses</w:t>
      </w:r>
    </w:p>
    <w:p w14:paraId="36008F18" w14:textId="77777777" w:rsidR="00A63D73" w:rsidRPr="004930C2" w:rsidRDefault="00A63D73" w:rsidP="00330D39">
      <w:pPr>
        <w:autoSpaceDE w:val="0"/>
        <w:autoSpaceDN w:val="0"/>
        <w:adjustRightInd w:val="0"/>
        <w:spacing w:line="480" w:lineRule="auto"/>
        <w:rPr>
          <w:color w:val="000000" w:themeColor="text1"/>
          <w:sz w:val="20"/>
        </w:rPr>
        <w:sectPr w:rsidR="00A63D73" w:rsidRPr="004930C2" w:rsidSect="00A63D73">
          <w:footerReference w:type="default" r:id="rId31"/>
          <w:pgSz w:w="11906" w:h="16838"/>
          <w:pgMar w:top="1418" w:right="1418" w:bottom="1418" w:left="1418" w:header="851" w:footer="567" w:gutter="0"/>
          <w:lnNumType w:countBy="1" w:restart="continuous"/>
          <w:cols w:space="425"/>
          <w:docGrid w:type="lines" w:linePitch="360"/>
        </w:sectPr>
      </w:pPr>
    </w:p>
    <w:p w14:paraId="36008F19" w14:textId="514A365D" w:rsidR="00A63D73" w:rsidRPr="004930C2" w:rsidRDefault="00A63D73" w:rsidP="00330D39">
      <w:pPr>
        <w:autoSpaceDE w:val="0"/>
        <w:autoSpaceDN w:val="0"/>
        <w:adjustRightInd w:val="0"/>
        <w:spacing w:line="480" w:lineRule="auto"/>
        <w:rPr>
          <w:color w:val="000000" w:themeColor="text1"/>
          <w:sz w:val="20"/>
        </w:rPr>
      </w:pPr>
      <w:r w:rsidRPr="004930C2">
        <w:rPr>
          <w:color w:val="000000" w:themeColor="text1"/>
          <w:sz w:val="20"/>
        </w:rPr>
        <w:lastRenderedPageBreak/>
        <w:t>Table 2. Physical and chemical properties of biomass feedstocks and biochar</w:t>
      </w:r>
    </w:p>
    <w:tbl>
      <w:tblPr>
        <w:tblW w:w="14599" w:type="dxa"/>
        <w:tblLayout w:type="fixed"/>
        <w:tblLook w:val="04A0" w:firstRow="1" w:lastRow="0" w:firstColumn="1" w:lastColumn="0" w:noHBand="0" w:noVBand="1"/>
      </w:tblPr>
      <w:tblGrid>
        <w:gridCol w:w="1311"/>
        <w:gridCol w:w="1622"/>
        <w:gridCol w:w="1148"/>
        <w:gridCol w:w="960"/>
        <w:gridCol w:w="960"/>
        <w:gridCol w:w="960"/>
        <w:gridCol w:w="960"/>
        <w:gridCol w:w="960"/>
        <w:gridCol w:w="960"/>
        <w:gridCol w:w="960"/>
        <w:gridCol w:w="960"/>
        <w:gridCol w:w="839"/>
        <w:gridCol w:w="839"/>
        <w:gridCol w:w="1160"/>
      </w:tblGrid>
      <w:tr w:rsidR="00701677" w:rsidRPr="004930C2" w14:paraId="2B88AFEC" w14:textId="77777777" w:rsidTr="00EA3545">
        <w:trPr>
          <w:trHeight w:val="360"/>
        </w:trPr>
        <w:tc>
          <w:tcPr>
            <w:tcW w:w="1311" w:type="dxa"/>
            <w:vMerge w:val="restart"/>
            <w:tcBorders>
              <w:top w:val="single" w:sz="4" w:space="0" w:color="auto"/>
            </w:tcBorders>
            <w:noWrap/>
            <w:hideMark/>
          </w:tcPr>
          <w:p w14:paraId="474EECF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Biomass feedstocks</w:t>
            </w:r>
          </w:p>
        </w:tc>
        <w:tc>
          <w:tcPr>
            <w:tcW w:w="1622" w:type="dxa"/>
            <w:vMerge w:val="restart"/>
            <w:tcBorders>
              <w:top w:val="single" w:sz="4" w:space="0" w:color="auto"/>
            </w:tcBorders>
            <w:hideMark/>
          </w:tcPr>
          <w:p w14:paraId="39E54CEB" w14:textId="77777777" w:rsidR="00701677" w:rsidRPr="004930C2" w:rsidRDefault="00701677" w:rsidP="00A52F28">
            <w:pPr>
              <w:spacing w:line="480" w:lineRule="auto"/>
              <w:jc w:val="center"/>
              <w:rPr>
                <w:color w:val="000000" w:themeColor="text1"/>
                <w:sz w:val="20"/>
              </w:rPr>
            </w:pPr>
            <w:r w:rsidRPr="004930C2">
              <w:rPr>
                <w:color w:val="000000" w:themeColor="text1"/>
                <w:sz w:val="20"/>
              </w:rPr>
              <w:t>Temperature</w:t>
            </w:r>
          </w:p>
        </w:tc>
        <w:tc>
          <w:tcPr>
            <w:tcW w:w="1148" w:type="dxa"/>
            <w:vMerge w:val="restart"/>
            <w:tcBorders>
              <w:top w:val="single" w:sz="4" w:space="0" w:color="auto"/>
            </w:tcBorders>
            <w:hideMark/>
          </w:tcPr>
          <w:p w14:paraId="2CC4AC03" w14:textId="77777777" w:rsidR="00701677" w:rsidRPr="004930C2" w:rsidRDefault="00701677" w:rsidP="00A52F28">
            <w:pPr>
              <w:spacing w:line="480" w:lineRule="auto"/>
              <w:jc w:val="center"/>
              <w:rPr>
                <w:color w:val="000000" w:themeColor="text1"/>
                <w:sz w:val="20"/>
              </w:rPr>
            </w:pPr>
            <w:r w:rsidRPr="004930C2">
              <w:rPr>
                <w:color w:val="000000" w:themeColor="text1"/>
                <w:sz w:val="20"/>
              </w:rPr>
              <w:t>pH</w:t>
            </w:r>
          </w:p>
        </w:tc>
        <w:tc>
          <w:tcPr>
            <w:tcW w:w="960" w:type="dxa"/>
            <w:vMerge w:val="restart"/>
            <w:tcBorders>
              <w:top w:val="single" w:sz="4" w:space="0" w:color="auto"/>
            </w:tcBorders>
            <w:hideMark/>
          </w:tcPr>
          <w:p w14:paraId="1007C45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Ash</w:t>
            </w:r>
          </w:p>
        </w:tc>
        <w:tc>
          <w:tcPr>
            <w:tcW w:w="6720" w:type="dxa"/>
            <w:gridSpan w:val="7"/>
            <w:tcBorders>
              <w:top w:val="single" w:sz="4" w:space="0" w:color="auto"/>
            </w:tcBorders>
            <w:noWrap/>
            <w:hideMark/>
          </w:tcPr>
          <w:p w14:paraId="1504CC0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Elemental composition</w:t>
            </w:r>
          </w:p>
        </w:tc>
        <w:tc>
          <w:tcPr>
            <w:tcW w:w="839" w:type="dxa"/>
            <w:vMerge w:val="restart"/>
            <w:tcBorders>
              <w:top w:val="single" w:sz="4" w:space="0" w:color="auto"/>
            </w:tcBorders>
            <w:noWrap/>
            <w:hideMark/>
          </w:tcPr>
          <w:p w14:paraId="7413CA6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C/N</w:t>
            </w:r>
          </w:p>
        </w:tc>
        <w:tc>
          <w:tcPr>
            <w:tcW w:w="839" w:type="dxa"/>
            <w:vMerge w:val="restart"/>
            <w:tcBorders>
              <w:top w:val="single" w:sz="4" w:space="0" w:color="auto"/>
            </w:tcBorders>
            <w:noWrap/>
            <w:hideMark/>
          </w:tcPr>
          <w:p w14:paraId="3648FBE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SSA</w:t>
            </w:r>
          </w:p>
        </w:tc>
        <w:tc>
          <w:tcPr>
            <w:tcW w:w="1160" w:type="dxa"/>
            <w:vMerge w:val="restart"/>
            <w:tcBorders>
              <w:top w:val="single" w:sz="4" w:space="0" w:color="auto"/>
            </w:tcBorders>
            <w:hideMark/>
          </w:tcPr>
          <w:p w14:paraId="28F3C99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APS</w:t>
            </w:r>
          </w:p>
        </w:tc>
      </w:tr>
      <w:tr w:rsidR="00701677" w:rsidRPr="004930C2" w14:paraId="05543E32" w14:textId="77777777" w:rsidTr="00EA3545">
        <w:trPr>
          <w:trHeight w:val="360"/>
        </w:trPr>
        <w:tc>
          <w:tcPr>
            <w:tcW w:w="1311" w:type="dxa"/>
            <w:vMerge/>
            <w:noWrap/>
            <w:hideMark/>
          </w:tcPr>
          <w:p w14:paraId="35D1A7F5" w14:textId="77777777" w:rsidR="00701677" w:rsidRPr="004930C2" w:rsidRDefault="00701677" w:rsidP="00A52F28">
            <w:pPr>
              <w:spacing w:line="480" w:lineRule="auto"/>
              <w:rPr>
                <w:color w:val="000000" w:themeColor="text1"/>
                <w:sz w:val="20"/>
              </w:rPr>
            </w:pPr>
          </w:p>
        </w:tc>
        <w:tc>
          <w:tcPr>
            <w:tcW w:w="1622" w:type="dxa"/>
            <w:vMerge/>
            <w:hideMark/>
          </w:tcPr>
          <w:p w14:paraId="472536D3" w14:textId="77777777" w:rsidR="00701677" w:rsidRPr="004930C2" w:rsidRDefault="00701677" w:rsidP="00A52F28">
            <w:pPr>
              <w:spacing w:line="480" w:lineRule="auto"/>
              <w:rPr>
                <w:color w:val="000000" w:themeColor="text1"/>
                <w:sz w:val="20"/>
              </w:rPr>
            </w:pPr>
          </w:p>
        </w:tc>
        <w:tc>
          <w:tcPr>
            <w:tcW w:w="1148" w:type="dxa"/>
            <w:vMerge/>
            <w:hideMark/>
          </w:tcPr>
          <w:p w14:paraId="79B507CD" w14:textId="77777777" w:rsidR="00701677" w:rsidRPr="004930C2" w:rsidRDefault="00701677" w:rsidP="00A52F28">
            <w:pPr>
              <w:spacing w:line="480" w:lineRule="auto"/>
              <w:rPr>
                <w:color w:val="000000" w:themeColor="text1"/>
                <w:sz w:val="20"/>
              </w:rPr>
            </w:pPr>
          </w:p>
        </w:tc>
        <w:tc>
          <w:tcPr>
            <w:tcW w:w="960" w:type="dxa"/>
            <w:vMerge/>
            <w:hideMark/>
          </w:tcPr>
          <w:p w14:paraId="30F94ACB" w14:textId="77777777" w:rsidR="00701677" w:rsidRPr="004930C2" w:rsidRDefault="00701677" w:rsidP="00A52F28">
            <w:pPr>
              <w:spacing w:line="480" w:lineRule="auto"/>
              <w:rPr>
                <w:color w:val="000000" w:themeColor="text1"/>
                <w:sz w:val="20"/>
              </w:rPr>
            </w:pPr>
          </w:p>
        </w:tc>
        <w:tc>
          <w:tcPr>
            <w:tcW w:w="960" w:type="dxa"/>
            <w:noWrap/>
            <w:hideMark/>
          </w:tcPr>
          <w:p w14:paraId="66B7296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C</w:t>
            </w:r>
          </w:p>
        </w:tc>
        <w:tc>
          <w:tcPr>
            <w:tcW w:w="960" w:type="dxa"/>
            <w:noWrap/>
            <w:hideMark/>
          </w:tcPr>
          <w:p w14:paraId="1BBB7410" w14:textId="77777777" w:rsidR="00701677" w:rsidRPr="004930C2" w:rsidRDefault="00701677" w:rsidP="00A52F28">
            <w:pPr>
              <w:spacing w:line="480" w:lineRule="auto"/>
              <w:jc w:val="center"/>
              <w:rPr>
                <w:color w:val="000000" w:themeColor="text1"/>
                <w:sz w:val="20"/>
              </w:rPr>
            </w:pPr>
            <w:r w:rsidRPr="004930C2">
              <w:rPr>
                <w:color w:val="000000" w:themeColor="text1"/>
                <w:sz w:val="20"/>
              </w:rPr>
              <w:t>N</w:t>
            </w:r>
          </w:p>
        </w:tc>
        <w:tc>
          <w:tcPr>
            <w:tcW w:w="960" w:type="dxa"/>
            <w:noWrap/>
            <w:hideMark/>
          </w:tcPr>
          <w:p w14:paraId="01604D0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P</w:t>
            </w:r>
          </w:p>
        </w:tc>
        <w:tc>
          <w:tcPr>
            <w:tcW w:w="960" w:type="dxa"/>
            <w:noWrap/>
            <w:hideMark/>
          </w:tcPr>
          <w:p w14:paraId="6677B66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K</w:t>
            </w:r>
          </w:p>
        </w:tc>
        <w:tc>
          <w:tcPr>
            <w:tcW w:w="960" w:type="dxa"/>
            <w:noWrap/>
            <w:hideMark/>
          </w:tcPr>
          <w:p w14:paraId="199D2B0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Ca</w:t>
            </w:r>
          </w:p>
        </w:tc>
        <w:tc>
          <w:tcPr>
            <w:tcW w:w="960" w:type="dxa"/>
            <w:noWrap/>
            <w:hideMark/>
          </w:tcPr>
          <w:p w14:paraId="3D88141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Mg</w:t>
            </w:r>
          </w:p>
        </w:tc>
        <w:tc>
          <w:tcPr>
            <w:tcW w:w="960" w:type="dxa"/>
            <w:noWrap/>
            <w:hideMark/>
          </w:tcPr>
          <w:p w14:paraId="287795D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Na</w:t>
            </w:r>
          </w:p>
        </w:tc>
        <w:tc>
          <w:tcPr>
            <w:tcW w:w="839" w:type="dxa"/>
            <w:vMerge/>
            <w:noWrap/>
            <w:hideMark/>
          </w:tcPr>
          <w:p w14:paraId="0EBB3624" w14:textId="77777777" w:rsidR="00701677" w:rsidRPr="004930C2" w:rsidRDefault="00701677" w:rsidP="00A52F28">
            <w:pPr>
              <w:spacing w:line="480" w:lineRule="auto"/>
              <w:rPr>
                <w:color w:val="000000" w:themeColor="text1"/>
                <w:sz w:val="20"/>
              </w:rPr>
            </w:pPr>
          </w:p>
        </w:tc>
        <w:tc>
          <w:tcPr>
            <w:tcW w:w="839" w:type="dxa"/>
            <w:vMerge/>
            <w:noWrap/>
            <w:hideMark/>
          </w:tcPr>
          <w:p w14:paraId="3F18B3EF" w14:textId="77777777" w:rsidR="00701677" w:rsidRPr="004930C2" w:rsidRDefault="00701677" w:rsidP="00A52F28">
            <w:pPr>
              <w:spacing w:line="480" w:lineRule="auto"/>
              <w:rPr>
                <w:color w:val="000000" w:themeColor="text1"/>
                <w:sz w:val="20"/>
              </w:rPr>
            </w:pPr>
          </w:p>
        </w:tc>
        <w:tc>
          <w:tcPr>
            <w:tcW w:w="1160" w:type="dxa"/>
            <w:vMerge/>
            <w:hideMark/>
          </w:tcPr>
          <w:p w14:paraId="31BB9BC9" w14:textId="77777777" w:rsidR="00701677" w:rsidRPr="004930C2" w:rsidRDefault="00701677" w:rsidP="00A52F28">
            <w:pPr>
              <w:spacing w:line="480" w:lineRule="auto"/>
              <w:rPr>
                <w:color w:val="000000" w:themeColor="text1"/>
                <w:sz w:val="20"/>
              </w:rPr>
            </w:pPr>
          </w:p>
        </w:tc>
      </w:tr>
      <w:tr w:rsidR="00701677" w:rsidRPr="004930C2" w14:paraId="38A201C5" w14:textId="77777777" w:rsidTr="00EA3545">
        <w:trPr>
          <w:trHeight w:val="410"/>
        </w:trPr>
        <w:tc>
          <w:tcPr>
            <w:tcW w:w="1311" w:type="dxa"/>
            <w:vMerge/>
            <w:tcBorders>
              <w:bottom w:val="single" w:sz="4" w:space="0" w:color="auto"/>
            </w:tcBorders>
            <w:noWrap/>
            <w:hideMark/>
          </w:tcPr>
          <w:p w14:paraId="0BE2C548" w14:textId="77777777" w:rsidR="00701677" w:rsidRPr="004930C2" w:rsidRDefault="00701677" w:rsidP="00A52F28">
            <w:pPr>
              <w:spacing w:line="480" w:lineRule="auto"/>
              <w:rPr>
                <w:color w:val="000000" w:themeColor="text1"/>
                <w:sz w:val="20"/>
              </w:rPr>
            </w:pPr>
          </w:p>
        </w:tc>
        <w:tc>
          <w:tcPr>
            <w:tcW w:w="1622" w:type="dxa"/>
            <w:tcBorders>
              <w:bottom w:val="single" w:sz="4" w:space="0" w:color="auto"/>
            </w:tcBorders>
            <w:hideMark/>
          </w:tcPr>
          <w:p w14:paraId="15B708B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°C</w:t>
            </w:r>
          </w:p>
        </w:tc>
        <w:tc>
          <w:tcPr>
            <w:tcW w:w="1148" w:type="dxa"/>
            <w:tcBorders>
              <w:bottom w:val="single" w:sz="4" w:space="0" w:color="auto"/>
            </w:tcBorders>
            <w:hideMark/>
          </w:tcPr>
          <w:p w14:paraId="29D618BE" w14:textId="77777777" w:rsidR="00701677" w:rsidRPr="004930C2" w:rsidRDefault="00701677" w:rsidP="00A52F28">
            <w:pPr>
              <w:spacing w:line="480" w:lineRule="auto"/>
              <w:jc w:val="center"/>
              <w:rPr>
                <w:color w:val="000000" w:themeColor="text1"/>
                <w:sz w:val="20"/>
              </w:rPr>
            </w:pPr>
          </w:p>
        </w:tc>
        <w:tc>
          <w:tcPr>
            <w:tcW w:w="960" w:type="dxa"/>
            <w:tcBorders>
              <w:bottom w:val="single" w:sz="4" w:space="0" w:color="auto"/>
            </w:tcBorders>
            <w:noWrap/>
            <w:hideMark/>
          </w:tcPr>
          <w:p w14:paraId="157FF6B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w:t>
            </w:r>
          </w:p>
        </w:tc>
        <w:tc>
          <w:tcPr>
            <w:tcW w:w="6720" w:type="dxa"/>
            <w:gridSpan w:val="7"/>
            <w:tcBorders>
              <w:bottom w:val="single" w:sz="4" w:space="0" w:color="auto"/>
            </w:tcBorders>
            <w:noWrap/>
            <w:hideMark/>
          </w:tcPr>
          <w:p w14:paraId="692854BE" w14:textId="3B642F7B" w:rsidR="00701677" w:rsidRPr="004930C2" w:rsidRDefault="00701677" w:rsidP="00A52F28">
            <w:pPr>
              <w:spacing w:line="480" w:lineRule="auto"/>
              <w:jc w:val="center"/>
              <w:rPr>
                <w:color w:val="000000" w:themeColor="text1"/>
                <w:sz w:val="20"/>
              </w:rPr>
            </w:pPr>
            <w:r w:rsidRPr="004930C2">
              <w:rPr>
                <w:color w:val="000000" w:themeColor="text1"/>
                <w:sz w:val="20"/>
              </w:rPr>
              <w:t>g kg</w:t>
            </w:r>
            <w:r w:rsidR="00D759C2" w:rsidRPr="004930C2">
              <w:rPr>
                <w:color w:val="000000" w:themeColor="text1"/>
                <w:sz w:val="20"/>
                <w:vertAlign w:val="superscript"/>
              </w:rPr>
              <w:t>−</w:t>
            </w:r>
            <w:r w:rsidRPr="004930C2">
              <w:rPr>
                <w:color w:val="000000" w:themeColor="text1"/>
                <w:sz w:val="20"/>
                <w:vertAlign w:val="superscript"/>
              </w:rPr>
              <w:t>1</w:t>
            </w:r>
            <w:r w:rsidRPr="004930C2">
              <w:rPr>
                <w:color w:val="000000" w:themeColor="text1"/>
                <w:sz w:val="20"/>
              </w:rPr>
              <w:t xml:space="preserve"> dry-basis</w:t>
            </w:r>
          </w:p>
        </w:tc>
        <w:tc>
          <w:tcPr>
            <w:tcW w:w="839" w:type="dxa"/>
            <w:tcBorders>
              <w:bottom w:val="single" w:sz="4" w:space="0" w:color="auto"/>
            </w:tcBorders>
            <w:noWrap/>
            <w:hideMark/>
          </w:tcPr>
          <w:p w14:paraId="4B47F8CE" w14:textId="77777777" w:rsidR="00701677" w:rsidRPr="004930C2" w:rsidRDefault="00701677" w:rsidP="00A52F28">
            <w:pPr>
              <w:spacing w:line="480" w:lineRule="auto"/>
              <w:jc w:val="center"/>
              <w:rPr>
                <w:color w:val="000000" w:themeColor="text1"/>
                <w:sz w:val="20"/>
              </w:rPr>
            </w:pPr>
          </w:p>
        </w:tc>
        <w:tc>
          <w:tcPr>
            <w:tcW w:w="839" w:type="dxa"/>
            <w:tcBorders>
              <w:bottom w:val="single" w:sz="4" w:space="0" w:color="auto"/>
            </w:tcBorders>
            <w:noWrap/>
            <w:hideMark/>
          </w:tcPr>
          <w:p w14:paraId="2320D360" w14:textId="0D7E62A5" w:rsidR="00701677" w:rsidRPr="004930C2" w:rsidRDefault="00701677" w:rsidP="00A52F28">
            <w:pPr>
              <w:spacing w:line="480" w:lineRule="auto"/>
              <w:jc w:val="center"/>
              <w:rPr>
                <w:color w:val="000000" w:themeColor="text1"/>
                <w:sz w:val="20"/>
              </w:rPr>
            </w:pPr>
            <w:r w:rsidRPr="004930C2">
              <w:rPr>
                <w:color w:val="000000" w:themeColor="text1"/>
                <w:sz w:val="20"/>
              </w:rPr>
              <w:t>m</w:t>
            </w:r>
            <w:r w:rsidRPr="004930C2">
              <w:rPr>
                <w:color w:val="000000" w:themeColor="text1"/>
                <w:sz w:val="20"/>
                <w:vertAlign w:val="superscript"/>
              </w:rPr>
              <w:t xml:space="preserve">2 </w:t>
            </w:r>
            <w:r w:rsidRPr="004930C2">
              <w:rPr>
                <w:color w:val="000000" w:themeColor="text1"/>
                <w:sz w:val="20"/>
              </w:rPr>
              <w:t>g</w:t>
            </w:r>
            <w:r w:rsidR="00112866" w:rsidRPr="004930C2">
              <w:rPr>
                <w:color w:val="000000" w:themeColor="text1"/>
                <w:sz w:val="20"/>
                <w:vertAlign w:val="superscript"/>
              </w:rPr>
              <w:t>−</w:t>
            </w:r>
            <w:r w:rsidRPr="004930C2">
              <w:rPr>
                <w:color w:val="000000" w:themeColor="text1"/>
                <w:sz w:val="20"/>
                <w:vertAlign w:val="superscript"/>
              </w:rPr>
              <w:t>1</w:t>
            </w:r>
          </w:p>
        </w:tc>
        <w:tc>
          <w:tcPr>
            <w:tcW w:w="1160" w:type="dxa"/>
            <w:tcBorders>
              <w:bottom w:val="single" w:sz="4" w:space="0" w:color="auto"/>
            </w:tcBorders>
            <w:noWrap/>
            <w:hideMark/>
          </w:tcPr>
          <w:p w14:paraId="3D59C9D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nm</w:t>
            </w:r>
          </w:p>
        </w:tc>
      </w:tr>
      <w:tr w:rsidR="00701677" w:rsidRPr="004930C2" w14:paraId="04A0C287" w14:textId="77777777" w:rsidTr="00EA3545">
        <w:trPr>
          <w:trHeight w:val="227"/>
        </w:trPr>
        <w:tc>
          <w:tcPr>
            <w:tcW w:w="1311" w:type="dxa"/>
            <w:vMerge w:val="restart"/>
            <w:tcBorders>
              <w:top w:val="single" w:sz="4" w:space="0" w:color="auto"/>
            </w:tcBorders>
            <w:noWrap/>
            <w:hideMark/>
          </w:tcPr>
          <w:p w14:paraId="3A2ABE4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Wood</w:t>
            </w:r>
          </w:p>
        </w:tc>
        <w:tc>
          <w:tcPr>
            <w:tcW w:w="1622" w:type="dxa"/>
            <w:tcBorders>
              <w:top w:val="single" w:sz="4" w:space="0" w:color="auto"/>
            </w:tcBorders>
            <w:noWrap/>
            <w:hideMark/>
          </w:tcPr>
          <w:p w14:paraId="14D29039" w14:textId="77777777" w:rsidR="00701677" w:rsidRPr="004930C2" w:rsidRDefault="00701677" w:rsidP="00A52F28">
            <w:pPr>
              <w:spacing w:line="480" w:lineRule="auto"/>
              <w:jc w:val="center"/>
              <w:rPr>
                <w:color w:val="000000" w:themeColor="text1"/>
                <w:sz w:val="20"/>
              </w:rPr>
            </w:pPr>
            <w:r w:rsidRPr="004930C2">
              <w:rPr>
                <w:color w:val="000000" w:themeColor="text1"/>
                <w:sz w:val="20"/>
              </w:rPr>
              <w:t>Raw</w:t>
            </w:r>
          </w:p>
        </w:tc>
        <w:tc>
          <w:tcPr>
            <w:tcW w:w="1148" w:type="dxa"/>
            <w:tcBorders>
              <w:top w:val="single" w:sz="4" w:space="0" w:color="auto"/>
            </w:tcBorders>
            <w:noWrap/>
            <w:hideMark/>
          </w:tcPr>
          <w:p w14:paraId="6CF399CB"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4.46</w:t>
            </w:r>
          </w:p>
          <w:p w14:paraId="585FFEB3"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 0.02</w:t>
            </w:r>
            <w:r w:rsidRPr="004930C2">
              <w:rPr>
                <w:color w:val="000000" w:themeColor="text1"/>
                <w:sz w:val="20"/>
                <w:vertAlign w:val="superscript"/>
              </w:rPr>
              <w:t xml:space="preserve"> a</w:t>
            </w:r>
          </w:p>
        </w:tc>
        <w:tc>
          <w:tcPr>
            <w:tcW w:w="960" w:type="dxa"/>
            <w:tcBorders>
              <w:top w:val="single" w:sz="4" w:space="0" w:color="auto"/>
            </w:tcBorders>
            <w:noWrap/>
            <w:hideMark/>
          </w:tcPr>
          <w:p w14:paraId="75BAFFE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0.02</w:t>
            </w:r>
          </w:p>
          <w:p w14:paraId="21F829D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0.01</w:t>
            </w:r>
          </w:p>
        </w:tc>
        <w:tc>
          <w:tcPr>
            <w:tcW w:w="960" w:type="dxa"/>
            <w:tcBorders>
              <w:top w:val="single" w:sz="4" w:space="0" w:color="auto"/>
            </w:tcBorders>
            <w:noWrap/>
            <w:hideMark/>
          </w:tcPr>
          <w:p w14:paraId="48691C27"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499.4</w:t>
            </w:r>
          </w:p>
          <w:p w14:paraId="0369ED39"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2.5</w:t>
            </w:r>
          </w:p>
        </w:tc>
        <w:tc>
          <w:tcPr>
            <w:tcW w:w="960" w:type="dxa"/>
            <w:tcBorders>
              <w:top w:val="single" w:sz="4" w:space="0" w:color="auto"/>
            </w:tcBorders>
            <w:noWrap/>
            <w:hideMark/>
          </w:tcPr>
          <w:p w14:paraId="11BE4A2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n.d.</w:t>
            </w:r>
          </w:p>
        </w:tc>
        <w:tc>
          <w:tcPr>
            <w:tcW w:w="960" w:type="dxa"/>
            <w:tcBorders>
              <w:top w:val="single" w:sz="4" w:space="0" w:color="auto"/>
            </w:tcBorders>
            <w:noWrap/>
            <w:hideMark/>
          </w:tcPr>
          <w:p w14:paraId="4C2F4E40"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0.11</w:t>
            </w:r>
          </w:p>
          <w:p w14:paraId="4DD9BAC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0.03</w:t>
            </w:r>
          </w:p>
        </w:tc>
        <w:tc>
          <w:tcPr>
            <w:tcW w:w="960" w:type="dxa"/>
            <w:tcBorders>
              <w:top w:val="single" w:sz="4" w:space="0" w:color="auto"/>
            </w:tcBorders>
            <w:noWrap/>
            <w:hideMark/>
          </w:tcPr>
          <w:p w14:paraId="34E0243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0.22</w:t>
            </w:r>
          </w:p>
          <w:p w14:paraId="15DB02DE"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0.05</w:t>
            </w:r>
          </w:p>
        </w:tc>
        <w:tc>
          <w:tcPr>
            <w:tcW w:w="960" w:type="dxa"/>
            <w:tcBorders>
              <w:top w:val="single" w:sz="4" w:space="0" w:color="auto"/>
            </w:tcBorders>
            <w:noWrap/>
            <w:hideMark/>
          </w:tcPr>
          <w:p w14:paraId="0E09B5C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0.54</w:t>
            </w:r>
          </w:p>
          <w:p w14:paraId="259020F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0.03</w:t>
            </w:r>
          </w:p>
        </w:tc>
        <w:tc>
          <w:tcPr>
            <w:tcW w:w="960" w:type="dxa"/>
            <w:tcBorders>
              <w:top w:val="single" w:sz="4" w:space="0" w:color="auto"/>
            </w:tcBorders>
            <w:noWrap/>
            <w:hideMark/>
          </w:tcPr>
          <w:p w14:paraId="254D4CA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0.07</w:t>
            </w:r>
          </w:p>
          <w:p w14:paraId="2182102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0.01</w:t>
            </w:r>
          </w:p>
        </w:tc>
        <w:tc>
          <w:tcPr>
            <w:tcW w:w="960" w:type="dxa"/>
            <w:tcBorders>
              <w:top w:val="single" w:sz="4" w:space="0" w:color="auto"/>
            </w:tcBorders>
            <w:noWrap/>
            <w:hideMark/>
          </w:tcPr>
          <w:p w14:paraId="15B2D3E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0.04</w:t>
            </w:r>
          </w:p>
          <w:p w14:paraId="08782B0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0.06</w:t>
            </w:r>
          </w:p>
        </w:tc>
        <w:tc>
          <w:tcPr>
            <w:tcW w:w="839" w:type="dxa"/>
            <w:tcBorders>
              <w:top w:val="single" w:sz="4" w:space="0" w:color="auto"/>
            </w:tcBorders>
            <w:noWrap/>
            <w:hideMark/>
          </w:tcPr>
          <w:p w14:paraId="051834F1"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w:t>
            </w:r>
          </w:p>
        </w:tc>
        <w:tc>
          <w:tcPr>
            <w:tcW w:w="839" w:type="dxa"/>
            <w:tcBorders>
              <w:top w:val="single" w:sz="4" w:space="0" w:color="auto"/>
            </w:tcBorders>
            <w:noWrap/>
            <w:hideMark/>
          </w:tcPr>
          <w:p w14:paraId="0CB3C344"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4.5</w:t>
            </w:r>
          </w:p>
          <w:p w14:paraId="6756C6A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2.5</w:t>
            </w:r>
          </w:p>
        </w:tc>
        <w:tc>
          <w:tcPr>
            <w:tcW w:w="1160" w:type="dxa"/>
            <w:tcBorders>
              <w:top w:val="single" w:sz="4" w:space="0" w:color="auto"/>
            </w:tcBorders>
            <w:noWrap/>
            <w:hideMark/>
          </w:tcPr>
          <w:p w14:paraId="070F719A"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8.2</w:t>
            </w:r>
          </w:p>
          <w:p w14:paraId="7685C34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3.7</w:t>
            </w:r>
          </w:p>
        </w:tc>
      </w:tr>
      <w:tr w:rsidR="00701677" w:rsidRPr="004930C2" w14:paraId="53AAA1E0" w14:textId="77777777" w:rsidTr="00EA3545">
        <w:trPr>
          <w:trHeight w:val="227"/>
        </w:trPr>
        <w:tc>
          <w:tcPr>
            <w:tcW w:w="1311" w:type="dxa"/>
            <w:vMerge/>
            <w:noWrap/>
            <w:hideMark/>
          </w:tcPr>
          <w:p w14:paraId="265358C9" w14:textId="77777777" w:rsidR="00701677" w:rsidRPr="004930C2" w:rsidRDefault="00701677" w:rsidP="00A52F28">
            <w:pPr>
              <w:spacing w:line="480" w:lineRule="auto"/>
              <w:rPr>
                <w:color w:val="000000" w:themeColor="text1"/>
                <w:sz w:val="20"/>
              </w:rPr>
            </w:pPr>
          </w:p>
        </w:tc>
        <w:tc>
          <w:tcPr>
            <w:tcW w:w="1622" w:type="dxa"/>
            <w:noWrap/>
            <w:hideMark/>
          </w:tcPr>
          <w:p w14:paraId="6681E32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300</w:t>
            </w:r>
          </w:p>
        </w:tc>
        <w:tc>
          <w:tcPr>
            <w:tcW w:w="1148" w:type="dxa"/>
            <w:noWrap/>
            <w:hideMark/>
          </w:tcPr>
          <w:p w14:paraId="1FF3F143"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4.77</w:t>
            </w:r>
          </w:p>
          <w:p w14:paraId="6C7B639D"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 0.01</w:t>
            </w:r>
          </w:p>
        </w:tc>
        <w:tc>
          <w:tcPr>
            <w:tcW w:w="960" w:type="dxa"/>
            <w:noWrap/>
            <w:hideMark/>
          </w:tcPr>
          <w:p w14:paraId="54A97ACA"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0.05</w:t>
            </w:r>
          </w:p>
          <w:p w14:paraId="04D881DC"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0.04</w:t>
            </w:r>
          </w:p>
        </w:tc>
        <w:tc>
          <w:tcPr>
            <w:tcW w:w="960" w:type="dxa"/>
            <w:noWrap/>
            <w:hideMark/>
          </w:tcPr>
          <w:p w14:paraId="00FA8CAC"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584.4</w:t>
            </w:r>
          </w:p>
          <w:p w14:paraId="26F35B5B"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2.5</w:t>
            </w:r>
          </w:p>
        </w:tc>
        <w:tc>
          <w:tcPr>
            <w:tcW w:w="960" w:type="dxa"/>
            <w:noWrap/>
            <w:hideMark/>
          </w:tcPr>
          <w:p w14:paraId="610486B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n.d.</w:t>
            </w:r>
          </w:p>
        </w:tc>
        <w:tc>
          <w:tcPr>
            <w:tcW w:w="960" w:type="dxa"/>
            <w:noWrap/>
            <w:hideMark/>
          </w:tcPr>
          <w:p w14:paraId="05B17CA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0.10</w:t>
            </w:r>
          </w:p>
          <w:p w14:paraId="0507E43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0.02</w:t>
            </w:r>
          </w:p>
        </w:tc>
        <w:tc>
          <w:tcPr>
            <w:tcW w:w="960" w:type="dxa"/>
            <w:noWrap/>
            <w:hideMark/>
          </w:tcPr>
          <w:p w14:paraId="1AC9F74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0.30</w:t>
            </w:r>
          </w:p>
          <w:p w14:paraId="511F4F1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0.09</w:t>
            </w:r>
          </w:p>
        </w:tc>
        <w:tc>
          <w:tcPr>
            <w:tcW w:w="960" w:type="dxa"/>
            <w:noWrap/>
            <w:hideMark/>
          </w:tcPr>
          <w:p w14:paraId="3929A3A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0.60</w:t>
            </w:r>
          </w:p>
          <w:p w14:paraId="0D7750E0"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0.07</w:t>
            </w:r>
          </w:p>
        </w:tc>
        <w:tc>
          <w:tcPr>
            <w:tcW w:w="960" w:type="dxa"/>
            <w:noWrap/>
            <w:hideMark/>
          </w:tcPr>
          <w:p w14:paraId="35665EBE"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0.04</w:t>
            </w:r>
          </w:p>
          <w:p w14:paraId="334D6FCC"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0.03</w:t>
            </w:r>
          </w:p>
        </w:tc>
        <w:tc>
          <w:tcPr>
            <w:tcW w:w="960" w:type="dxa"/>
            <w:noWrap/>
            <w:hideMark/>
          </w:tcPr>
          <w:p w14:paraId="3CC6B79B"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0.05</w:t>
            </w:r>
          </w:p>
          <w:p w14:paraId="2E7E8EA0"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0.05</w:t>
            </w:r>
          </w:p>
        </w:tc>
        <w:tc>
          <w:tcPr>
            <w:tcW w:w="839" w:type="dxa"/>
            <w:noWrap/>
            <w:hideMark/>
          </w:tcPr>
          <w:p w14:paraId="4832576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w:t>
            </w:r>
          </w:p>
        </w:tc>
        <w:tc>
          <w:tcPr>
            <w:tcW w:w="839" w:type="dxa"/>
            <w:noWrap/>
            <w:hideMark/>
          </w:tcPr>
          <w:p w14:paraId="4E4F1A79"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3.6</w:t>
            </w:r>
          </w:p>
          <w:p w14:paraId="4BB785EC"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0.9</w:t>
            </w:r>
          </w:p>
        </w:tc>
        <w:tc>
          <w:tcPr>
            <w:tcW w:w="1160" w:type="dxa"/>
            <w:noWrap/>
            <w:hideMark/>
          </w:tcPr>
          <w:p w14:paraId="5A999323"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9.8</w:t>
            </w:r>
          </w:p>
          <w:p w14:paraId="50AE8ED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2.4</w:t>
            </w:r>
          </w:p>
        </w:tc>
      </w:tr>
      <w:tr w:rsidR="00701677" w:rsidRPr="004930C2" w14:paraId="0AFC0E5D" w14:textId="77777777" w:rsidTr="00EA3545">
        <w:trPr>
          <w:trHeight w:val="227"/>
        </w:trPr>
        <w:tc>
          <w:tcPr>
            <w:tcW w:w="1311" w:type="dxa"/>
            <w:vMerge/>
            <w:noWrap/>
            <w:hideMark/>
          </w:tcPr>
          <w:p w14:paraId="5410EB0F" w14:textId="77777777" w:rsidR="00701677" w:rsidRPr="004930C2" w:rsidRDefault="00701677" w:rsidP="00A52F28">
            <w:pPr>
              <w:spacing w:line="480" w:lineRule="auto"/>
              <w:rPr>
                <w:color w:val="000000" w:themeColor="text1"/>
                <w:sz w:val="20"/>
              </w:rPr>
            </w:pPr>
          </w:p>
        </w:tc>
        <w:tc>
          <w:tcPr>
            <w:tcW w:w="1622" w:type="dxa"/>
            <w:noWrap/>
            <w:hideMark/>
          </w:tcPr>
          <w:p w14:paraId="281692B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450</w:t>
            </w:r>
          </w:p>
        </w:tc>
        <w:tc>
          <w:tcPr>
            <w:tcW w:w="1148" w:type="dxa"/>
            <w:noWrap/>
            <w:hideMark/>
          </w:tcPr>
          <w:p w14:paraId="050832E8"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4.63</w:t>
            </w:r>
          </w:p>
          <w:p w14:paraId="2695A462"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 0.03</w:t>
            </w:r>
          </w:p>
        </w:tc>
        <w:tc>
          <w:tcPr>
            <w:tcW w:w="960" w:type="dxa"/>
            <w:noWrap/>
            <w:hideMark/>
          </w:tcPr>
          <w:p w14:paraId="55CFFC9F"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0.23</w:t>
            </w:r>
          </w:p>
          <w:p w14:paraId="271B425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0.02</w:t>
            </w:r>
          </w:p>
        </w:tc>
        <w:tc>
          <w:tcPr>
            <w:tcW w:w="960" w:type="dxa"/>
            <w:noWrap/>
            <w:hideMark/>
          </w:tcPr>
          <w:p w14:paraId="5BCDEB7C"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721.0</w:t>
            </w:r>
          </w:p>
          <w:p w14:paraId="05CFDE00"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5.5</w:t>
            </w:r>
          </w:p>
        </w:tc>
        <w:tc>
          <w:tcPr>
            <w:tcW w:w="960" w:type="dxa"/>
            <w:noWrap/>
            <w:hideMark/>
          </w:tcPr>
          <w:p w14:paraId="1284535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n.d.</w:t>
            </w:r>
          </w:p>
        </w:tc>
        <w:tc>
          <w:tcPr>
            <w:tcW w:w="960" w:type="dxa"/>
            <w:noWrap/>
            <w:hideMark/>
          </w:tcPr>
          <w:p w14:paraId="797DB99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0.10</w:t>
            </w:r>
          </w:p>
          <w:p w14:paraId="6745F4A0"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0.02</w:t>
            </w:r>
          </w:p>
        </w:tc>
        <w:tc>
          <w:tcPr>
            <w:tcW w:w="960" w:type="dxa"/>
            <w:noWrap/>
            <w:hideMark/>
          </w:tcPr>
          <w:p w14:paraId="01C69A6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0.41</w:t>
            </w:r>
          </w:p>
          <w:p w14:paraId="3B1F54E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0.04</w:t>
            </w:r>
          </w:p>
        </w:tc>
        <w:tc>
          <w:tcPr>
            <w:tcW w:w="960" w:type="dxa"/>
            <w:noWrap/>
            <w:hideMark/>
          </w:tcPr>
          <w:p w14:paraId="3C095E8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1.10</w:t>
            </w:r>
          </w:p>
          <w:p w14:paraId="4E7BBFB3"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0.18</w:t>
            </w:r>
          </w:p>
        </w:tc>
        <w:tc>
          <w:tcPr>
            <w:tcW w:w="960" w:type="dxa"/>
            <w:noWrap/>
            <w:hideMark/>
          </w:tcPr>
          <w:p w14:paraId="7C76166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0.11</w:t>
            </w:r>
          </w:p>
          <w:p w14:paraId="59459E1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0.02</w:t>
            </w:r>
          </w:p>
        </w:tc>
        <w:tc>
          <w:tcPr>
            <w:tcW w:w="960" w:type="dxa"/>
            <w:noWrap/>
            <w:hideMark/>
          </w:tcPr>
          <w:p w14:paraId="5ECDE4B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0.13</w:t>
            </w:r>
          </w:p>
          <w:p w14:paraId="1BCD1C73"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0.04</w:t>
            </w:r>
          </w:p>
        </w:tc>
        <w:tc>
          <w:tcPr>
            <w:tcW w:w="839" w:type="dxa"/>
            <w:noWrap/>
            <w:hideMark/>
          </w:tcPr>
          <w:p w14:paraId="26C92FE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w:t>
            </w:r>
          </w:p>
        </w:tc>
        <w:tc>
          <w:tcPr>
            <w:tcW w:w="839" w:type="dxa"/>
            <w:noWrap/>
            <w:hideMark/>
          </w:tcPr>
          <w:p w14:paraId="0F40BA98" w14:textId="792431A9" w:rsidR="00701677" w:rsidRPr="004930C2" w:rsidRDefault="00701677" w:rsidP="00A52F28">
            <w:pPr>
              <w:spacing w:line="480" w:lineRule="auto"/>
              <w:jc w:val="center"/>
              <w:rPr>
                <w:color w:val="000000" w:themeColor="text1"/>
                <w:sz w:val="20"/>
              </w:rPr>
            </w:pPr>
            <w:r w:rsidRPr="004930C2">
              <w:rPr>
                <w:color w:val="000000" w:themeColor="text1"/>
                <w:sz w:val="20"/>
              </w:rPr>
              <w:t>139.8</w:t>
            </w:r>
          </w:p>
          <w:p w14:paraId="414319BB"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30.7</w:t>
            </w:r>
          </w:p>
        </w:tc>
        <w:tc>
          <w:tcPr>
            <w:tcW w:w="1160" w:type="dxa"/>
            <w:noWrap/>
            <w:hideMark/>
          </w:tcPr>
          <w:p w14:paraId="463F03D5"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2.2</w:t>
            </w:r>
          </w:p>
          <w:p w14:paraId="7A82E79B"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w:t>
            </w:r>
          </w:p>
        </w:tc>
      </w:tr>
      <w:tr w:rsidR="00701677" w:rsidRPr="004930C2" w14:paraId="5C4A5B42" w14:textId="77777777" w:rsidTr="00EA3545">
        <w:trPr>
          <w:trHeight w:val="227"/>
        </w:trPr>
        <w:tc>
          <w:tcPr>
            <w:tcW w:w="1311" w:type="dxa"/>
            <w:vMerge/>
            <w:noWrap/>
            <w:hideMark/>
          </w:tcPr>
          <w:p w14:paraId="02BFAC61" w14:textId="77777777" w:rsidR="00701677" w:rsidRPr="004930C2" w:rsidRDefault="00701677" w:rsidP="00A52F28">
            <w:pPr>
              <w:spacing w:line="480" w:lineRule="auto"/>
              <w:rPr>
                <w:color w:val="000000" w:themeColor="text1"/>
                <w:sz w:val="20"/>
              </w:rPr>
            </w:pPr>
          </w:p>
        </w:tc>
        <w:tc>
          <w:tcPr>
            <w:tcW w:w="1622" w:type="dxa"/>
            <w:noWrap/>
            <w:hideMark/>
          </w:tcPr>
          <w:p w14:paraId="0E44A74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600</w:t>
            </w:r>
          </w:p>
        </w:tc>
        <w:tc>
          <w:tcPr>
            <w:tcW w:w="1148" w:type="dxa"/>
            <w:noWrap/>
            <w:hideMark/>
          </w:tcPr>
          <w:p w14:paraId="7AD15449"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5.34</w:t>
            </w:r>
          </w:p>
          <w:p w14:paraId="4B9B6609"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 0.01</w:t>
            </w:r>
          </w:p>
        </w:tc>
        <w:tc>
          <w:tcPr>
            <w:tcW w:w="960" w:type="dxa"/>
            <w:noWrap/>
            <w:hideMark/>
          </w:tcPr>
          <w:p w14:paraId="23A6484E"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0.24</w:t>
            </w:r>
          </w:p>
          <w:p w14:paraId="3D30946E"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0.03</w:t>
            </w:r>
          </w:p>
        </w:tc>
        <w:tc>
          <w:tcPr>
            <w:tcW w:w="960" w:type="dxa"/>
            <w:noWrap/>
            <w:hideMark/>
          </w:tcPr>
          <w:p w14:paraId="0BBB0D5E"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806.9</w:t>
            </w:r>
          </w:p>
          <w:p w14:paraId="21FC749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5.8</w:t>
            </w:r>
          </w:p>
        </w:tc>
        <w:tc>
          <w:tcPr>
            <w:tcW w:w="960" w:type="dxa"/>
            <w:noWrap/>
            <w:hideMark/>
          </w:tcPr>
          <w:p w14:paraId="6D127DF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n.d.</w:t>
            </w:r>
          </w:p>
        </w:tc>
        <w:tc>
          <w:tcPr>
            <w:tcW w:w="960" w:type="dxa"/>
            <w:noWrap/>
            <w:hideMark/>
          </w:tcPr>
          <w:p w14:paraId="7977E2F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0.11</w:t>
            </w:r>
          </w:p>
          <w:p w14:paraId="074A32F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0.05</w:t>
            </w:r>
          </w:p>
        </w:tc>
        <w:tc>
          <w:tcPr>
            <w:tcW w:w="960" w:type="dxa"/>
            <w:noWrap/>
            <w:hideMark/>
          </w:tcPr>
          <w:p w14:paraId="4491C123"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0.55</w:t>
            </w:r>
          </w:p>
          <w:p w14:paraId="26AB374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0.03</w:t>
            </w:r>
          </w:p>
        </w:tc>
        <w:tc>
          <w:tcPr>
            <w:tcW w:w="960" w:type="dxa"/>
            <w:noWrap/>
            <w:hideMark/>
          </w:tcPr>
          <w:p w14:paraId="11747749"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1.33</w:t>
            </w:r>
          </w:p>
          <w:p w14:paraId="3C10F2D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0.10</w:t>
            </w:r>
          </w:p>
        </w:tc>
        <w:tc>
          <w:tcPr>
            <w:tcW w:w="960" w:type="dxa"/>
            <w:noWrap/>
            <w:hideMark/>
          </w:tcPr>
          <w:p w14:paraId="71416C09"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0.14</w:t>
            </w:r>
          </w:p>
          <w:p w14:paraId="75DA831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0.04</w:t>
            </w:r>
          </w:p>
        </w:tc>
        <w:tc>
          <w:tcPr>
            <w:tcW w:w="960" w:type="dxa"/>
            <w:noWrap/>
            <w:hideMark/>
          </w:tcPr>
          <w:p w14:paraId="5AE4D47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0.17</w:t>
            </w:r>
          </w:p>
          <w:p w14:paraId="17B7A67C"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0.06</w:t>
            </w:r>
          </w:p>
        </w:tc>
        <w:tc>
          <w:tcPr>
            <w:tcW w:w="839" w:type="dxa"/>
            <w:noWrap/>
            <w:hideMark/>
          </w:tcPr>
          <w:p w14:paraId="7B7AA0E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w:t>
            </w:r>
          </w:p>
        </w:tc>
        <w:tc>
          <w:tcPr>
            <w:tcW w:w="839" w:type="dxa"/>
            <w:noWrap/>
            <w:hideMark/>
          </w:tcPr>
          <w:p w14:paraId="2A7CF260" w14:textId="7C92119C" w:rsidR="00701677" w:rsidRPr="004930C2" w:rsidRDefault="00701677" w:rsidP="00A52F28">
            <w:pPr>
              <w:spacing w:line="480" w:lineRule="auto"/>
              <w:jc w:val="center"/>
              <w:rPr>
                <w:color w:val="000000" w:themeColor="text1"/>
                <w:sz w:val="20"/>
              </w:rPr>
            </w:pPr>
            <w:r w:rsidRPr="004930C2">
              <w:rPr>
                <w:color w:val="000000" w:themeColor="text1"/>
                <w:sz w:val="20"/>
              </w:rPr>
              <w:t>532.7</w:t>
            </w:r>
          </w:p>
          <w:p w14:paraId="166B28F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2.6</w:t>
            </w:r>
          </w:p>
        </w:tc>
        <w:tc>
          <w:tcPr>
            <w:tcW w:w="1160" w:type="dxa"/>
            <w:noWrap/>
            <w:hideMark/>
          </w:tcPr>
          <w:p w14:paraId="280F4846"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2.0</w:t>
            </w:r>
          </w:p>
          <w:p w14:paraId="6D54764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w:t>
            </w:r>
          </w:p>
        </w:tc>
      </w:tr>
      <w:tr w:rsidR="00701677" w:rsidRPr="004930C2" w14:paraId="0CE9A4A3" w14:textId="77777777" w:rsidTr="00EA3545">
        <w:trPr>
          <w:trHeight w:val="227"/>
        </w:trPr>
        <w:tc>
          <w:tcPr>
            <w:tcW w:w="1311" w:type="dxa"/>
            <w:vMerge w:val="restart"/>
            <w:noWrap/>
            <w:hideMark/>
          </w:tcPr>
          <w:p w14:paraId="2B9BC852" w14:textId="77777777" w:rsidR="00701677" w:rsidRPr="004930C2" w:rsidRDefault="00701677" w:rsidP="00A52F28">
            <w:pPr>
              <w:spacing w:line="480" w:lineRule="auto"/>
              <w:jc w:val="center"/>
              <w:rPr>
                <w:color w:val="000000" w:themeColor="text1"/>
                <w:sz w:val="20"/>
              </w:rPr>
            </w:pPr>
            <w:r w:rsidRPr="004930C2">
              <w:rPr>
                <w:color w:val="000000" w:themeColor="text1"/>
                <w:sz w:val="20"/>
              </w:rPr>
              <w:lastRenderedPageBreak/>
              <w:t>Dairy manure</w:t>
            </w:r>
          </w:p>
        </w:tc>
        <w:tc>
          <w:tcPr>
            <w:tcW w:w="1622" w:type="dxa"/>
            <w:noWrap/>
            <w:hideMark/>
          </w:tcPr>
          <w:p w14:paraId="1260C75C" w14:textId="77777777" w:rsidR="00701677" w:rsidRPr="004930C2" w:rsidRDefault="00701677" w:rsidP="00A52F28">
            <w:pPr>
              <w:spacing w:line="480" w:lineRule="auto"/>
              <w:jc w:val="center"/>
              <w:rPr>
                <w:color w:val="000000" w:themeColor="text1"/>
                <w:sz w:val="20"/>
              </w:rPr>
            </w:pPr>
            <w:r w:rsidRPr="004930C2">
              <w:rPr>
                <w:color w:val="000000" w:themeColor="text1"/>
                <w:sz w:val="20"/>
              </w:rPr>
              <w:t>Raw</w:t>
            </w:r>
          </w:p>
        </w:tc>
        <w:tc>
          <w:tcPr>
            <w:tcW w:w="1148" w:type="dxa"/>
            <w:noWrap/>
            <w:hideMark/>
          </w:tcPr>
          <w:p w14:paraId="25CCD889"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8.30</w:t>
            </w:r>
          </w:p>
          <w:p w14:paraId="3E9BB784"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 0.01</w:t>
            </w:r>
          </w:p>
        </w:tc>
        <w:tc>
          <w:tcPr>
            <w:tcW w:w="960" w:type="dxa"/>
            <w:noWrap/>
            <w:hideMark/>
          </w:tcPr>
          <w:p w14:paraId="76DC222F"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17.81</w:t>
            </w:r>
          </w:p>
          <w:p w14:paraId="7618601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0.17</w:t>
            </w:r>
          </w:p>
        </w:tc>
        <w:tc>
          <w:tcPr>
            <w:tcW w:w="960" w:type="dxa"/>
            <w:noWrap/>
            <w:hideMark/>
          </w:tcPr>
          <w:p w14:paraId="202BCF8A"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414.3</w:t>
            </w:r>
          </w:p>
          <w:p w14:paraId="4BC5B1FB"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7.1</w:t>
            </w:r>
          </w:p>
        </w:tc>
        <w:tc>
          <w:tcPr>
            <w:tcW w:w="960" w:type="dxa"/>
            <w:noWrap/>
            <w:hideMark/>
          </w:tcPr>
          <w:p w14:paraId="7A49C3A5"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19.1</w:t>
            </w:r>
          </w:p>
          <w:p w14:paraId="7AE38C7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1.3</w:t>
            </w:r>
          </w:p>
        </w:tc>
        <w:tc>
          <w:tcPr>
            <w:tcW w:w="960" w:type="dxa"/>
            <w:noWrap/>
            <w:hideMark/>
          </w:tcPr>
          <w:p w14:paraId="0691D23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8.51</w:t>
            </w:r>
          </w:p>
          <w:p w14:paraId="233A0EA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0.47</w:t>
            </w:r>
          </w:p>
        </w:tc>
        <w:tc>
          <w:tcPr>
            <w:tcW w:w="960" w:type="dxa"/>
            <w:noWrap/>
            <w:hideMark/>
          </w:tcPr>
          <w:p w14:paraId="0550D68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22.24</w:t>
            </w:r>
          </w:p>
          <w:p w14:paraId="09424220"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1.41</w:t>
            </w:r>
          </w:p>
        </w:tc>
        <w:tc>
          <w:tcPr>
            <w:tcW w:w="960" w:type="dxa"/>
            <w:noWrap/>
            <w:hideMark/>
          </w:tcPr>
          <w:p w14:paraId="4DEF73A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10.22</w:t>
            </w:r>
          </w:p>
          <w:p w14:paraId="7633D58E"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0.08</w:t>
            </w:r>
          </w:p>
        </w:tc>
        <w:tc>
          <w:tcPr>
            <w:tcW w:w="960" w:type="dxa"/>
            <w:noWrap/>
            <w:hideMark/>
          </w:tcPr>
          <w:p w14:paraId="3D94A24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4.49</w:t>
            </w:r>
          </w:p>
          <w:p w14:paraId="0A220A4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0.07</w:t>
            </w:r>
          </w:p>
        </w:tc>
        <w:tc>
          <w:tcPr>
            <w:tcW w:w="960" w:type="dxa"/>
            <w:noWrap/>
            <w:hideMark/>
          </w:tcPr>
          <w:p w14:paraId="56F238F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8.02</w:t>
            </w:r>
          </w:p>
          <w:p w14:paraId="258115E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0.35</w:t>
            </w:r>
          </w:p>
        </w:tc>
        <w:tc>
          <w:tcPr>
            <w:tcW w:w="839" w:type="dxa"/>
            <w:noWrap/>
            <w:hideMark/>
          </w:tcPr>
          <w:p w14:paraId="6432308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25.4</w:t>
            </w:r>
          </w:p>
          <w:p w14:paraId="747BD32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2.3</w:t>
            </w:r>
          </w:p>
        </w:tc>
        <w:tc>
          <w:tcPr>
            <w:tcW w:w="839" w:type="dxa"/>
            <w:noWrap/>
            <w:hideMark/>
          </w:tcPr>
          <w:p w14:paraId="4D605689"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3.5</w:t>
            </w:r>
          </w:p>
          <w:p w14:paraId="03E497D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0.8</w:t>
            </w:r>
          </w:p>
        </w:tc>
        <w:tc>
          <w:tcPr>
            <w:tcW w:w="1160" w:type="dxa"/>
            <w:noWrap/>
            <w:hideMark/>
          </w:tcPr>
          <w:p w14:paraId="73A102CA"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14.1</w:t>
            </w:r>
          </w:p>
          <w:p w14:paraId="02F505BC"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3.2</w:t>
            </w:r>
          </w:p>
        </w:tc>
      </w:tr>
      <w:tr w:rsidR="00701677" w:rsidRPr="004930C2" w14:paraId="3531EFEE" w14:textId="77777777" w:rsidTr="00EA3545">
        <w:trPr>
          <w:trHeight w:val="227"/>
        </w:trPr>
        <w:tc>
          <w:tcPr>
            <w:tcW w:w="1311" w:type="dxa"/>
            <w:vMerge/>
            <w:noWrap/>
            <w:hideMark/>
          </w:tcPr>
          <w:p w14:paraId="7A5DC28D" w14:textId="77777777" w:rsidR="00701677" w:rsidRPr="004930C2" w:rsidRDefault="00701677" w:rsidP="00A52F28">
            <w:pPr>
              <w:spacing w:line="480" w:lineRule="auto"/>
              <w:rPr>
                <w:color w:val="000000" w:themeColor="text1"/>
                <w:sz w:val="20"/>
              </w:rPr>
            </w:pPr>
          </w:p>
        </w:tc>
        <w:tc>
          <w:tcPr>
            <w:tcW w:w="1622" w:type="dxa"/>
            <w:noWrap/>
            <w:hideMark/>
          </w:tcPr>
          <w:p w14:paraId="79FD9B0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300</w:t>
            </w:r>
          </w:p>
        </w:tc>
        <w:tc>
          <w:tcPr>
            <w:tcW w:w="1148" w:type="dxa"/>
            <w:noWrap/>
            <w:hideMark/>
          </w:tcPr>
          <w:p w14:paraId="1131BB0F"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8.89</w:t>
            </w:r>
          </w:p>
          <w:p w14:paraId="3BE1DBA2"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 0.06</w:t>
            </w:r>
          </w:p>
        </w:tc>
        <w:tc>
          <w:tcPr>
            <w:tcW w:w="960" w:type="dxa"/>
            <w:noWrap/>
            <w:hideMark/>
          </w:tcPr>
          <w:p w14:paraId="62B39DA2"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29.42</w:t>
            </w:r>
          </w:p>
          <w:p w14:paraId="1FB32A2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0.12</w:t>
            </w:r>
          </w:p>
        </w:tc>
        <w:tc>
          <w:tcPr>
            <w:tcW w:w="960" w:type="dxa"/>
            <w:noWrap/>
            <w:hideMark/>
          </w:tcPr>
          <w:p w14:paraId="37647C33"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481.8</w:t>
            </w:r>
          </w:p>
          <w:p w14:paraId="24FD713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5.7</w:t>
            </w:r>
          </w:p>
        </w:tc>
        <w:tc>
          <w:tcPr>
            <w:tcW w:w="960" w:type="dxa"/>
            <w:noWrap/>
            <w:hideMark/>
          </w:tcPr>
          <w:p w14:paraId="29EC3547"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25.5</w:t>
            </w:r>
          </w:p>
          <w:p w14:paraId="65C49B6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0.1</w:t>
            </w:r>
          </w:p>
        </w:tc>
        <w:tc>
          <w:tcPr>
            <w:tcW w:w="960" w:type="dxa"/>
            <w:noWrap/>
            <w:hideMark/>
          </w:tcPr>
          <w:p w14:paraId="428B1B4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13.07</w:t>
            </w:r>
          </w:p>
          <w:p w14:paraId="6DA36B7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0.98</w:t>
            </w:r>
          </w:p>
        </w:tc>
        <w:tc>
          <w:tcPr>
            <w:tcW w:w="960" w:type="dxa"/>
            <w:noWrap/>
            <w:hideMark/>
          </w:tcPr>
          <w:p w14:paraId="315E457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34.18</w:t>
            </w:r>
          </w:p>
          <w:p w14:paraId="089BB7AE"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2.41</w:t>
            </w:r>
          </w:p>
        </w:tc>
        <w:tc>
          <w:tcPr>
            <w:tcW w:w="960" w:type="dxa"/>
            <w:noWrap/>
            <w:hideMark/>
          </w:tcPr>
          <w:p w14:paraId="58E252B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16.12</w:t>
            </w:r>
          </w:p>
          <w:p w14:paraId="7D8B5140"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0.71</w:t>
            </w:r>
          </w:p>
        </w:tc>
        <w:tc>
          <w:tcPr>
            <w:tcW w:w="960" w:type="dxa"/>
            <w:noWrap/>
            <w:hideMark/>
          </w:tcPr>
          <w:p w14:paraId="64B8F53D" w14:textId="77777777" w:rsidR="00701677" w:rsidRPr="004930C2" w:rsidRDefault="00701677" w:rsidP="00A52F28">
            <w:pPr>
              <w:spacing w:line="480" w:lineRule="auto"/>
              <w:jc w:val="center"/>
              <w:rPr>
                <w:color w:val="000000" w:themeColor="text1"/>
                <w:sz w:val="20"/>
              </w:rPr>
            </w:pPr>
            <w:r w:rsidRPr="004930C2">
              <w:rPr>
                <w:color w:val="000000" w:themeColor="text1"/>
                <w:sz w:val="20"/>
              </w:rPr>
              <w:t>7.12</w:t>
            </w:r>
          </w:p>
          <w:p w14:paraId="26A5221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0.38</w:t>
            </w:r>
          </w:p>
        </w:tc>
        <w:tc>
          <w:tcPr>
            <w:tcW w:w="960" w:type="dxa"/>
            <w:noWrap/>
            <w:hideMark/>
          </w:tcPr>
          <w:p w14:paraId="2818B82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12.37</w:t>
            </w:r>
          </w:p>
          <w:p w14:paraId="575D58B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0.65</w:t>
            </w:r>
          </w:p>
        </w:tc>
        <w:tc>
          <w:tcPr>
            <w:tcW w:w="839" w:type="dxa"/>
            <w:noWrap/>
            <w:hideMark/>
          </w:tcPr>
          <w:p w14:paraId="3320D57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22.0</w:t>
            </w:r>
          </w:p>
          <w:p w14:paraId="0DAB366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0.3</w:t>
            </w:r>
          </w:p>
        </w:tc>
        <w:tc>
          <w:tcPr>
            <w:tcW w:w="839" w:type="dxa"/>
            <w:noWrap/>
            <w:hideMark/>
          </w:tcPr>
          <w:p w14:paraId="7C525837"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3.4</w:t>
            </w:r>
          </w:p>
          <w:p w14:paraId="7E0F378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0.2</w:t>
            </w:r>
          </w:p>
        </w:tc>
        <w:tc>
          <w:tcPr>
            <w:tcW w:w="1160" w:type="dxa"/>
            <w:noWrap/>
            <w:hideMark/>
          </w:tcPr>
          <w:p w14:paraId="28D2387F"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12.6</w:t>
            </w:r>
          </w:p>
          <w:p w14:paraId="23CE1CC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1.2</w:t>
            </w:r>
          </w:p>
        </w:tc>
      </w:tr>
      <w:tr w:rsidR="00701677" w:rsidRPr="004930C2" w14:paraId="37090AC6" w14:textId="77777777" w:rsidTr="00EA3545">
        <w:trPr>
          <w:trHeight w:val="227"/>
        </w:trPr>
        <w:tc>
          <w:tcPr>
            <w:tcW w:w="1311" w:type="dxa"/>
            <w:vMerge/>
            <w:noWrap/>
            <w:hideMark/>
          </w:tcPr>
          <w:p w14:paraId="57CE52CE" w14:textId="77777777" w:rsidR="00701677" w:rsidRPr="004930C2" w:rsidRDefault="00701677" w:rsidP="00A52F28">
            <w:pPr>
              <w:spacing w:line="480" w:lineRule="auto"/>
              <w:rPr>
                <w:color w:val="000000" w:themeColor="text1"/>
                <w:sz w:val="20"/>
              </w:rPr>
            </w:pPr>
          </w:p>
        </w:tc>
        <w:tc>
          <w:tcPr>
            <w:tcW w:w="1622" w:type="dxa"/>
            <w:noWrap/>
            <w:hideMark/>
          </w:tcPr>
          <w:p w14:paraId="214B7E6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450</w:t>
            </w:r>
          </w:p>
        </w:tc>
        <w:tc>
          <w:tcPr>
            <w:tcW w:w="1148" w:type="dxa"/>
            <w:noWrap/>
            <w:hideMark/>
          </w:tcPr>
          <w:p w14:paraId="683D1FE4"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10.10</w:t>
            </w:r>
          </w:p>
          <w:p w14:paraId="0BFD4BF1"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 0.01</w:t>
            </w:r>
          </w:p>
        </w:tc>
        <w:tc>
          <w:tcPr>
            <w:tcW w:w="960" w:type="dxa"/>
            <w:noWrap/>
            <w:hideMark/>
          </w:tcPr>
          <w:p w14:paraId="0F57156D"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40.97</w:t>
            </w:r>
          </w:p>
          <w:p w14:paraId="1ADDA4E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1.05</w:t>
            </w:r>
          </w:p>
        </w:tc>
        <w:tc>
          <w:tcPr>
            <w:tcW w:w="960" w:type="dxa"/>
            <w:noWrap/>
            <w:hideMark/>
          </w:tcPr>
          <w:p w14:paraId="440C157F"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492.6</w:t>
            </w:r>
          </w:p>
          <w:p w14:paraId="1EA19257"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32.5</w:t>
            </w:r>
          </w:p>
        </w:tc>
        <w:tc>
          <w:tcPr>
            <w:tcW w:w="960" w:type="dxa"/>
            <w:noWrap/>
            <w:hideMark/>
          </w:tcPr>
          <w:p w14:paraId="3777C7FB"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22.4</w:t>
            </w:r>
          </w:p>
          <w:p w14:paraId="093FC0C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0.2</w:t>
            </w:r>
          </w:p>
        </w:tc>
        <w:tc>
          <w:tcPr>
            <w:tcW w:w="960" w:type="dxa"/>
            <w:noWrap/>
            <w:hideMark/>
          </w:tcPr>
          <w:p w14:paraId="6DD2540C"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16.33</w:t>
            </w:r>
          </w:p>
          <w:p w14:paraId="38EF497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0.34</w:t>
            </w:r>
          </w:p>
        </w:tc>
        <w:tc>
          <w:tcPr>
            <w:tcW w:w="960" w:type="dxa"/>
            <w:noWrap/>
            <w:hideMark/>
          </w:tcPr>
          <w:p w14:paraId="4EE1624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43.74</w:t>
            </w:r>
          </w:p>
          <w:p w14:paraId="3783D253"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3.44</w:t>
            </w:r>
          </w:p>
        </w:tc>
        <w:tc>
          <w:tcPr>
            <w:tcW w:w="960" w:type="dxa"/>
            <w:noWrap/>
            <w:hideMark/>
          </w:tcPr>
          <w:p w14:paraId="57288B2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20.92</w:t>
            </w:r>
          </w:p>
          <w:p w14:paraId="496F183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0.48</w:t>
            </w:r>
          </w:p>
        </w:tc>
        <w:tc>
          <w:tcPr>
            <w:tcW w:w="960" w:type="dxa"/>
            <w:noWrap/>
            <w:hideMark/>
          </w:tcPr>
          <w:p w14:paraId="4600763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9.17</w:t>
            </w:r>
          </w:p>
          <w:p w14:paraId="1AC397A3"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0.17</w:t>
            </w:r>
          </w:p>
        </w:tc>
        <w:tc>
          <w:tcPr>
            <w:tcW w:w="960" w:type="dxa"/>
            <w:noWrap/>
            <w:hideMark/>
          </w:tcPr>
          <w:p w14:paraId="5C9D0D86"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15.73</w:t>
            </w:r>
          </w:p>
          <w:p w14:paraId="101CA83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0.74</w:t>
            </w:r>
          </w:p>
        </w:tc>
        <w:tc>
          <w:tcPr>
            <w:tcW w:w="839" w:type="dxa"/>
            <w:noWrap/>
            <w:hideMark/>
          </w:tcPr>
          <w:p w14:paraId="366D49D3" w14:textId="77777777" w:rsidR="00701677" w:rsidRPr="004930C2" w:rsidRDefault="00701677" w:rsidP="00A52F28">
            <w:pPr>
              <w:spacing w:line="480" w:lineRule="auto"/>
              <w:jc w:val="center"/>
              <w:rPr>
                <w:color w:val="000000" w:themeColor="text1"/>
                <w:sz w:val="20"/>
              </w:rPr>
            </w:pPr>
            <w:r w:rsidRPr="004930C2">
              <w:rPr>
                <w:color w:val="000000" w:themeColor="text1"/>
                <w:sz w:val="20"/>
              </w:rPr>
              <w:t>25.7</w:t>
            </w:r>
          </w:p>
          <w:p w14:paraId="19B5FE5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2.0</w:t>
            </w:r>
          </w:p>
        </w:tc>
        <w:tc>
          <w:tcPr>
            <w:tcW w:w="839" w:type="dxa"/>
            <w:noWrap/>
            <w:hideMark/>
          </w:tcPr>
          <w:p w14:paraId="75EA3B05"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5.7</w:t>
            </w:r>
          </w:p>
          <w:p w14:paraId="35E7279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0.2</w:t>
            </w:r>
          </w:p>
        </w:tc>
        <w:tc>
          <w:tcPr>
            <w:tcW w:w="1160" w:type="dxa"/>
            <w:noWrap/>
            <w:hideMark/>
          </w:tcPr>
          <w:p w14:paraId="7FE7114A"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14.5</w:t>
            </w:r>
          </w:p>
          <w:p w14:paraId="5E8F359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0.8</w:t>
            </w:r>
          </w:p>
        </w:tc>
      </w:tr>
      <w:tr w:rsidR="00701677" w:rsidRPr="004930C2" w14:paraId="2D45A14B" w14:textId="77777777" w:rsidTr="00EA3545">
        <w:trPr>
          <w:trHeight w:val="227"/>
        </w:trPr>
        <w:tc>
          <w:tcPr>
            <w:tcW w:w="1311" w:type="dxa"/>
            <w:vMerge/>
            <w:tcBorders>
              <w:bottom w:val="single" w:sz="4" w:space="0" w:color="auto"/>
            </w:tcBorders>
            <w:noWrap/>
            <w:hideMark/>
          </w:tcPr>
          <w:p w14:paraId="70EF2AFD" w14:textId="77777777" w:rsidR="00701677" w:rsidRPr="004930C2" w:rsidRDefault="00701677" w:rsidP="00A52F28">
            <w:pPr>
              <w:spacing w:line="480" w:lineRule="auto"/>
              <w:rPr>
                <w:color w:val="000000" w:themeColor="text1"/>
                <w:sz w:val="20"/>
              </w:rPr>
            </w:pPr>
          </w:p>
        </w:tc>
        <w:tc>
          <w:tcPr>
            <w:tcW w:w="1622" w:type="dxa"/>
            <w:tcBorders>
              <w:bottom w:val="single" w:sz="4" w:space="0" w:color="auto"/>
            </w:tcBorders>
            <w:noWrap/>
            <w:hideMark/>
          </w:tcPr>
          <w:p w14:paraId="22511CAE" w14:textId="77777777" w:rsidR="00701677" w:rsidRPr="004930C2" w:rsidRDefault="00701677" w:rsidP="00A52F28">
            <w:pPr>
              <w:spacing w:line="480" w:lineRule="auto"/>
              <w:jc w:val="center"/>
              <w:rPr>
                <w:color w:val="000000" w:themeColor="text1"/>
                <w:sz w:val="20"/>
              </w:rPr>
            </w:pPr>
            <w:r w:rsidRPr="004930C2">
              <w:rPr>
                <w:color w:val="000000" w:themeColor="text1"/>
                <w:sz w:val="20"/>
              </w:rPr>
              <w:t>600</w:t>
            </w:r>
          </w:p>
        </w:tc>
        <w:tc>
          <w:tcPr>
            <w:tcW w:w="1148" w:type="dxa"/>
            <w:tcBorders>
              <w:bottom w:val="single" w:sz="4" w:space="0" w:color="auto"/>
            </w:tcBorders>
            <w:noWrap/>
            <w:hideMark/>
          </w:tcPr>
          <w:p w14:paraId="1CC600ED"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10.61</w:t>
            </w:r>
          </w:p>
          <w:p w14:paraId="731E4309"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 0.01</w:t>
            </w:r>
          </w:p>
        </w:tc>
        <w:tc>
          <w:tcPr>
            <w:tcW w:w="960" w:type="dxa"/>
            <w:tcBorders>
              <w:bottom w:val="single" w:sz="4" w:space="0" w:color="auto"/>
            </w:tcBorders>
            <w:noWrap/>
            <w:hideMark/>
          </w:tcPr>
          <w:p w14:paraId="6AFEA049"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46.07</w:t>
            </w:r>
          </w:p>
          <w:p w14:paraId="4557FFA3"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0.25</w:t>
            </w:r>
          </w:p>
        </w:tc>
        <w:tc>
          <w:tcPr>
            <w:tcW w:w="960" w:type="dxa"/>
            <w:tcBorders>
              <w:bottom w:val="single" w:sz="4" w:space="0" w:color="auto"/>
            </w:tcBorders>
            <w:noWrap/>
            <w:hideMark/>
          </w:tcPr>
          <w:p w14:paraId="5BF6F870"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506.6</w:t>
            </w:r>
          </w:p>
          <w:p w14:paraId="2CA5D3EE"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31.8</w:t>
            </w:r>
          </w:p>
        </w:tc>
        <w:tc>
          <w:tcPr>
            <w:tcW w:w="960" w:type="dxa"/>
            <w:tcBorders>
              <w:bottom w:val="single" w:sz="4" w:space="0" w:color="auto"/>
            </w:tcBorders>
            <w:noWrap/>
            <w:hideMark/>
          </w:tcPr>
          <w:p w14:paraId="70C012DF"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18.6</w:t>
            </w:r>
          </w:p>
          <w:p w14:paraId="13A0E4CF"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0.3</w:t>
            </w:r>
          </w:p>
        </w:tc>
        <w:tc>
          <w:tcPr>
            <w:tcW w:w="960" w:type="dxa"/>
            <w:tcBorders>
              <w:bottom w:val="single" w:sz="4" w:space="0" w:color="auto"/>
            </w:tcBorders>
            <w:noWrap/>
            <w:hideMark/>
          </w:tcPr>
          <w:p w14:paraId="1E768CF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18.00</w:t>
            </w:r>
          </w:p>
          <w:p w14:paraId="450B1A0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0.49</w:t>
            </w:r>
          </w:p>
        </w:tc>
        <w:tc>
          <w:tcPr>
            <w:tcW w:w="960" w:type="dxa"/>
            <w:tcBorders>
              <w:bottom w:val="single" w:sz="4" w:space="0" w:color="auto"/>
            </w:tcBorders>
            <w:noWrap/>
            <w:hideMark/>
          </w:tcPr>
          <w:p w14:paraId="55F1614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48.28</w:t>
            </w:r>
          </w:p>
          <w:p w14:paraId="282D63CB"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2.64</w:t>
            </w:r>
          </w:p>
        </w:tc>
        <w:tc>
          <w:tcPr>
            <w:tcW w:w="960" w:type="dxa"/>
            <w:tcBorders>
              <w:bottom w:val="single" w:sz="4" w:space="0" w:color="auto"/>
            </w:tcBorders>
            <w:noWrap/>
            <w:hideMark/>
          </w:tcPr>
          <w:p w14:paraId="705A2069" w14:textId="77777777" w:rsidR="00701677" w:rsidRPr="004930C2" w:rsidRDefault="00701677" w:rsidP="00A52F28">
            <w:pPr>
              <w:spacing w:line="480" w:lineRule="auto"/>
              <w:jc w:val="center"/>
              <w:rPr>
                <w:color w:val="000000" w:themeColor="text1"/>
                <w:sz w:val="20"/>
              </w:rPr>
            </w:pPr>
            <w:r w:rsidRPr="004930C2">
              <w:rPr>
                <w:color w:val="000000" w:themeColor="text1"/>
                <w:sz w:val="20"/>
              </w:rPr>
              <w:t>23.34</w:t>
            </w:r>
          </w:p>
          <w:p w14:paraId="4C9A48CA"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0.47</w:t>
            </w:r>
          </w:p>
        </w:tc>
        <w:tc>
          <w:tcPr>
            <w:tcW w:w="960" w:type="dxa"/>
            <w:tcBorders>
              <w:bottom w:val="single" w:sz="4" w:space="0" w:color="auto"/>
            </w:tcBorders>
            <w:noWrap/>
            <w:hideMark/>
          </w:tcPr>
          <w:p w14:paraId="55E755E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9.77</w:t>
            </w:r>
          </w:p>
          <w:p w14:paraId="26D78E08"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0.22</w:t>
            </w:r>
          </w:p>
        </w:tc>
        <w:tc>
          <w:tcPr>
            <w:tcW w:w="960" w:type="dxa"/>
            <w:tcBorders>
              <w:bottom w:val="single" w:sz="4" w:space="0" w:color="auto"/>
            </w:tcBorders>
            <w:noWrap/>
            <w:hideMark/>
          </w:tcPr>
          <w:p w14:paraId="3670A033" w14:textId="77777777" w:rsidR="00701677" w:rsidRPr="004930C2" w:rsidRDefault="00701677" w:rsidP="00A52F28">
            <w:pPr>
              <w:spacing w:line="480" w:lineRule="auto"/>
              <w:jc w:val="center"/>
              <w:rPr>
                <w:color w:val="000000" w:themeColor="text1"/>
                <w:sz w:val="20"/>
              </w:rPr>
            </w:pPr>
            <w:r w:rsidRPr="004930C2">
              <w:rPr>
                <w:color w:val="000000" w:themeColor="text1"/>
                <w:sz w:val="20"/>
              </w:rPr>
              <w:t>17.83</w:t>
            </w:r>
          </w:p>
          <w:p w14:paraId="19BE8F75"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0.38</w:t>
            </w:r>
          </w:p>
        </w:tc>
        <w:tc>
          <w:tcPr>
            <w:tcW w:w="839" w:type="dxa"/>
            <w:tcBorders>
              <w:bottom w:val="single" w:sz="4" w:space="0" w:color="auto"/>
            </w:tcBorders>
            <w:noWrap/>
            <w:hideMark/>
          </w:tcPr>
          <w:p w14:paraId="3E92478E" w14:textId="77777777" w:rsidR="00701677" w:rsidRPr="004930C2" w:rsidRDefault="00701677" w:rsidP="00A52F28">
            <w:pPr>
              <w:spacing w:line="480" w:lineRule="auto"/>
              <w:jc w:val="center"/>
              <w:rPr>
                <w:color w:val="000000" w:themeColor="text1"/>
                <w:sz w:val="20"/>
              </w:rPr>
            </w:pPr>
            <w:r w:rsidRPr="004930C2">
              <w:rPr>
                <w:color w:val="000000" w:themeColor="text1"/>
                <w:sz w:val="20"/>
              </w:rPr>
              <w:t>31.8</w:t>
            </w:r>
          </w:p>
          <w:p w14:paraId="0CCFFA71"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1.5</w:t>
            </w:r>
          </w:p>
        </w:tc>
        <w:tc>
          <w:tcPr>
            <w:tcW w:w="839" w:type="dxa"/>
            <w:tcBorders>
              <w:bottom w:val="single" w:sz="4" w:space="0" w:color="auto"/>
            </w:tcBorders>
            <w:noWrap/>
            <w:hideMark/>
          </w:tcPr>
          <w:p w14:paraId="21C76B16"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171.5</w:t>
            </w:r>
          </w:p>
          <w:p w14:paraId="7A640102"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5.0</w:t>
            </w:r>
          </w:p>
        </w:tc>
        <w:tc>
          <w:tcPr>
            <w:tcW w:w="1160" w:type="dxa"/>
            <w:tcBorders>
              <w:bottom w:val="single" w:sz="4" w:space="0" w:color="auto"/>
            </w:tcBorders>
            <w:noWrap/>
            <w:hideMark/>
          </w:tcPr>
          <w:p w14:paraId="698797A5" w14:textId="77777777" w:rsidR="00701677" w:rsidRPr="004930C2" w:rsidRDefault="00701677" w:rsidP="00A52F28">
            <w:pPr>
              <w:wordWrap w:val="0"/>
              <w:spacing w:line="480" w:lineRule="auto"/>
              <w:jc w:val="center"/>
              <w:rPr>
                <w:color w:val="000000" w:themeColor="text1"/>
                <w:sz w:val="20"/>
              </w:rPr>
            </w:pPr>
            <w:r w:rsidRPr="004930C2">
              <w:rPr>
                <w:color w:val="000000" w:themeColor="text1"/>
                <w:sz w:val="20"/>
              </w:rPr>
              <w:t>2.8</w:t>
            </w:r>
          </w:p>
          <w:p w14:paraId="11D180C4" w14:textId="77777777" w:rsidR="00701677" w:rsidRPr="004930C2" w:rsidRDefault="00701677" w:rsidP="00A52F28">
            <w:pPr>
              <w:spacing w:line="480" w:lineRule="auto"/>
              <w:jc w:val="center"/>
              <w:rPr>
                <w:color w:val="000000" w:themeColor="text1"/>
                <w:sz w:val="20"/>
              </w:rPr>
            </w:pPr>
            <w:r w:rsidRPr="004930C2">
              <w:rPr>
                <w:color w:val="000000" w:themeColor="text1"/>
                <w:sz w:val="20"/>
              </w:rPr>
              <w:t>± 0.1</w:t>
            </w:r>
          </w:p>
        </w:tc>
      </w:tr>
    </w:tbl>
    <w:p w14:paraId="36008FB3" w14:textId="77777777" w:rsidR="00A63D73" w:rsidRPr="004930C2" w:rsidRDefault="00A63D73" w:rsidP="00330D39">
      <w:pPr>
        <w:autoSpaceDE w:val="0"/>
        <w:autoSpaceDN w:val="0"/>
        <w:adjustRightInd w:val="0"/>
        <w:spacing w:line="480" w:lineRule="auto"/>
        <w:rPr>
          <w:color w:val="000000" w:themeColor="text1"/>
          <w:sz w:val="20"/>
        </w:rPr>
      </w:pPr>
    </w:p>
    <w:p w14:paraId="36008FB4" w14:textId="3BF7E981" w:rsidR="00A63D73" w:rsidRPr="004930C2" w:rsidRDefault="00A63D73" w:rsidP="00330D39">
      <w:pPr>
        <w:autoSpaceDE w:val="0"/>
        <w:autoSpaceDN w:val="0"/>
        <w:adjustRightInd w:val="0"/>
        <w:spacing w:line="480" w:lineRule="auto"/>
        <w:rPr>
          <w:color w:val="000000" w:themeColor="text1"/>
          <w:sz w:val="20"/>
        </w:rPr>
      </w:pPr>
      <w:r w:rsidRPr="004930C2">
        <w:rPr>
          <w:color w:val="000000" w:themeColor="text1"/>
          <w:sz w:val="20"/>
        </w:rPr>
        <w:t>n.d.</w:t>
      </w:r>
      <w:r w:rsidR="001624DB" w:rsidRPr="004930C2">
        <w:rPr>
          <w:color w:val="000000" w:themeColor="text1"/>
          <w:sz w:val="20"/>
        </w:rPr>
        <w:t>:</w:t>
      </w:r>
      <w:r w:rsidRPr="004930C2">
        <w:rPr>
          <w:color w:val="000000" w:themeColor="text1"/>
          <w:sz w:val="20"/>
        </w:rPr>
        <w:t xml:space="preserve"> not detected</w:t>
      </w:r>
    </w:p>
    <w:p w14:paraId="36008FB5" w14:textId="3580FFF2" w:rsidR="00A63D73" w:rsidRPr="004930C2" w:rsidRDefault="00A63D73" w:rsidP="00330D39">
      <w:pPr>
        <w:spacing w:line="480" w:lineRule="auto"/>
        <w:rPr>
          <w:color w:val="000000" w:themeColor="text1"/>
          <w:sz w:val="20"/>
        </w:rPr>
      </w:pPr>
      <w:r w:rsidRPr="004930C2">
        <w:rPr>
          <w:color w:val="000000" w:themeColor="text1"/>
          <w:sz w:val="20"/>
        </w:rPr>
        <w:t>SSA</w:t>
      </w:r>
      <w:r w:rsidR="001624DB" w:rsidRPr="004930C2">
        <w:rPr>
          <w:color w:val="000000" w:themeColor="text1"/>
          <w:sz w:val="20"/>
        </w:rPr>
        <w:t>:</w:t>
      </w:r>
      <w:r w:rsidRPr="004930C2">
        <w:rPr>
          <w:color w:val="000000" w:themeColor="text1"/>
          <w:sz w:val="20"/>
        </w:rPr>
        <w:t xml:space="preserve"> Specific surface area</w:t>
      </w:r>
    </w:p>
    <w:p w14:paraId="36008FB6" w14:textId="70E9C64F" w:rsidR="00A63D73" w:rsidRPr="004930C2" w:rsidRDefault="00A63D73" w:rsidP="00330D39">
      <w:pPr>
        <w:spacing w:line="480" w:lineRule="auto"/>
        <w:rPr>
          <w:color w:val="000000" w:themeColor="text1"/>
          <w:sz w:val="20"/>
        </w:rPr>
      </w:pPr>
      <w:r w:rsidRPr="004930C2">
        <w:rPr>
          <w:color w:val="000000" w:themeColor="text1"/>
          <w:sz w:val="20"/>
        </w:rPr>
        <w:t>APS</w:t>
      </w:r>
      <w:r w:rsidR="001624DB" w:rsidRPr="004930C2">
        <w:rPr>
          <w:color w:val="000000" w:themeColor="text1"/>
          <w:sz w:val="20"/>
        </w:rPr>
        <w:t>:</w:t>
      </w:r>
      <w:r w:rsidRPr="004930C2">
        <w:rPr>
          <w:color w:val="000000" w:themeColor="text1"/>
          <w:sz w:val="20"/>
        </w:rPr>
        <w:t xml:space="preserve"> Average pore size</w:t>
      </w:r>
    </w:p>
    <w:p w14:paraId="36008FB7" w14:textId="37C48F1C" w:rsidR="00A63D73" w:rsidRPr="004930C2" w:rsidRDefault="00701677" w:rsidP="00330D39">
      <w:pPr>
        <w:spacing w:line="480" w:lineRule="auto"/>
        <w:rPr>
          <w:color w:val="000000" w:themeColor="text1"/>
          <w:sz w:val="20"/>
        </w:rPr>
      </w:pPr>
      <w:proofErr w:type="spellStart"/>
      <w:r w:rsidRPr="004930C2">
        <w:rPr>
          <w:color w:val="000000" w:themeColor="text1"/>
          <w:sz w:val="20"/>
          <w:vertAlign w:val="superscript"/>
        </w:rPr>
        <w:lastRenderedPageBreak/>
        <w:t>a</w:t>
      </w:r>
      <w:proofErr w:type="spellEnd"/>
      <w:r w:rsidRPr="004930C2">
        <w:rPr>
          <w:color w:val="000000" w:themeColor="text1"/>
          <w:sz w:val="20"/>
        </w:rPr>
        <w:t xml:space="preserve"> </w:t>
      </w:r>
      <w:proofErr w:type="gramStart"/>
      <w:r w:rsidRPr="004930C2">
        <w:rPr>
          <w:color w:val="000000" w:themeColor="text1"/>
          <w:sz w:val="20"/>
        </w:rPr>
        <w:t>The</w:t>
      </w:r>
      <w:proofErr w:type="gramEnd"/>
      <w:r w:rsidRPr="004930C2">
        <w:rPr>
          <w:color w:val="000000" w:themeColor="text1"/>
          <w:sz w:val="20"/>
        </w:rPr>
        <w:t xml:space="preserve"> numerical values represent mean ± standard deviation (n = 3)</w:t>
      </w:r>
      <w:r w:rsidR="00A63D73" w:rsidRPr="004930C2">
        <w:rPr>
          <w:color w:val="000000" w:themeColor="text1"/>
          <w:sz w:val="20"/>
        </w:rPr>
        <w:br w:type="page"/>
      </w:r>
    </w:p>
    <w:p w14:paraId="36008FB8" w14:textId="77777777" w:rsidR="00A63D73" w:rsidRPr="004930C2" w:rsidRDefault="00A63D73" w:rsidP="00330D39">
      <w:pPr>
        <w:autoSpaceDE w:val="0"/>
        <w:autoSpaceDN w:val="0"/>
        <w:adjustRightInd w:val="0"/>
        <w:spacing w:line="480" w:lineRule="auto"/>
        <w:rPr>
          <w:color w:val="000000" w:themeColor="text1"/>
          <w:sz w:val="20"/>
        </w:rPr>
        <w:sectPr w:rsidR="00A63D73" w:rsidRPr="004930C2" w:rsidSect="00A63D73">
          <w:pgSz w:w="16838" w:h="11906" w:orient="landscape"/>
          <w:pgMar w:top="1418" w:right="1418" w:bottom="1418" w:left="1418" w:header="851" w:footer="567" w:gutter="0"/>
          <w:lnNumType w:countBy="1" w:restart="continuous"/>
          <w:cols w:space="425"/>
          <w:docGrid w:type="lines" w:linePitch="360"/>
        </w:sectPr>
      </w:pPr>
    </w:p>
    <w:p w14:paraId="36008FB9" w14:textId="7B9B60EE" w:rsidR="00A63D73" w:rsidRPr="004930C2" w:rsidRDefault="00A63D73" w:rsidP="00330D39">
      <w:pPr>
        <w:autoSpaceDE w:val="0"/>
        <w:autoSpaceDN w:val="0"/>
        <w:adjustRightInd w:val="0"/>
        <w:spacing w:line="480" w:lineRule="auto"/>
        <w:rPr>
          <w:color w:val="000000" w:themeColor="text1"/>
          <w:sz w:val="20"/>
        </w:rPr>
      </w:pPr>
      <w:r w:rsidRPr="004930C2">
        <w:rPr>
          <w:color w:val="000000" w:themeColor="text1"/>
          <w:sz w:val="20"/>
        </w:rPr>
        <w:lastRenderedPageBreak/>
        <w:t xml:space="preserve">Table 3. </w:t>
      </w:r>
      <w:r w:rsidR="001624DB" w:rsidRPr="004930C2">
        <w:rPr>
          <w:color w:val="000000" w:themeColor="text1"/>
          <w:sz w:val="20"/>
        </w:rPr>
        <w:t>S</w:t>
      </w:r>
      <w:r w:rsidRPr="004930C2">
        <w:rPr>
          <w:color w:val="000000" w:themeColor="text1"/>
          <w:sz w:val="20"/>
        </w:rPr>
        <w:t>ummary of</w:t>
      </w:r>
      <w:r w:rsidR="0054597B" w:rsidRPr="004930C2">
        <w:rPr>
          <w:color w:val="000000" w:themeColor="text1"/>
          <w:sz w:val="20"/>
        </w:rPr>
        <w:t xml:space="preserve"> </w:t>
      </w:r>
      <w:r w:rsidR="00C87CA5" w:rsidRPr="004930C2">
        <w:rPr>
          <w:color w:val="000000" w:themeColor="text1"/>
          <w:sz w:val="20"/>
        </w:rPr>
        <w:t>Dunnett’s</w:t>
      </w:r>
      <w:r w:rsidRPr="004930C2">
        <w:rPr>
          <w:color w:val="000000" w:themeColor="text1"/>
          <w:sz w:val="20"/>
        </w:rPr>
        <w:t xml:space="preserve"> test</w:t>
      </w:r>
      <w:r w:rsidR="00701677" w:rsidRPr="004930C2">
        <w:rPr>
          <w:color w:val="000000" w:themeColor="text1"/>
          <w:sz w:val="20"/>
        </w:rPr>
        <w:t xml:space="preserve"> on between each biochar-compost treatment and compost alone (control)</w:t>
      </w:r>
    </w:p>
    <w:tbl>
      <w:tblPr>
        <w:tblW w:w="0" w:type="auto"/>
        <w:tblCellMar>
          <w:left w:w="99" w:type="dxa"/>
          <w:right w:w="99" w:type="dxa"/>
        </w:tblCellMar>
        <w:tblLook w:val="04A0" w:firstRow="1" w:lastRow="0" w:firstColumn="1" w:lastColumn="0" w:noHBand="0" w:noVBand="1"/>
      </w:tblPr>
      <w:tblGrid>
        <w:gridCol w:w="2395"/>
        <w:gridCol w:w="1804"/>
        <w:gridCol w:w="1493"/>
        <w:gridCol w:w="1548"/>
        <w:gridCol w:w="1705"/>
      </w:tblGrid>
      <w:tr w:rsidR="004930C2" w:rsidRPr="004930C2" w14:paraId="7173F478" w14:textId="77777777" w:rsidTr="00701677">
        <w:trPr>
          <w:trHeight w:val="454"/>
        </w:trPr>
        <w:tc>
          <w:tcPr>
            <w:tcW w:w="0" w:type="auto"/>
            <w:tcBorders>
              <w:top w:val="single" w:sz="4" w:space="0" w:color="auto"/>
              <w:left w:val="nil"/>
              <w:bottom w:val="nil"/>
              <w:right w:val="nil"/>
            </w:tcBorders>
            <w:shd w:val="clear" w:color="auto" w:fill="auto"/>
            <w:noWrap/>
            <w:vAlign w:val="center"/>
            <w:hideMark/>
          </w:tcPr>
          <w:p w14:paraId="7354E786" w14:textId="77777777" w:rsidR="00701677" w:rsidRPr="004930C2" w:rsidRDefault="00701677" w:rsidP="00A52F28">
            <w:pPr>
              <w:spacing w:line="480" w:lineRule="auto"/>
              <w:rPr>
                <w:color w:val="000000"/>
                <w:sz w:val="20"/>
              </w:rPr>
            </w:pPr>
            <w:r w:rsidRPr="004930C2">
              <w:rPr>
                <w:color w:val="000000"/>
                <w:sz w:val="20"/>
              </w:rPr>
              <w:t>Treatment</w:t>
            </w:r>
          </w:p>
        </w:tc>
        <w:tc>
          <w:tcPr>
            <w:tcW w:w="0" w:type="auto"/>
            <w:gridSpan w:val="4"/>
            <w:tcBorders>
              <w:top w:val="single" w:sz="4" w:space="0" w:color="auto"/>
              <w:left w:val="nil"/>
              <w:bottom w:val="nil"/>
              <w:right w:val="nil"/>
            </w:tcBorders>
            <w:shd w:val="clear" w:color="auto" w:fill="auto"/>
            <w:noWrap/>
            <w:vAlign w:val="center"/>
            <w:hideMark/>
          </w:tcPr>
          <w:p w14:paraId="1B42EC67" w14:textId="77777777" w:rsidR="00701677" w:rsidRPr="004930C2" w:rsidRDefault="00701677" w:rsidP="00A52F28">
            <w:pPr>
              <w:spacing w:line="480" w:lineRule="auto"/>
              <w:rPr>
                <w:color w:val="000000"/>
                <w:sz w:val="20"/>
              </w:rPr>
            </w:pPr>
            <w:r w:rsidRPr="004930C2">
              <w:rPr>
                <w:color w:val="000000"/>
                <w:sz w:val="20"/>
              </w:rPr>
              <w:t>Response variables</w:t>
            </w:r>
          </w:p>
        </w:tc>
      </w:tr>
      <w:tr w:rsidR="004930C2" w:rsidRPr="004930C2" w14:paraId="32D0B7D5" w14:textId="77777777" w:rsidTr="00FD4FE8">
        <w:trPr>
          <w:trHeight w:val="454"/>
        </w:trPr>
        <w:tc>
          <w:tcPr>
            <w:tcW w:w="0" w:type="auto"/>
            <w:tcBorders>
              <w:top w:val="nil"/>
              <w:bottom w:val="nil"/>
            </w:tcBorders>
            <w:shd w:val="clear" w:color="auto" w:fill="auto"/>
            <w:noWrap/>
            <w:hideMark/>
          </w:tcPr>
          <w:p w14:paraId="0876A39F" w14:textId="12E28293" w:rsidR="00701677" w:rsidRPr="004930C2" w:rsidRDefault="00701677" w:rsidP="00A52F28">
            <w:pPr>
              <w:spacing w:line="480" w:lineRule="auto"/>
              <w:rPr>
                <w:color w:val="000000"/>
                <w:sz w:val="20"/>
              </w:rPr>
            </w:pPr>
          </w:p>
        </w:tc>
        <w:tc>
          <w:tcPr>
            <w:tcW w:w="0" w:type="auto"/>
            <w:tcBorders>
              <w:top w:val="single" w:sz="4" w:space="0" w:color="auto"/>
              <w:bottom w:val="nil"/>
            </w:tcBorders>
            <w:shd w:val="clear" w:color="auto" w:fill="auto"/>
            <w:noWrap/>
            <w:hideMark/>
          </w:tcPr>
          <w:p w14:paraId="4A6FC056" w14:textId="77777777" w:rsidR="00701677" w:rsidRPr="004930C2" w:rsidRDefault="00701677" w:rsidP="00A52F28">
            <w:pPr>
              <w:spacing w:line="480" w:lineRule="auto"/>
              <w:rPr>
                <w:i/>
                <w:color w:val="000000"/>
                <w:sz w:val="20"/>
              </w:rPr>
            </w:pPr>
            <w:r w:rsidRPr="004930C2">
              <w:rPr>
                <w:i/>
                <w:color w:val="000000"/>
                <w:sz w:val="20"/>
              </w:rPr>
              <w:t>Biomass production</w:t>
            </w:r>
          </w:p>
        </w:tc>
        <w:tc>
          <w:tcPr>
            <w:tcW w:w="0" w:type="auto"/>
            <w:tcBorders>
              <w:top w:val="single" w:sz="4" w:space="0" w:color="auto"/>
              <w:bottom w:val="nil"/>
            </w:tcBorders>
            <w:noWrap/>
            <w:hideMark/>
          </w:tcPr>
          <w:p w14:paraId="3C327836" w14:textId="77777777" w:rsidR="00701677" w:rsidRPr="004930C2" w:rsidRDefault="00701677" w:rsidP="00A52F28">
            <w:pPr>
              <w:spacing w:line="480" w:lineRule="auto"/>
              <w:rPr>
                <w:i/>
                <w:color w:val="000000"/>
                <w:sz w:val="20"/>
              </w:rPr>
            </w:pPr>
            <w:r w:rsidRPr="004930C2">
              <w:rPr>
                <w:i/>
                <w:color w:val="000000"/>
                <w:sz w:val="20"/>
              </w:rPr>
              <w:t>Nitrogen uptake</w:t>
            </w:r>
          </w:p>
        </w:tc>
        <w:tc>
          <w:tcPr>
            <w:tcW w:w="0" w:type="auto"/>
            <w:tcBorders>
              <w:top w:val="single" w:sz="4" w:space="0" w:color="auto"/>
              <w:bottom w:val="nil"/>
            </w:tcBorders>
            <w:shd w:val="clear" w:color="auto" w:fill="auto"/>
            <w:noWrap/>
            <w:hideMark/>
          </w:tcPr>
          <w:p w14:paraId="773A88B4" w14:textId="77777777" w:rsidR="00701677" w:rsidRPr="004930C2" w:rsidRDefault="00701677" w:rsidP="00A52F28">
            <w:pPr>
              <w:spacing w:line="480" w:lineRule="auto"/>
              <w:rPr>
                <w:i/>
                <w:color w:val="000000"/>
                <w:sz w:val="20"/>
              </w:rPr>
            </w:pPr>
            <w:r w:rsidRPr="004930C2">
              <w:rPr>
                <w:i/>
                <w:color w:val="000000"/>
                <w:sz w:val="20"/>
              </w:rPr>
              <w:t>Nitrogen content</w:t>
            </w:r>
          </w:p>
        </w:tc>
        <w:tc>
          <w:tcPr>
            <w:tcW w:w="0" w:type="auto"/>
            <w:tcBorders>
              <w:top w:val="single" w:sz="4" w:space="0" w:color="auto"/>
              <w:bottom w:val="nil"/>
            </w:tcBorders>
            <w:shd w:val="clear" w:color="auto" w:fill="auto"/>
            <w:noWrap/>
            <w:hideMark/>
          </w:tcPr>
          <w:p w14:paraId="1B9B6079" w14:textId="77777777" w:rsidR="00701677" w:rsidRPr="004930C2" w:rsidRDefault="00701677" w:rsidP="00A52F28">
            <w:pPr>
              <w:spacing w:line="480" w:lineRule="auto"/>
              <w:rPr>
                <w:i/>
                <w:color w:val="000000"/>
                <w:sz w:val="20"/>
              </w:rPr>
            </w:pPr>
            <w:r w:rsidRPr="004930C2">
              <w:rPr>
                <w:i/>
                <w:color w:val="000000"/>
                <w:sz w:val="20"/>
              </w:rPr>
              <w:t>δ</w:t>
            </w:r>
            <w:r w:rsidRPr="004930C2">
              <w:rPr>
                <w:i/>
                <w:color w:val="000000"/>
                <w:sz w:val="20"/>
                <w:vertAlign w:val="superscript"/>
              </w:rPr>
              <w:t>15</w:t>
            </w:r>
            <w:r w:rsidRPr="004930C2">
              <w:rPr>
                <w:i/>
                <w:color w:val="000000"/>
                <w:sz w:val="20"/>
              </w:rPr>
              <w:t>N value of plant</w:t>
            </w:r>
          </w:p>
        </w:tc>
      </w:tr>
      <w:tr w:rsidR="004930C2" w:rsidRPr="004930C2" w14:paraId="4EE1F507" w14:textId="77777777" w:rsidTr="00FD4FE8">
        <w:trPr>
          <w:trHeight w:val="454"/>
        </w:trPr>
        <w:tc>
          <w:tcPr>
            <w:tcW w:w="0" w:type="auto"/>
            <w:tcBorders>
              <w:top w:val="single" w:sz="4" w:space="0" w:color="auto"/>
            </w:tcBorders>
            <w:shd w:val="clear" w:color="auto" w:fill="auto"/>
            <w:noWrap/>
            <w:hideMark/>
          </w:tcPr>
          <w:p w14:paraId="0C2930DC" w14:textId="16B7FB7A" w:rsidR="00701677" w:rsidRPr="004930C2" w:rsidRDefault="00701677" w:rsidP="00A52F28">
            <w:pPr>
              <w:spacing w:line="480" w:lineRule="auto"/>
              <w:rPr>
                <w:color w:val="000000"/>
                <w:sz w:val="20"/>
              </w:rPr>
            </w:pPr>
            <w:r w:rsidRPr="004930C2">
              <w:rPr>
                <w:color w:val="000000"/>
                <w:sz w:val="20"/>
              </w:rPr>
              <w:t>Compost + WD</w:t>
            </w:r>
            <w:r w:rsidRPr="004930C2">
              <w:rPr>
                <w:color w:val="000000"/>
                <w:sz w:val="20"/>
                <w:vertAlign w:val="subscript"/>
              </w:rPr>
              <w:t>BC</w:t>
            </w:r>
            <w:r w:rsidRPr="004930C2">
              <w:rPr>
                <w:color w:val="000000"/>
                <w:sz w:val="20"/>
              </w:rPr>
              <w:t xml:space="preserve"> (300°C)</w:t>
            </w:r>
            <w:r w:rsidRPr="004930C2">
              <w:rPr>
                <w:color w:val="000000"/>
                <w:sz w:val="20"/>
                <w:vertAlign w:val="superscript"/>
              </w:rPr>
              <w:t>a</w:t>
            </w:r>
          </w:p>
        </w:tc>
        <w:tc>
          <w:tcPr>
            <w:tcW w:w="0" w:type="auto"/>
            <w:tcBorders>
              <w:top w:val="single" w:sz="4" w:space="0" w:color="auto"/>
            </w:tcBorders>
            <w:shd w:val="clear" w:color="auto" w:fill="auto"/>
            <w:noWrap/>
            <w:hideMark/>
          </w:tcPr>
          <w:p w14:paraId="23443088" w14:textId="2B372208"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0.800</w:t>
            </w:r>
          </w:p>
        </w:tc>
        <w:tc>
          <w:tcPr>
            <w:tcW w:w="0" w:type="auto"/>
            <w:tcBorders>
              <w:top w:val="single" w:sz="4" w:space="0" w:color="auto"/>
            </w:tcBorders>
            <w:shd w:val="clear" w:color="auto" w:fill="auto"/>
            <w:noWrap/>
            <w:hideMark/>
          </w:tcPr>
          <w:p w14:paraId="0A068543" w14:textId="7D2154E9"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0.368</w:t>
            </w:r>
          </w:p>
        </w:tc>
        <w:tc>
          <w:tcPr>
            <w:tcW w:w="0" w:type="auto"/>
            <w:tcBorders>
              <w:top w:val="single" w:sz="4" w:space="0" w:color="auto"/>
            </w:tcBorders>
            <w:shd w:val="clear" w:color="auto" w:fill="auto"/>
            <w:noWrap/>
            <w:hideMark/>
          </w:tcPr>
          <w:p w14:paraId="37330321" w14:textId="02C35DD8"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0.616</w:t>
            </w:r>
          </w:p>
        </w:tc>
        <w:tc>
          <w:tcPr>
            <w:tcW w:w="0" w:type="auto"/>
            <w:tcBorders>
              <w:top w:val="single" w:sz="4" w:space="0" w:color="auto"/>
            </w:tcBorders>
            <w:shd w:val="clear" w:color="auto" w:fill="auto"/>
            <w:noWrap/>
            <w:hideMark/>
          </w:tcPr>
          <w:p w14:paraId="3B0BCDC6" w14:textId="77777777"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&lt; 0.001</w:t>
            </w:r>
          </w:p>
        </w:tc>
      </w:tr>
      <w:tr w:rsidR="004930C2" w:rsidRPr="004930C2" w14:paraId="56B74546" w14:textId="77777777" w:rsidTr="00FD4FE8">
        <w:trPr>
          <w:trHeight w:val="454"/>
        </w:trPr>
        <w:tc>
          <w:tcPr>
            <w:tcW w:w="0" w:type="auto"/>
            <w:tcBorders>
              <w:bottom w:val="nil"/>
            </w:tcBorders>
            <w:shd w:val="clear" w:color="auto" w:fill="auto"/>
            <w:noWrap/>
            <w:hideMark/>
          </w:tcPr>
          <w:p w14:paraId="4D81EE0D" w14:textId="1BF3C9DD" w:rsidR="00701677" w:rsidRPr="004930C2" w:rsidRDefault="00701677" w:rsidP="00A52F28">
            <w:pPr>
              <w:spacing w:line="480" w:lineRule="auto"/>
              <w:rPr>
                <w:color w:val="000000"/>
                <w:sz w:val="20"/>
              </w:rPr>
            </w:pPr>
            <w:r w:rsidRPr="004930C2">
              <w:rPr>
                <w:color w:val="000000"/>
                <w:sz w:val="20"/>
              </w:rPr>
              <w:t>Compost + WD</w:t>
            </w:r>
            <w:r w:rsidRPr="004930C2">
              <w:rPr>
                <w:color w:val="000000"/>
                <w:sz w:val="20"/>
                <w:vertAlign w:val="subscript"/>
              </w:rPr>
              <w:t>BC</w:t>
            </w:r>
            <w:r w:rsidRPr="004930C2">
              <w:rPr>
                <w:color w:val="000000"/>
                <w:sz w:val="20"/>
              </w:rPr>
              <w:t xml:space="preserve"> (450°C)</w:t>
            </w:r>
          </w:p>
        </w:tc>
        <w:tc>
          <w:tcPr>
            <w:tcW w:w="0" w:type="auto"/>
            <w:tcBorders>
              <w:bottom w:val="nil"/>
            </w:tcBorders>
            <w:shd w:val="clear" w:color="auto" w:fill="auto"/>
            <w:noWrap/>
            <w:hideMark/>
          </w:tcPr>
          <w:p w14:paraId="0C9640C4" w14:textId="7293E512"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0.392</w:t>
            </w:r>
          </w:p>
        </w:tc>
        <w:tc>
          <w:tcPr>
            <w:tcW w:w="0" w:type="auto"/>
            <w:tcBorders>
              <w:bottom w:val="nil"/>
            </w:tcBorders>
            <w:shd w:val="clear" w:color="auto" w:fill="auto"/>
            <w:noWrap/>
            <w:hideMark/>
          </w:tcPr>
          <w:p w14:paraId="7B3F6316" w14:textId="2EC7E6D1"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0.143</w:t>
            </w:r>
          </w:p>
        </w:tc>
        <w:tc>
          <w:tcPr>
            <w:tcW w:w="0" w:type="auto"/>
            <w:tcBorders>
              <w:bottom w:val="nil"/>
            </w:tcBorders>
            <w:shd w:val="clear" w:color="auto" w:fill="auto"/>
            <w:noWrap/>
            <w:hideMark/>
          </w:tcPr>
          <w:p w14:paraId="49C9328F" w14:textId="45EE9C65"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0.425</w:t>
            </w:r>
          </w:p>
        </w:tc>
        <w:tc>
          <w:tcPr>
            <w:tcW w:w="0" w:type="auto"/>
            <w:tcBorders>
              <w:bottom w:val="nil"/>
            </w:tcBorders>
            <w:shd w:val="clear" w:color="auto" w:fill="auto"/>
            <w:noWrap/>
            <w:hideMark/>
          </w:tcPr>
          <w:p w14:paraId="46A5839F" w14:textId="77777777"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&lt; 0.001</w:t>
            </w:r>
          </w:p>
        </w:tc>
      </w:tr>
      <w:tr w:rsidR="004930C2" w:rsidRPr="004930C2" w14:paraId="3B329CAD" w14:textId="77777777" w:rsidTr="00701677">
        <w:trPr>
          <w:trHeight w:val="454"/>
        </w:trPr>
        <w:tc>
          <w:tcPr>
            <w:tcW w:w="0" w:type="auto"/>
            <w:tcBorders>
              <w:top w:val="nil"/>
              <w:left w:val="nil"/>
              <w:bottom w:val="nil"/>
              <w:right w:val="nil"/>
            </w:tcBorders>
            <w:shd w:val="clear" w:color="auto" w:fill="auto"/>
            <w:noWrap/>
            <w:vAlign w:val="center"/>
            <w:hideMark/>
          </w:tcPr>
          <w:p w14:paraId="4FE97874" w14:textId="77777777" w:rsidR="00701677" w:rsidRPr="004930C2" w:rsidRDefault="00701677" w:rsidP="00A52F28">
            <w:pPr>
              <w:spacing w:line="480" w:lineRule="auto"/>
              <w:rPr>
                <w:color w:val="000000"/>
                <w:sz w:val="20"/>
              </w:rPr>
            </w:pPr>
            <w:r w:rsidRPr="004930C2">
              <w:rPr>
                <w:color w:val="000000"/>
                <w:sz w:val="20"/>
              </w:rPr>
              <w:t>Compost + WD</w:t>
            </w:r>
            <w:r w:rsidRPr="004930C2">
              <w:rPr>
                <w:color w:val="000000"/>
                <w:sz w:val="20"/>
                <w:vertAlign w:val="subscript"/>
              </w:rPr>
              <w:t>BC</w:t>
            </w:r>
            <w:r w:rsidRPr="004930C2">
              <w:rPr>
                <w:color w:val="000000"/>
                <w:sz w:val="20"/>
              </w:rPr>
              <w:t xml:space="preserve"> (600°C)</w:t>
            </w:r>
          </w:p>
        </w:tc>
        <w:tc>
          <w:tcPr>
            <w:tcW w:w="0" w:type="auto"/>
            <w:tcBorders>
              <w:top w:val="nil"/>
              <w:left w:val="nil"/>
              <w:bottom w:val="nil"/>
              <w:right w:val="nil"/>
            </w:tcBorders>
            <w:shd w:val="clear" w:color="auto" w:fill="auto"/>
            <w:noWrap/>
            <w:vAlign w:val="center"/>
            <w:hideMark/>
          </w:tcPr>
          <w:p w14:paraId="4ABED4CE" w14:textId="6CAD82F4"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0.971</w:t>
            </w:r>
          </w:p>
        </w:tc>
        <w:tc>
          <w:tcPr>
            <w:tcW w:w="0" w:type="auto"/>
            <w:tcBorders>
              <w:top w:val="nil"/>
              <w:left w:val="nil"/>
              <w:bottom w:val="nil"/>
              <w:right w:val="nil"/>
            </w:tcBorders>
            <w:shd w:val="clear" w:color="auto" w:fill="auto"/>
            <w:noWrap/>
            <w:vAlign w:val="center"/>
            <w:hideMark/>
          </w:tcPr>
          <w:p w14:paraId="15F6B470" w14:textId="7DAD16DF" w:rsidR="00701677" w:rsidRPr="004930C2" w:rsidRDefault="00701677" w:rsidP="00A52F28">
            <w:pPr>
              <w:spacing w:line="480" w:lineRule="auto"/>
              <w:rPr>
                <w:color w:val="000000"/>
                <w:sz w:val="20"/>
              </w:rPr>
            </w:pPr>
            <w:r w:rsidRPr="004930C2">
              <w:rPr>
                <w:i/>
                <w:color w:val="000000"/>
                <w:sz w:val="20"/>
              </w:rPr>
              <w:t xml:space="preserve">p </w:t>
            </w:r>
            <w:r w:rsidRPr="004930C2">
              <w:rPr>
                <w:color w:val="000000"/>
                <w:sz w:val="20"/>
              </w:rPr>
              <w:t>= 0.070</w:t>
            </w:r>
          </w:p>
        </w:tc>
        <w:tc>
          <w:tcPr>
            <w:tcW w:w="0" w:type="auto"/>
            <w:tcBorders>
              <w:top w:val="nil"/>
              <w:left w:val="nil"/>
              <w:bottom w:val="nil"/>
              <w:right w:val="nil"/>
            </w:tcBorders>
            <w:shd w:val="clear" w:color="auto" w:fill="auto"/>
            <w:noWrap/>
            <w:vAlign w:val="center"/>
            <w:hideMark/>
          </w:tcPr>
          <w:p w14:paraId="3474D8BF" w14:textId="4F8BFAE5" w:rsidR="00701677" w:rsidRPr="004930C2" w:rsidRDefault="00701677" w:rsidP="00A52F28">
            <w:pPr>
              <w:spacing w:line="480" w:lineRule="auto"/>
              <w:rPr>
                <w:b/>
                <w:color w:val="000000"/>
                <w:sz w:val="20"/>
              </w:rPr>
            </w:pPr>
            <w:r w:rsidRPr="004930C2">
              <w:rPr>
                <w:b/>
                <w:i/>
                <w:color w:val="000000"/>
                <w:sz w:val="20"/>
              </w:rPr>
              <w:t xml:space="preserve">p </w:t>
            </w:r>
            <w:r w:rsidRPr="004930C2">
              <w:rPr>
                <w:b/>
                <w:color w:val="000000"/>
                <w:sz w:val="20"/>
              </w:rPr>
              <w:t>= 0.001</w:t>
            </w:r>
          </w:p>
        </w:tc>
        <w:tc>
          <w:tcPr>
            <w:tcW w:w="0" w:type="auto"/>
            <w:tcBorders>
              <w:top w:val="nil"/>
              <w:left w:val="nil"/>
              <w:bottom w:val="nil"/>
              <w:right w:val="nil"/>
            </w:tcBorders>
            <w:shd w:val="clear" w:color="auto" w:fill="auto"/>
            <w:noWrap/>
            <w:vAlign w:val="center"/>
            <w:hideMark/>
          </w:tcPr>
          <w:p w14:paraId="01ABE9BD" w14:textId="77777777"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&lt; 0.001</w:t>
            </w:r>
          </w:p>
        </w:tc>
      </w:tr>
      <w:tr w:rsidR="004930C2" w:rsidRPr="004930C2" w14:paraId="70CB6AEA" w14:textId="77777777" w:rsidTr="00701677">
        <w:trPr>
          <w:trHeight w:val="454"/>
        </w:trPr>
        <w:tc>
          <w:tcPr>
            <w:tcW w:w="0" w:type="auto"/>
            <w:tcBorders>
              <w:top w:val="nil"/>
              <w:left w:val="nil"/>
              <w:bottom w:val="nil"/>
              <w:right w:val="nil"/>
            </w:tcBorders>
            <w:shd w:val="clear" w:color="auto" w:fill="auto"/>
            <w:noWrap/>
            <w:vAlign w:val="center"/>
            <w:hideMark/>
          </w:tcPr>
          <w:p w14:paraId="1FB1685A" w14:textId="77777777" w:rsidR="00701677" w:rsidRPr="004930C2" w:rsidRDefault="00701677" w:rsidP="00A52F28">
            <w:pPr>
              <w:spacing w:line="480" w:lineRule="auto"/>
              <w:rPr>
                <w:color w:val="000000"/>
                <w:sz w:val="20"/>
              </w:rPr>
            </w:pPr>
            <w:r w:rsidRPr="004930C2">
              <w:rPr>
                <w:color w:val="000000"/>
                <w:sz w:val="20"/>
              </w:rPr>
              <w:t>Compost + DM</w:t>
            </w:r>
            <w:r w:rsidRPr="004930C2">
              <w:rPr>
                <w:color w:val="000000"/>
                <w:sz w:val="20"/>
                <w:vertAlign w:val="subscript"/>
              </w:rPr>
              <w:t>BC</w:t>
            </w:r>
            <w:r w:rsidRPr="004930C2">
              <w:rPr>
                <w:color w:val="000000"/>
                <w:sz w:val="20"/>
              </w:rPr>
              <w:t xml:space="preserve"> (300°C)</w:t>
            </w:r>
          </w:p>
        </w:tc>
        <w:tc>
          <w:tcPr>
            <w:tcW w:w="0" w:type="auto"/>
            <w:tcBorders>
              <w:top w:val="nil"/>
              <w:left w:val="nil"/>
              <w:bottom w:val="nil"/>
              <w:right w:val="nil"/>
            </w:tcBorders>
            <w:shd w:val="clear" w:color="auto" w:fill="auto"/>
            <w:noWrap/>
            <w:vAlign w:val="center"/>
            <w:hideMark/>
          </w:tcPr>
          <w:p w14:paraId="73FD0475" w14:textId="5785CA9E"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0.252</w:t>
            </w:r>
          </w:p>
        </w:tc>
        <w:tc>
          <w:tcPr>
            <w:tcW w:w="0" w:type="auto"/>
            <w:tcBorders>
              <w:top w:val="nil"/>
              <w:left w:val="nil"/>
              <w:bottom w:val="nil"/>
              <w:right w:val="nil"/>
            </w:tcBorders>
            <w:shd w:val="clear" w:color="auto" w:fill="auto"/>
            <w:noWrap/>
            <w:vAlign w:val="center"/>
            <w:hideMark/>
          </w:tcPr>
          <w:p w14:paraId="4CA0EC72" w14:textId="02CC9642" w:rsidR="00701677" w:rsidRPr="004930C2" w:rsidRDefault="00701677" w:rsidP="00A52F28">
            <w:pPr>
              <w:spacing w:line="480" w:lineRule="auto"/>
              <w:rPr>
                <w:b/>
                <w:color w:val="000000"/>
                <w:sz w:val="20"/>
              </w:rPr>
            </w:pPr>
            <w:r w:rsidRPr="004930C2">
              <w:rPr>
                <w:b/>
                <w:i/>
                <w:color w:val="000000"/>
                <w:sz w:val="20"/>
              </w:rPr>
              <w:t xml:space="preserve">p </w:t>
            </w:r>
            <w:r w:rsidRPr="004930C2">
              <w:rPr>
                <w:b/>
                <w:color w:val="000000"/>
                <w:sz w:val="20"/>
              </w:rPr>
              <w:t>= 0.003</w:t>
            </w:r>
          </w:p>
        </w:tc>
        <w:tc>
          <w:tcPr>
            <w:tcW w:w="0" w:type="auto"/>
            <w:tcBorders>
              <w:top w:val="nil"/>
              <w:left w:val="nil"/>
              <w:bottom w:val="nil"/>
              <w:right w:val="nil"/>
            </w:tcBorders>
            <w:shd w:val="clear" w:color="auto" w:fill="auto"/>
            <w:noWrap/>
            <w:vAlign w:val="center"/>
            <w:hideMark/>
          </w:tcPr>
          <w:p w14:paraId="549BB9A3" w14:textId="48250F63" w:rsidR="00701677" w:rsidRPr="004930C2" w:rsidRDefault="00701677" w:rsidP="00A52F28">
            <w:pPr>
              <w:spacing w:line="480" w:lineRule="auto"/>
              <w:rPr>
                <w:b/>
                <w:color w:val="000000"/>
                <w:sz w:val="20"/>
              </w:rPr>
            </w:pPr>
            <w:r w:rsidRPr="004930C2">
              <w:rPr>
                <w:b/>
                <w:i/>
                <w:color w:val="000000"/>
                <w:sz w:val="20"/>
              </w:rPr>
              <w:t xml:space="preserve">p </w:t>
            </w:r>
            <w:r w:rsidRPr="004930C2">
              <w:rPr>
                <w:b/>
                <w:color w:val="000000"/>
                <w:sz w:val="20"/>
              </w:rPr>
              <w:t>= 0.010</w:t>
            </w:r>
          </w:p>
        </w:tc>
        <w:tc>
          <w:tcPr>
            <w:tcW w:w="0" w:type="auto"/>
            <w:tcBorders>
              <w:top w:val="nil"/>
              <w:left w:val="nil"/>
              <w:bottom w:val="nil"/>
              <w:right w:val="nil"/>
            </w:tcBorders>
            <w:shd w:val="clear" w:color="auto" w:fill="auto"/>
            <w:noWrap/>
            <w:vAlign w:val="center"/>
            <w:hideMark/>
          </w:tcPr>
          <w:p w14:paraId="752D9574" w14:textId="77777777"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&lt; 0.001</w:t>
            </w:r>
          </w:p>
        </w:tc>
      </w:tr>
      <w:tr w:rsidR="004930C2" w:rsidRPr="004930C2" w14:paraId="79BCC3E9" w14:textId="77777777" w:rsidTr="00701677">
        <w:trPr>
          <w:trHeight w:val="454"/>
        </w:trPr>
        <w:tc>
          <w:tcPr>
            <w:tcW w:w="0" w:type="auto"/>
            <w:tcBorders>
              <w:top w:val="nil"/>
              <w:left w:val="nil"/>
              <w:bottom w:val="nil"/>
              <w:right w:val="nil"/>
            </w:tcBorders>
            <w:shd w:val="clear" w:color="auto" w:fill="auto"/>
            <w:noWrap/>
            <w:vAlign w:val="center"/>
            <w:hideMark/>
          </w:tcPr>
          <w:p w14:paraId="46D182E0" w14:textId="77777777" w:rsidR="00701677" w:rsidRPr="004930C2" w:rsidRDefault="00701677" w:rsidP="00A52F28">
            <w:pPr>
              <w:spacing w:line="480" w:lineRule="auto"/>
              <w:rPr>
                <w:color w:val="000000"/>
                <w:sz w:val="20"/>
              </w:rPr>
            </w:pPr>
            <w:r w:rsidRPr="004930C2">
              <w:rPr>
                <w:color w:val="000000"/>
                <w:sz w:val="20"/>
              </w:rPr>
              <w:t>Compost + DM</w:t>
            </w:r>
            <w:r w:rsidRPr="004930C2">
              <w:rPr>
                <w:color w:val="000000"/>
                <w:sz w:val="20"/>
                <w:vertAlign w:val="subscript"/>
              </w:rPr>
              <w:t>BC</w:t>
            </w:r>
            <w:r w:rsidRPr="004930C2">
              <w:rPr>
                <w:color w:val="000000"/>
                <w:sz w:val="20"/>
              </w:rPr>
              <w:t xml:space="preserve"> (450°C)</w:t>
            </w:r>
          </w:p>
        </w:tc>
        <w:tc>
          <w:tcPr>
            <w:tcW w:w="0" w:type="auto"/>
            <w:tcBorders>
              <w:top w:val="nil"/>
              <w:left w:val="nil"/>
              <w:bottom w:val="nil"/>
              <w:right w:val="nil"/>
            </w:tcBorders>
            <w:shd w:val="clear" w:color="auto" w:fill="auto"/>
            <w:noWrap/>
            <w:vAlign w:val="center"/>
            <w:hideMark/>
          </w:tcPr>
          <w:p w14:paraId="6E96AC8E" w14:textId="58660136"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 0.021</w:t>
            </w:r>
          </w:p>
        </w:tc>
        <w:tc>
          <w:tcPr>
            <w:tcW w:w="0" w:type="auto"/>
            <w:tcBorders>
              <w:top w:val="nil"/>
              <w:left w:val="nil"/>
              <w:bottom w:val="nil"/>
              <w:right w:val="nil"/>
            </w:tcBorders>
            <w:shd w:val="clear" w:color="auto" w:fill="auto"/>
            <w:noWrap/>
            <w:vAlign w:val="center"/>
            <w:hideMark/>
          </w:tcPr>
          <w:p w14:paraId="2566B3FB" w14:textId="77777777" w:rsidR="00701677" w:rsidRPr="004930C2" w:rsidRDefault="00701677" w:rsidP="00A52F28">
            <w:pPr>
              <w:spacing w:line="480" w:lineRule="auto"/>
              <w:rPr>
                <w:b/>
                <w:i/>
                <w:color w:val="000000"/>
                <w:sz w:val="20"/>
              </w:rPr>
            </w:pPr>
            <w:r w:rsidRPr="004930C2">
              <w:rPr>
                <w:b/>
                <w:i/>
                <w:color w:val="000000"/>
                <w:sz w:val="20"/>
              </w:rPr>
              <w:t>p</w:t>
            </w:r>
            <w:r w:rsidRPr="004930C2">
              <w:rPr>
                <w:b/>
                <w:color w:val="000000"/>
                <w:sz w:val="20"/>
              </w:rPr>
              <w:t xml:space="preserve"> </w:t>
            </w:r>
            <w:r w:rsidRPr="004930C2">
              <w:rPr>
                <w:b/>
                <w:i/>
                <w:color w:val="000000"/>
                <w:sz w:val="20"/>
              </w:rPr>
              <w:t>&lt;</w:t>
            </w:r>
            <w:r w:rsidRPr="004930C2">
              <w:rPr>
                <w:b/>
                <w:color w:val="000000"/>
                <w:sz w:val="20"/>
              </w:rPr>
              <w:t xml:space="preserve"> 0.001</w:t>
            </w:r>
          </w:p>
        </w:tc>
        <w:tc>
          <w:tcPr>
            <w:tcW w:w="0" w:type="auto"/>
            <w:tcBorders>
              <w:top w:val="nil"/>
              <w:left w:val="nil"/>
              <w:bottom w:val="nil"/>
              <w:right w:val="nil"/>
            </w:tcBorders>
            <w:shd w:val="clear" w:color="auto" w:fill="auto"/>
            <w:noWrap/>
            <w:vAlign w:val="center"/>
            <w:hideMark/>
          </w:tcPr>
          <w:p w14:paraId="70136957" w14:textId="50CC2DE4" w:rsidR="00701677" w:rsidRPr="004930C2" w:rsidRDefault="00701677" w:rsidP="00A52F28">
            <w:pPr>
              <w:spacing w:line="480" w:lineRule="auto"/>
              <w:rPr>
                <w:b/>
                <w:i/>
                <w:color w:val="000000"/>
                <w:sz w:val="20"/>
              </w:rPr>
            </w:pPr>
            <w:r w:rsidRPr="004930C2">
              <w:rPr>
                <w:b/>
                <w:i/>
                <w:color w:val="000000"/>
                <w:sz w:val="20"/>
              </w:rPr>
              <w:t xml:space="preserve">p </w:t>
            </w:r>
            <w:r w:rsidRPr="004930C2">
              <w:rPr>
                <w:b/>
                <w:color w:val="000000"/>
                <w:sz w:val="20"/>
              </w:rPr>
              <w:t>= 0.013</w:t>
            </w:r>
          </w:p>
        </w:tc>
        <w:tc>
          <w:tcPr>
            <w:tcW w:w="0" w:type="auto"/>
            <w:tcBorders>
              <w:top w:val="nil"/>
              <w:left w:val="nil"/>
              <w:bottom w:val="nil"/>
              <w:right w:val="nil"/>
            </w:tcBorders>
            <w:shd w:val="clear" w:color="auto" w:fill="auto"/>
            <w:noWrap/>
            <w:vAlign w:val="center"/>
            <w:hideMark/>
          </w:tcPr>
          <w:p w14:paraId="33BD218C" w14:textId="77777777"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&lt; 0.001</w:t>
            </w:r>
          </w:p>
        </w:tc>
      </w:tr>
      <w:tr w:rsidR="004930C2" w:rsidRPr="004930C2" w14:paraId="296DFD6B" w14:textId="77777777" w:rsidTr="00701677">
        <w:trPr>
          <w:trHeight w:val="454"/>
        </w:trPr>
        <w:tc>
          <w:tcPr>
            <w:tcW w:w="0" w:type="auto"/>
            <w:tcBorders>
              <w:top w:val="nil"/>
              <w:left w:val="nil"/>
              <w:bottom w:val="single" w:sz="8" w:space="0" w:color="auto"/>
              <w:right w:val="nil"/>
            </w:tcBorders>
            <w:shd w:val="clear" w:color="auto" w:fill="auto"/>
            <w:noWrap/>
            <w:vAlign w:val="center"/>
            <w:hideMark/>
          </w:tcPr>
          <w:p w14:paraId="59B4A97E" w14:textId="77777777" w:rsidR="00701677" w:rsidRPr="004930C2" w:rsidRDefault="00701677" w:rsidP="00A52F28">
            <w:pPr>
              <w:spacing w:line="480" w:lineRule="auto"/>
              <w:rPr>
                <w:color w:val="000000"/>
                <w:sz w:val="20"/>
              </w:rPr>
            </w:pPr>
            <w:r w:rsidRPr="004930C2">
              <w:rPr>
                <w:color w:val="000000"/>
                <w:sz w:val="20"/>
              </w:rPr>
              <w:t>Compost + DM</w:t>
            </w:r>
            <w:r w:rsidRPr="004930C2">
              <w:rPr>
                <w:color w:val="000000"/>
                <w:sz w:val="20"/>
                <w:vertAlign w:val="subscript"/>
              </w:rPr>
              <w:t>BC</w:t>
            </w:r>
            <w:r w:rsidRPr="004930C2">
              <w:rPr>
                <w:color w:val="000000"/>
                <w:sz w:val="20"/>
              </w:rPr>
              <w:t xml:space="preserve"> (600°C)</w:t>
            </w:r>
          </w:p>
        </w:tc>
        <w:tc>
          <w:tcPr>
            <w:tcW w:w="0" w:type="auto"/>
            <w:tcBorders>
              <w:top w:val="nil"/>
              <w:left w:val="nil"/>
              <w:bottom w:val="single" w:sz="8" w:space="0" w:color="auto"/>
              <w:right w:val="nil"/>
            </w:tcBorders>
            <w:shd w:val="clear" w:color="auto" w:fill="auto"/>
            <w:noWrap/>
            <w:vAlign w:val="center"/>
            <w:hideMark/>
          </w:tcPr>
          <w:p w14:paraId="02D73DB0" w14:textId="5C494AEF"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 0.039</w:t>
            </w:r>
          </w:p>
        </w:tc>
        <w:tc>
          <w:tcPr>
            <w:tcW w:w="0" w:type="auto"/>
            <w:tcBorders>
              <w:top w:val="nil"/>
              <w:left w:val="nil"/>
              <w:bottom w:val="single" w:sz="8" w:space="0" w:color="auto"/>
              <w:right w:val="nil"/>
            </w:tcBorders>
            <w:shd w:val="clear" w:color="auto" w:fill="auto"/>
            <w:noWrap/>
            <w:vAlign w:val="center"/>
            <w:hideMark/>
          </w:tcPr>
          <w:p w14:paraId="16664688" w14:textId="77777777"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&lt;</w:t>
            </w:r>
            <w:r w:rsidRPr="004930C2">
              <w:rPr>
                <w:b/>
                <w:i/>
                <w:color w:val="000000"/>
                <w:sz w:val="20"/>
              </w:rPr>
              <w:t xml:space="preserve"> </w:t>
            </w:r>
            <w:r w:rsidRPr="004930C2">
              <w:rPr>
                <w:b/>
                <w:color w:val="000000"/>
                <w:sz w:val="20"/>
              </w:rPr>
              <w:t>0.001</w:t>
            </w:r>
          </w:p>
        </w:tc>
        <w:tc>
          <w:tcPr>
            <w:tcW w:w="0" w:type="auto"/>
            <w:tcBorders>
              <w:top w:val="nil"/>
              <w:left w:val="nil"/>
              <w:bottom w:val="single" w:sz="8" w:space="0" w:color="auto"/>
              <w:right w:val="nil"/>
            </w:tcBorders>
            <w:shd w:val="clear" w:color="auto" w:fill="auto"/>
            <w:noWrap/>
            <w:vAlign w:val="center"/>
            <w:hideMark/>
          </w:tcPr>
          <w:p w14:paraId="6CAC8EB8" w14:textId="77777777" w:rsidR="00701677" w:rsidRPr="004930C2" w:rsidRDefault="00701677" w:rsidP="00A52F28">
            <w:pPr>
              <w:spacing w:line="480" w:lineRule="auto"/>
              <w:rPr>
                <w:b/>
                <w:color w:val="000000"/>
                <w:sz w:val="20"/>
              </w:rPr>
            </w:pPr>
            <w:r w:rsidRPr="004930C2">
              <w:rPr>
                <w:b/>
                <w:i/>
                <w:color w:val="000000"/>
                <w:sz w:val="20"/>
              </w:rPr>
              <w:t xml:space="preserve">p </w:t>
            </w:r>
            <w:r w:rsidRPr="004930C2">
              <w:rPr>
                <w:b/>
                <w:color w:val="000000"/>
                <w:sz w:val="20"/>
              </w:rPr>
              <w:t>&lt;</w:t>
            </w:r>
            <w:r w:rsidRPr="004930C2">
              <w:rPr>
                <w:b/>
                <w:i/>
                <w:color w:val="000000"/>
                <w:sz w:val="20"/>
              </w:rPr>
              <w:t xml:space="preserve"> </w:t>
            </w:r>
            <w:r w:rsidRPr="004930C2">
              <w:rPr>
                <w:b/>
                <w:color w:val="000000"/>
                <w:sz w:val="20"/>
              </w:rPr>
              <w:t>0.001</w:t>
            </w:r>
          </w:p>
        </w:tc>
        <w:tc>
          <w:tcPr>
            <w:tcW w:w="0" w:type="auto"/>
            <w:tcBorders>
              <w:top w:val="nil"/>
              <w:left w:val="nil"/>
              <w:bottom w:val="single" w:sz="8" w:space="0" w:color="auto"/>
              <w:right w:val="nil"/>
            </w:tcBorders>
            <w:shd w:val="clear" w:color="auto" w:fill="auto"/>
            <w:noWrap/>
            <w:vAlign w:val="center"/>
            <w:hideMark/>
          </w:tcPr>
          <w:p w14:paraId="32EC2C58" w14:textId="77777777"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&lt; 0.001</w:t>
            </w:r>
          </w:p>
        </w:tc>
      </w:tr>
    </w:tbl>
    <w:p w14:paraId="1CA7E0BB" w14:textId="77777777" w:rsidR="005A4A5D" w:rsidRPr="004930C2" w:rsidRDefault="005A4A5D" w:rsidP="00A52F28">
      <w:pPr>
        <w:spacing w:line="480" w:lineRule="auto"/>
        <w:rPr>
          <w:color w:val="000000" w:themeColor="text1"/>
          <w:sz w:val="20"/>
        </w:rPr>
      </w:pPr>
    </w:p>
    <w:p w14:paraId="6F652805" w14:textId="77777777" w:rsidR="005A4A5D" w:rsidRPr="004930C2" w:rsidRDefault="005A4A5D" w:rsidP="00330D39">
      <w:pPr>
        <w:autoSpaceDE w:val="0"/>
        <w:autoSpaceDN w:val="0"/>
        <w:adjustRightInd w:val="0"/>
        <w:spacing w:line="480" w:lineRule="auto"/>
        <w:rPr>
          <w:color w:val="000000" w:themeColor="text1"/>
          <w:sz w:val="20"/>
        </w:rPr>
      </w:pPr>
      <w:r w:rsidRPr="004930C2">
        <w:rPr>
          <w:color w:val="000000" w:themeColor="text1"/>
          <w:sz w:val="20"/>
        </w:rPr>
        <w:t>WD</w:t>
      </w:r>
      <w:r w:rsidRPr="004930C2">
        <w:rPr>
          <w:color w:val="000000" w:themeColor="text1"/>
          <w:sz w:val="20"/>
          <w:vertAlign w:val="subscript"/>
        </w:rPr>
        <w:t>BC</w:t>
      </w:r>
      <w:r w:rsidRPr="004930C2">
        <w:rPr>
          <w:color w:val="000000" w:themeColor="text1"/>
          <w:sz w:val="20"/>
        </w:rPr>
        <w:t>: Wood biochar</w:t>
      </w:r>
    </w:p>
    <w:p w14:paraId="16BD299A" w14:textId="77777777" w:rsidR="005A4A5D" w:rsidRPr="004930C2" w:rsidRDefault="005A4A5D" w:rsidP="00330D39">
      <w:pPr>
        <w:autoSpaceDE w:val="0"/>
        <w:autoSpaceDN w:val="0"/>
        <w:adjustRightInd w:val="0"/>
        <w:spacing w:line="480" w:lineRule="auto"/>
        <w:rPr>
          <w:color w:val="000000" w:themeColor="text1"/>
          <w:sz w:val="20"/>
        </w:rPr>
      </w:pPr>
      <w:r w:rsidRPr="004930C2">
        <w:rPr>
          <w:color w:val="000000" w:themeColor="text1"/>
          <w:sz w:val="20"/>
        </w:rPr>
        <w:t>DM</w:t>
      </w:r>
      <w:r w:rsidRPr="004930C2">
        <w:rPr>
          <w:color w:val="000000" w:themeColor="text1"/>
          <w:sz w:val="20"/>
          <w:vertAlign w:val="subscript"/>
        </w:rPr>
        <w:t>BC</w:t>
      </w:r>
      <w:r w:rsidRPr="004930C2">
        <w:rPr>
          <w:color w:val="000000" w:themeColor="text1"/>
          <w:sz w:val="20"/>
        </w:rPr>
        <w:t>: Dairy manure biochar</w:t>
      </w:r>
    </w:p>
    <w:p w14:paraId="71F1AE11" w14:textId="7DEE05B7" w:rsidR="005A4A5D" w:rsidRDefault="005A4A5D" w:rsidP="00330D39">
      <w:pPr>
        <w:autoSpaceDE w:val="0"/>
        <w:autoSpaceDN w:val="0"/>
        <w:adjustRightInd w:val="0"/>
        <w:spacing w:line="480" w:lineRule="auto"/>
        <w:rPr>
          <w:color w:val="000000" w:themeColor="text1"/>
          <w:sz w:val="20"/>
        </w:rPr>
      </w:pPr>
      <w:r w:rsidRPr="004930C2">
        <w:rPr>
          <w:color w:val="000000" w:themeColor="text1"/>
          <w:sz w:val="20"/>
          <w:vertAlign w:val="superscript"/>
        </w:rPr>
        <w:lastRenderedPageBreak/>
        <w:t>a</w:t>
      </w:r>
      <w:r w:rsidRPr="004930C2">
        <w:rPr>
          <w:color w:val="000000" w:themeColor="text1"/>
          <w:sz w:val="20"/>
        </w:rPr>
        <w:t>: Carbonization temperature of biochar in parentheses</w:t>
      </w:r>
    </w:p>
    <w:p w14:paraId="6D92ECA6" w14:textId="61D98D08" w:rsidR="00C76627" w:rsidRPr="004930C2" w:rsidRDefault="00C76627" w:rsidP="00330D39">
      <w:pPr>
        <w:autoSpaceDE w:val="0"/>
        <w:autoSpaceDN w:val="0"/>
        <w:adjustRightInd w:val="0"/>
        <w:spacing w:line="480" w:lineRule="auto"/>
        <w:rPr>
          <w:color w:val="000000" w:themeColor="text1"/>
          <w:sz w:val="20"/>
        </w:rPr>
      </w:pPr>
      <w:r w:rsidRPr="00C76627">
        <w:rPr>
          <w:rFonts w:hint="eastAsia"/>
          <w:i/>
          <w:iCs/>
          <w:color w:val="000000" w:themeColor="text1"/>
          <w:sz w:val="20"/>
        </w:rPr>
        <w:t>p</w:t>
      </w:r>
      <w:r>
        <w:rPr>
          <w:color w:val="000000" w:themeColor="text1"/>
          <w:sz w:val="20"/>
        </w:rPr>
        <w:t>-values in boldface are statistically significant</w:t>
      </w:r>
    </w:p>
    <w:p w14:paraId="724A02C1" w14:textId="77777777" w:rsidR="00701677" w:rsidRPr="004930C2" w:rsidRDefault="00701677" w:rsidP="00330D39">
      <w:pPr>
        <w:tabs>
          <w:tab w:val="left" w:pos="2073"/>
        </w:tabs>
        <w:spacing w:line="480" w:lineRule="auto"/>
        <w:rPr>
          <w:color w:val="000000" w:themeColor="text1"/>
          <w:sz w:val="20"/>
        </w:rPr>
      </w:pPr>
      <w:r w:rsidRPr="004930C2">
        <w:rPr>
          <w:color w:val="000000" w:themeColor="text1"/>
          <w:sz w:val="20"/>
        </w:rPr>
        <w:br w:type="page"/>
      </w:r>
    </w:p>
    <w:p w14:paraId="3F3064D3" w14:textId="77777777" w:rsidR="00701677" w:rsidRPr="004930C2" w:rsidRDefault="00701677" w:rsidP="00330D39">
      <w:pPr>
        <w:autoSpaceDE w:val="0"/>
        <w:autoSpaceDN w:val="0"/>
        <w:adjustRightInd w:val="0"/>
        <w:spacing w:line="480" w:lineRule="auto"/>
        <w:rPr>
          <w:color w:val="000000" w:themeColor="text1"/>
          <w:sz w:val="20"/>
        </w:rPr>
      </w:pPr>
      <w:r w:rsidRPr="004930C2">
        <w:rPr>
          <w:color w:val="000000" w:themeColor="text1"/>
          <w:sz w:val="20"/>
        </w:rPr>
        <w:lastRenderedPageBreak/>
        <w:t>Table 4. Summary of the two-way analysis of variance test on biomass production, nitrogen uptake, nitrogen content, and δ</w:t>
      </w:r>
      <w:r w:rsidRPr="004930C2">
        <w:rPr>
          <w:color w:val="000000" w:themeColor="text1"/>
          <w:sz w:val="20"/>
          <w:vertAlign w:val="superscript"/>
        </w:rPr>
        <w:t>15</w:t>
      </w:r>
      <w:r w:rsidRPr="004930C2">
        <w:rPr>
          <w:color w:val="000000" w:themeColor="text1"/>
          <w:sz w:val="20"/>
        </w:rPr>
        <w:t>N of plant</w:t>
      </w:r>
    </w:p>
    <w:tbl>
      <w:tblPr>
        <w:tblW w:w="13607" w:type="dxa"/>
        <w:tblLayout w:type="fixed"/>
        <w:tblLook w:val="04A0" w:firstRow="1" w:lastRow="0" w:firstColumn="1" w:lastColumn="0" w:noHBand="0" w:noVBand="1"/>
      </w:tblPr>
      <w:tblGrid>
        <w:gridCol w:w="4535"/>
        <w:gridCol w:w="2268"/>
        <w:gridCol w:w="2268"/>
        <w:gridCol w:w="2268"/>
        <w:gridCol w:w="2268"/>
      </w:tblGrid>
      <w:tr w:rsidR="0013045E" w:rsidRPr="004930C2" w14:paraId="58DA2551" w14:textId="77777777" w:rsidTr="00B815DD">
        <w:trPr>
          <w:trHeight w:val="360"/>
        </w:trPr>
        <w:tc>
          <w:tcPr>
            <w:tcW w:w="4535" w:type="dxa"/>
            <w:tcBorders>
              <w:top w:val="single" w:sz="4" w:space="0" w:color="auto"/>
            </w:tcBorders>
            <w:noWrap/>
            <w:hideMark/>
          </w:tcPr>
          <w:p w14:paraId="3E98C5F9" w14:textId="77777777" w:rsidR="00701677" w:rsidRPr="004930C2" w:rsidRDefault="00701677" w:rsidP="00A52F28">
            <w:pPr>
              <w:spacing w:line="480" w:lineRule="auto"/>
              <w:rPr>
                <w:color w:val="000000"/>
                <w:sz w:val="20"/>
              </w:rPr>
            </w:pPr>
            <w:r w:rsidRPr="004930C2">
              <w:rPr>
                <w:color w:val="000000"/>
                <w:sz w:val="20"/>
              </w:rPr>
              <w:t>Factor</w:t>
            </w:r>
          </w:p>
        </w:tc>
        <w:tc>
          <w:tcPr>
            <w:tcW w:w="9072" w:type="dxa"/>
            <w:gridSpan w:val="4"/>
            <w:tcBorders>
              <w:top w:val="single" w:sz="4" w:space="0" w:color="auto"/>
              <w:bottom w:val="single" w:sz="4" w:space="0" w:color="auto"/>
            </w:tcBorders>
            <w:noWrap/>
            <w:hideMark/>
          </w:tcPr>
          <w:p w14:paraId="05EFBAB3" w14:textId="77777777" w:rsidR="00701677" w:rsidRPr="004930C2" w:rsidRDefault="00701677" w:rsidP="00A52F28">
            <w:pPr>
              <w:spacing w:line="480" w:lineRule="auto"/>
              <w:rPr>
                <w:color w:val="000000"/>
                <w:sz w:val="20"/>
              </w:rPr>
            </w:pPr>
            <w:r w:rsidRPr="004930C2">
              <w:rPr>
                <w:color w:val="000000"/>
                <w:sz w:val="20"/>
              </w:rPr>
              <w:t>Response variables</w:t>
            </w:r>
          </w:p>
        </w:tc>
      </w:tr>
      <w:tr w:rsidR="0013045E" w:rsidRPr="004930C2" w14:paraId="4AE99741" w14:textId="77777777" w:rsidTr="00B815DD">
        <w:trPr>
          <w:trHeight w:val="379"/>
        </w:trPr>
        <w:tc>
          <w:tcPr>
            <w:tcW w:w="4535" w:type="dxa"/>
            <w:tcBorders>
              <w:bottom w:val="single" w:sz="4" w:space="0" w:color="auto"/>
            </w:tcBorders>
            <w:noWrap/>
            <w:hideMark/>
          </w:tcPr>
          <w:p w14:paraId="43D6686C" w14:textId="77777777" w:rsidR="00701677" w:rsidRPr="004930C2" w:rsidRDefault="00701677" w:rsidP="00A52F28">
            <w:pPr>
              <w:spacing w:line="480" w:lineRule="auto"/>
              <w:rPr>
                <w:color w:val="000000"/>
                <w:sz w:val="20"/>
              </w:rPr>
            </w:pPr>
          </w:p>
        </w:tc>
        <w:tc>
          <w:tcPr>
            <w:tcW w:w="2268" w:type="dxa"/>
            <w:tcBorders>
              <w:top w:val="single" w:sz="4" w:space="0" w:color="auto"/>
              <w:bottom w:val="single" w:sz="4" w:space="0" w:color="auto"/>
            </w:tcBorders>
            <w:noWrap/>
            <w:hideMark/>
          </w:tcPr>
          <w:p w14:paraId="1370C277" w14:textId="77777777" w:rsidR="00701677" w:rsidRPr="004930C2" w:rsidRDefault="00701677" w:rsidP="00A52F28">
            <w:pPr>
              <w:spacing w:line="480" w:lineRule="auto"/>
              <w:rPr>
                <w:i/>
                <w:color w:val="000000"/>
                <w:sz w:val="20"/>
              </w:rPr>
            </w:pPr>
            <w:r w:rsidRPr="004930C2">
              <w:rPr>
                <w:i/>
                <w:color w:val="000000"/>
                <w:sz w:val="20"/>
              </w:rPr>
              <w:t>Biomass production</w:t>
            </w:r>
          </w:p>
        </w:tc>
        <w:tc>
          <w:tcPr>
            <w:tcW w:w="2268" w:type="dxa"/>
            <w:tcBorders>
              <w:top w:val="single" w:sz="4" w:space="0" w:color="auto"/>
              <w:bottom w:val="single" w:sz="4" w:space="0" w:color="auto"/>
            </w:tcBorders>
            <w:noWrap/>
            <w:hideMark/>
          </w:tcPr>
          <w:p w14:paraId="67E110CA" w14:textId="77777777" w:rsidR="00701677" w:rsidRPr="004930C2" w:rsidRDefault="00701677" w:rsidP="00A52F28">
            <w:pPr>
              <w:spacing w:line="480" w:lineRule="auto"/>
              <w:rPr>
                <w:i/>
                <w:color w:val="000000"/>
                <w:sz w:val="20"/>
              </w:rPr>
            </w:pPr>
            <w:r w:rsidRPr="004930C2">
              <w:rPr>
                <w:i/>
                <w:color w:val="000000"/>
                <w:sz w:val="20"/>
              </w:rPr>
              <w:t>Nitrogen uptake</w:t>
            </w:r>
          </w:p>
        </w:tc>
        <w:tc>
          <w:tcPr>
            <w:tcW w:w="2268" w:type="dxa"/>
            <w:tcBorders>
              <w:top w:val="single" w:sz="4" w:space="0" w:color="auto"/>
              <w:bottom w:val="single" w:sz="4" w:space="0" w:color="auto"/>
            </w:tcBorders>
            <w:noWrap/>
            <w:hideMark/>
          </w:tcPr>
          <w:p w14:paraId="404E131D" w14:textId="77777777" w:rsidR="00701677" w:rsidRPr="004930C2" w:rsidRDefault="00701677" w:rsidP="00A52F28">
            <w:pPr>
              <w:spacing w:line="480" w:lineRule="auto"/>
              <w:rPr>
                <w:i/>
                <w:color w:val="000000"/>
                <w:sz w:val="20"/>
              </w:rPr>
            </w:pPr>
            <w:r w:rsidRPr="004930C2">
              <w:rPr>
                <w:i/>
                <w:color w:val="000000"/>
                <w:sz w:val="20"/>
              </w:rPr>
              <w:t>Nitrogen content</w:t>
            </w:r>
          </w:p>
        </w:tc>
        <w:tc>
          <w:tcPr>
            <w:tcW w:w="2268" w:type="dxa"/>
            <w:tcBorders>
              <w:top w:val="single" w:sz="4" w:space="0" w:color="auto"/>
              <w:bottom w:val="single" w:sz="4" w:space="0" w:color="auto"/>
            </w:tcBorders>
            <w:noWrap/>
            <w:hideMark/>
          </w:tcPr>
          <w:p w14:paraId="0E40116F" w14:textId="77777777" w:rsidR="00701677" w:rsidRPr="004930C2" w:rsidRDefault="00701677" w:rsidP="00A52F28">
            <w:pPr>
              <w:spacing w:line="480" w:lineRule="auto"/>
              <w:rPr>
                <w:i/>
                <w:color w:val="000000"/>
                <w:sz w:val="20"/>
              </w:rPr>
            </w:pPr>
            <w:r w:rsidRPr="004930C2">
              <w:rPr>
                <w:i/>
                <w:color w:val="000000"/>
                <w:sz w:val="20"/>
              </w:rPr>
              <w:t>δ</w:t>
            </w:r>
            <w:r w:rsidRPr="004930C2">
              <w:rPr>
                <w:i/>
                <w:color w:val="000000"/>
                <w:sz w:val="20"/>
                <w:vertAlign w:val="superscript"/>
              </w:rPr>
              <w:t>15</w:t>
            </w:r>
            <w:r w:rsidRPr="004930C2">
              <w:rPr>
                <w:i/>
                <w:color w:val="000000"/>
                <w:sz w:val="20"/>
              </w:rPr>
              <w:t>N value of plant</w:t>
            </w:r>
          </w:p>
        </w:tc>
      </w:tr>
      <w:tr w:rsidR="0013045E" w:rsidRPr="004930C2" w14:paraId="4F21E8D6" w14:textId="77777777" w:rsidTr="00B815DD">
        <w:trPr>
          <w:trHeight w:val="720"/>
        </w:trPr>
        <w:tc>
          <w:tcPr>
            <w:tcW w:w="4535" w:type="dxa"/>
            <w:tcBorders>
              <w:top w:val="single" w:sz="4" w:space="0" w:color="auto"/>
            </w:tcBorders>
            <w:noWrap/>
            <w:hideMark/>
          </w:tcPr>
          <w:p w14:paraId="7E5C80D6" w14:textId="77777777" w:rsidR="00701677" w:rsidRPr="004930C2" w:rsidRDefault="00701677" w:rsidP="00A52F28">
            <w:pPr>
              <w:spacing w:line="480" w:lineRule="auto"/>
              <w:rPr>
                <w:color w:val="000000"/>
                <w:sz w:val="20"/>
              </w:rPr>
            </w:pPr>
            <w:r w:rsidRPr="004930C2">
              <w:rPr>
                <w:color w:val="000000"/>
                <w:sz w:val="20"/>
              </w:rPr>
              <w:t>Feedstock type</w:t>
            </w:r>
          </w:p>
        </w:tc>
        <w:tc>
          <w:tcPr>
            <w:tcW w:w="2268" w:type="dxa"/>
            <w:tcBorders>
              <w:top w:val="single" w:sz="4" w:space="0" w:color="auto"/>
            </w:tcBorders>
            <w:noWrap/>
            <w:hideMark/>
          </w:tcPr>
          <w:p w14:paraId="3DC784FB" w14:textId="77777777"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 0.016</w:t>
            </w:r>
          </w:p>
        </w:tc>
        <w:tc>
          <w:tcPr>
            <w:tcW w:w="2268" w:type="dxa"/>
            <w:tcBorders>
              <w:top w:val="single" w:sz="4" w:space="0" w:color="auto"/>
            </w:tcBorders>
            <w:noWrap/>
            <w:hideMark/>
          </w:tcPr>
          <w:p w14:paraId="2A45791C" w14:textId="77777777" w:rsidR="00701677" w:rsidRPr="004930C2" w:rsidRDefault="00701677" w:rsidP="00A52F28">
            <w:pPr>
              <w:spacing w:line="480" w:lineRule="auto"/>
              <w:rPr>
                <w:b/>
                <w:color w:val="000000"/>
                <w:sz w:val="20"/>
              </w:rPr>
            </w:pPr>
            <w:r w:rsidRPr="004930C2">
              <w:rPr>
                <w:b/>
                <w:i/>
                <w:color w:val="000000"/>
                <w:sz w:val="20"/>
              </w:rPr>
              <w:t xml:space="preserve">p </w:t>
            </w:r>
            <w:r w:rsidRPr="004930C2">
              <w:rPr>
                <w:b/>
                <w:color w:val="000000"/>
                <w:sz w:val="20"/>
              </w:rPr>
              <w:t>&lt;</w:t>
            </w:r>
            <w:r w:rsidRPr="004930C2">
              <w:rPr>
                <w:b/>
                <w:i/>
                <w:color w:val="000000"/>
                <w:sz w:val="20"/>
              </w:rPr>
              <w:t xml:space="preserve"> </w:t>
            </w:r>
            <w:r w:rsidRPr="004930C2">
              <w:rPr>
                <w:b/>
                <w:color w:val="000000"/>
                <w:sz w:val="20"/>
              </w:rPr>
              <w:t>0.001</w:t>
            </w:r>
          </w:p>
        </w:tc>
        <w:tc>
          <w:tcPr>
            <w:tcW w:w="2268" w:type="dxa"/>
            <w:tcBorders>
              <w:top w:val="single" w:sz="4" w:space="0" w:color="auto"/>
            </w:tcBorders>
            <w:noWrap/>
            <w:hideMark/>
          </w:tcPr>
          <w:p w14:paraId="4643FE8A" w14:textId="77777777" w:rsidR="00701677" w:rsidRPr="004930C2" w:rsidRDefault="00701677" w:rsidP="00A52F28">
            <w:pPr>
              <w:spacing w:line="480" w:lineRule="auto"/>
              <w:rPr>
                <w:b/>
                <w:color w:val="000000"/>
                <w:sz w:val="20"/>
              </w:rPr>
            </w:pPr>
            <w:r w:rsidRPr="004930C2">
              <w:rPr>
                <w:b/>
                <w:i/>
                <w:color w:val="000000"/>
                <w:sz w:val="20"/>
              </w:rPr>
              <w:t>p</w:t>
            </w:r>
            <w:r w:rsidRPr="004930C2">
              <w:rPr>
                <w:b/>
                <w:color w:val="000000"/>
                <w:sz w:val="20"/>
              </w:rPr>
              <w:t xml:space="preserve"> = 0.002</w:t>
            </w:r>
          </w:p>
        </w:tc>
        <w:tc>
          <w:tcPr>
            <w:tcW w:w="2268" w:type="dxa"/>
            <w:tcBorders>
              <w:top w:val="single" w:sz="4" w:space="0" w:color="auto"/>
            </w:tcBorders>
            <w:noWrap/>
            <w:hideMark/>
          </w:tcPr>
          <w:p w14:paraId="3988C608" w14:textId="77777777" w:rsidR="00701677" w:rsidRPr="004930C2" w:rsidRDefault="00701677" w:rsidP="00A52F28">
            <w:pPr>
              <w:spacing w:line="480" w:lineRule="auto"/>
              <w:rPr>
                <w:b/>
                <w:color w:val="000000"/>
                <w:sz w:val="20"/>
              </w:rPr>
            </w:pPr>
            <w:r w:rsidRPr="004930C2">
              <w:rPr>
                <w:b/>
                <w:i/>
                <w:color w:val="000000"/>
                <w:sz w:val="20"/>
              </w:rPr>
              <w:t xml:space="preserve">p </w:t>
            </w:r>
            <w:r w:rsidRPr="004930C2">
              <w:rPr>
                <w:b/>
                <w:color w:val="000000"/>
                <w:sz w:val="20"/>
              </w:rPr>
              <w:t>&lt;</w:t>
            </w:r>
            <w:r w:rsidRPr="004930C2">
              <w:rPr>
                <w:b/>
                <w:i/>
                <w:color w:val="000000"/>
                <w:sz w:val="20"/>
              </w:rPr>
              <w:t xml:space="preserve"> </w:t>
            </w:r>
            <w:r w:rsidRPr="004930C2">
              <w:rPr>
                <w:b/>
                <w:color w:val="000000"/>
                <w:sz w:val="20"/>
              </w:rPr>
              <w:t>0.001</w:t>
            </w:r>
          </w:p>
        </w:tc>
      </w:tr>
      <w:tr w:rsidR="0013045E" w:rsidRPr="004930C2" w14:paraId="12BB4FFC" w14:textId="77777777" w:rsidTr="00B815DD">
        <w:trPr>
          <w:trHeight w:val="720"/>
        </w:trPr>
        <w:tc>
          <w:tcPr>
            <w:tcW w:w="4535" w:type="dxa"/>
            <w:hideMark/>
          </w:tcPr>
          <w:p w14:paraId="62EE41F7" w14:textId="77777777" w:rsidR="00701677" w:rsidRPr="004930C2" w:rsidRDefault="00701677" w:rsidP="00A52F28">
            <w:pPr>
              <w:spacing w:line="480" w:lineRule="auto"/>
              <w:rPr>
                <w:color w:val="000000"/>
                <w:sz w:val="20"/>
              </w:rPr>
            </w:pPr>
            <w:r w:rsidRPr="004930C2">
              <w:rPr>
                <w:color w:val="000000"/>
                <w:sz w:val="20"/>
              </w:rPr>
              <w:t>Carbonization temperature</w:t>
            </w:r>
          </w:p>
        </w:tc>
        <w:tc>
          <w:tcPr>
            <w:tcW w:w="2268" w:type="dxa"/>
            <w:noWrap/>
            <w:hideMark/>
          </w:tcPr>
          <w:p w14:paraId="696593F8" w14:textId="77777777"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0.445</w:t>
            </w:r>
          </w:p>
        </w:tc>
        <w:tc>
          <w:tcPr>
            <w:tcW w:w="2268" w:type="dxa"/>
            <w:noWrap/>
            <w:hideMark/>
          </w:tcPr>
          <w:p w14:paraId="78EA78DE" w14:textId="77777777"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0.098</w:t>
            </w:r>
          </w:p>
        </w:tc>
        <w:tc>
          <w:tcPr>
            <w:tcW w:w="2268" w:type="dxa"/>
            <w:noWrap/>
            <w:hideMark/>
          </w:tcPr>
          <w:p w14:paraId="562BCC71" w14:textId="77777777" w:rsidR="00701677" w:rsidRPr="004930C2" w:rsidRDefault="00701677" w:rsidP="00A52F28">
            <w:pPr>
              <w:spacing w:line="480" w:lineRule="auto"/>
              <w:rPr>
                <w:b/>
                <w:color w:val="000000"/>
                <w:sz w:val="20"/>
              </w:rPr>
            </w:pPr>
            <w:r w:rsidRPr="004930C2">
              <w:rPr>
                <w:b/>
                <w:i/>
                <w:color w:val="000000"/>
                <w:sz w:val="20"/>
              </w:rPr>
              <w:t xml:space="preserve">p </w:t>
            </w:r>
            <w:r w:rsidRPr="004930C2">
              <w:rPr>
                <w:b/>
                <w:color w:val="000000"/>
                <w:sz w:val="20"/>
              </w:rPr>
              <w:t>&lt;</w:t>
            </w:r>
            <w:r w:rsidRPr="004930C2">
              <w:rPr>
                <w:b/>
                <w:i/>
                <w:color w:val="000000"/>
                <w:sz w:val="20"/>
              </w:rPr>
              <w:t xml:space="preserve"> </w:t>
            </w:r>
            <w:r w:rsidRPr="004930C2">
              <w:rPr>
                <w:b/>
                <w:color w:val="000000"/>
                <w:sz w:val="20"/>
              </w:rPr>
              <w:t>0.001</w:t>
            </w:r>
          </w:p>
        </w:tc>
        <w:tc>
          <w:tcPr>
            <w:tcW w:w="2268" w:type="dxa"/>
            <w:noWrap/>
            <w:hideMark/>
          </w:tcPr>
          <w:p w14:paraId="694EE530" w14:textId="77777777"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0.388</w:t>
            </w:r>
          </w:p>
        </w:tc>
      </w:tr>
      <w:tr w:rsidR="0013045E" w:rsidRPr="004930C2" w14:paraId="66906DB1" w14:textId="77777777" w:rsidTr="00B815DD">
        <w:trPr>
          <w:trHeight w:val="720"/>
        </w:trPr>
        <w:tc>
          <w:tcPr>
            <w:tcW w:w="4535" w:type="dxa"/>
            <w:tcBorders>
              <w:bottom w:val="single" w:sz="4" w:space="0" w:color="auto"/>
            </w:tcBorders>
            <w:hideMark/>
          </w:tcPr>
          <w:p w14:paraId="36F83F74" w14:textId="77777777" w:rsidR="00701677" w:rsidRPr="004930C2" w:rsidRDefault="00701677" w:rsidP="00A52F28">
            <w:pPr>
              <w:spacing w:line="480" w:lineRule="auto"/>
              <w:rPr>
                <w:color w:val="000000"/>
                <w:sz w:val="20"/>
              </w:rPr>
            </w:pPr>
            <w:r w:rsidRPr="004930C2">
              <w:rPr>
                <w:color w:val="000000"/>
                <w:sz w:val="20"/>
              </w:rPr>
              <w:t>Feedstock type × Carbonization temperature</w:t>
            </w:r>
          </w:p>
        </w:tc>
        <w:tc>
          <w:tcPr>
            <w:tcW w:w="2268" w:type="dxa"/>
            <w:tcBorders>
              <w:bottom w:val="single" w:sz="4" w:space="0" w:color="auto"/>
            </w:tcBorders>
            <w:noWrap/>
            <w:hideMark/>
          </w:tcPr>
          <w:p w14:paraId="6CA714DD" w14:textId="77777777"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0.658</w:t>
            </w:r>
          </w:p>
        </w:tc>
        <w:tc>
          <w:tcPr>
            <w:tcW w:w="2268" w:type="dxa"/>
            <w:tcBorders>
              <w:bottom w:val="single" w:sz="4" w:space="0" w:color="auto"/>
            </w:tcBorders>
            <w:noWrap/>
            <w:hideMark/>
          </w:tcPr>
          <w:p w14:paraId="60D84650" w14:textId="77777777"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0.574</w:t>
            </w:r>
          </w:p>
        </w:tc>
        <w:tc>
          <w:tcPr>
            <w:tcW w:w="2268" w:type="dxa"/>
            <w:tcBorders>
              <w:bottom w:val="single" w:sz="4" w:space="0" w:color="auto"/>
            </w:tcBorders>
            <w:noWrap/>
            <w:hideMark/>
          </w:tcPr>
          <w:p w14:paraId="640E57C8" w14:textId="77777777"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0.906</w:t>
            </w:r>
          </w:p>
        </w:tc>
        <w:tc>
          <w:tcPr>
            <w:tcW w:w="2268" w:type="dxa"/>
            <w:tcBorders>
              <w:bottom w:val="single" w:sz="4" w:space="0" w:color="auto"/>
            </w:tcBorders>
            <w:noWrap/>
            <w:hideMark/>
          </w:tcPr>
          <w:p w14:paraId="154A8301" w14:textId="77777777" w:rsidR="00701677" w:rsidRPr="004930C2" w:rsidRDefault="00701677" w:rsidP="00A52F28">
            <w:pPr>
              <w:spacing w:line="480" w:lineRule="auto"/>
              <w:rPr>
                <w:color w:val="000000"/>
                <w:sz w:val="20"/>
              </w:rPr>
            </w:pPr>
            <w:r w:rsidRPr="004930C2">
              <w:rPr>
                <w:i/>
                <w:color w:val="000000"/>
                <w:sz w:val="20"/>
              </w:rPr>
              <w:t>p</w:t>
            </w:r>
            <w:r w:rsidRPr="004930C2">
              <w:rPr>
                <w:color w:val="000000"/>
                <w:sz w:val="20"/>
              </w:rPr>
              <w:t xml:space="preserve"> = 0.351</w:t>
            </w:r>
          </w:p>
        </w:tc>
      </w:tr>
    </w:tbl>
    <w:p w14:paraId="306EE3E7" w14:textId="77777777" w:rsidR="00C76627" w:rsidRDefault="00C76627" w:rsidP="00C76627">
      <w:pPr>
        <w:autoSpaceDE w:val="0"/>
        <w:autoSpaceDN w:val="0"/>
        <w:adjustRightInd w:val="0"/>
        <w:spacing w:line="480" w:lineRule="auto"/>
        <w:rPr>
          <w:i/>
          <w:iCs/>
          <w:color w:val="000000" w:themeColor="text1"/>
          <w:sz w:val="20"/>
        </w:rPr>
      </w:pPr>
    </w:p>
    <w:p w14:paraId="65E051EC" w14:textId="7D8D37EA" w:rsidR="00701677" w:rsidRPr="00C76627" w:rsidRDefault="00C76627" w:rsidP="00C76627">
      <w:pPr>
        <w:autoSpaceDE w:val="0"/>
        <w:autoSpaceDN w:val="0"/>
        <w:adjustRightInd w:val="0"/>
        <w:spacing w:line="480" w:lineRule="auto"/>
        <w:rPr>
          <w:color w:val="000000" w:themeColor="text1"/>
          <w:sz w:val="20"/>
        </w:rPr>
      </w:pPr>
      <w:r w:rsidRPr="00C76627">
        <w:rPr>
          <w:rFonts w:hint="eastAsia"/>
          <w:i/>
          <w:iCs/>
          <w:color w:val="000000" w:themeColor="text1"/>
          <w:sz w:val="20"/>
        </w:rPr>
        <w:t>p</w:t>
      </w:r>
      <w:r>
        <w:rPr>
          <w:color w:val="000000" w:themeColor="text1"/>
          <w:sz w:val="20"/>
        </w:rPr>
        <w:t>-values in boldface are statistically significant</w:t>
      </w:r>
    </w:p>
    <w:p w14:paraId="36008FCB" w14:textId="5B18EA45" w:rsidR="00A63D73" w:rsidRPr="004930C2" w:rsidRDefault="00A63D73" w:rsidP="00330D39">
      <w:pPr>
        <w:tabs>
          <w:tab w:val="left" w:pos="2073"/>
        </w:tabs>
        <w:spacing w:line="480" w:lineRule="auto"/>
        <w:rPr>
          <w:color w:val="000000" w:themeColor="text1"/>
          <w:sz w:val="20"/>
        </w:rPr>
      </w:pPr>
      <w:r w:rsidRPr="004930C2">
        <w:rPr>
          <w:color w:val="000000" w:themeColor="text1"/>
          <w:sz w:val="20"/>
        </w:rPr>
        <w:br w:type="page"/>
      </w:r>
    </w:p>
    <w:p w14:paraId="5468DDA7" w14:textId="5C186DD3" w:rsidR="00444053" w:rsidRPr="004930C2" w:rsidRDefault="00444053" w:rsidP="00330D39">
      <w:pPr>
        <w:autoSpaceDE w:val="0"/>
        <w:autoSpaceDN w:val="0"/>
        <w:adjustRightInd w:val="0"/>
        <w:spacing w:line="480" w:lineRule="auto"/>
        <w:rPr>
          <w:b/>
          <w:color w:val="000000" w:themeColor="text1"/>
          <w:sz w:val="20"/>
        </w:rPr>
      </w:pPr>
      <w:r w:rsidRPr="004930C2">
        <w:rPr>
          <w:b/>
          <w:color w:val="000000" w:themeColor="text1"/>
          <w:sz w:val="20"/>
        </w:rPr>
        <w:lastRenderedPageBreak/>
        <w:t>Figure captions</w:t>
      </w:r>
    </w:p>
    <w:p w14:paraId="22A4AE44" w14:textId="77777777" w:rsidR="00444053" w:rsidRPr="004930C2" w:rsidRDefault="00444053" w:rsidP="00330D39">
      <w:pPr>
        <w:autoSpaceDE w:val="0"/>
        <w:autoSpaceDN w:val="0"/>
        <w:adjustRightInd w:val="0"/>
        <w:spacing w:line="480" w:lineRule="auto"/>
        <w:rPr>
          <w:color w:val="000000" w:themeColor="text1"/>
          <w:sz w:val="20"/>
        </w:rPr>
      </w:pPr>
    </w:p>
    <w:p w14:paraId="097E328C" w14:textId="33BF94E5" w:rsidR="00444053" w:rsidRPr="004930C2" w:rsidRDefault="00444053" w:rsidP="00330D39">
      <w:pPr>
        <w:autoSpaceDE w:val="0"/>
        <w:autoSpaceDN w:val="0"/>
        <w:adjustRightInd w:val="0"/>
        <w:spacing w:line="480" w:lineRule="auto"/>
        <w:rPr>
          <w:color w:val="000000" w:themeColor="text1"/>
          <w:sz w:val="20"/>
        </w:rPr>
      </w:pPr>
      <w:r w:rsidRPr="004930C2">
        <w:rPr>
          <w:rFonts w:eastAsiaTheme="majorEastAsia"/>
          <w:b/>
          <w:color w:val="000000" w:themeColor="text1"/>
          <w:sz w:val="20"/>
        </w:rPr>
        <w:t>Fig</w:t>
      </w:r>
      <w:r w:rsidR="00C76627">
        <w:rPr>
          <w:rFonts w:eastAsiaTheme="majorEastAsia"/>
          <w:b/>
          <w:color w:val="000000" w:themeColor="text1"/>
          <w:sz w:val="20"/>
        </w:rPr>
        <w:t>.</w:t>
      </w:r>
      <w:r w:rsidRPr="004930C2">
        <w:rPr>
          <w:rFonts w:eastAsiaTheme="majorEastAsia"/>
          <w:color w:val="000000" w:themeColor="text1"/>
          <w:sz w:val="20"/>
        </w:rPr>
        <w:t xml:space="preserve"> </w:t>
      </w:r>
      <w:r w:rsidRPr="004930C2">
        <w:rPr>
          <w:b/>
          <w:color w:val="000000" w:themeColor="text1"/>
          <w:sz w:val="20"/>
        </w:rPr>
        <w:t>1</w:t>
      </w:r>
      <w:r w:rsidRPr="004930C2">
        <w:rPr>
          <w:color w:val="000000" w:themeColor="text1"/>
          <w:sz w:val="20"/>
        </w:rPr>
        <w:t xml:space="preserve"> Biomass production </w:t>
      </w:r>
      <w:r w:rsidR="001E4F75" w:rsidRPr="004930C2">
        <w:rPr>
          <w:color w:val="000000" w:themeColor="text1"/>
          <w:sz w:val="20"/>
        </w:rPr>
        <w:t>of</w:t>
      </w:r>
      <w:r w:rsidRPr="004930C2">
        <w:rPr>
          <w:color w:val="000000" w:themeColor="text1"/>
          <w:sz w:val="20"/>
        </w:rPr>
        <w:t xml:space="preserve"> oat plant</w:t>
      </w:r>
      <w:r w:rsidR="0054597B" w:rsidRPr="004930C2">
        <w:rPr>
          <w:color w:val="000000" w:themeColor="text1"/>
          <w:sz w:val="20"/>
        </w:rPr>
        <w:t>s</w:t>
      </w:r>
      <w:r w:rsidRPr="004930C2">
        <w:rPr>
          <w:color w:val="000000" w:themeColor="text1"/>
          <w:sz w:val="20"/>
        </w:rPr>
        <w:t xml:space="preserve"> in </w:t>
      </w:r>
      <w:r w:rsidR="002F52CB" w:rsidRPr="004930C2">
        <w:rPr>
          <w:color w:val="000000" w:themeColor="text1"/>
          <w:sz w:val="20"/>
        </w:rPr>
        <w:t>WD</w:t>
      </w:r>
      <w:r w:rsidR="002F52CB" w:rsidRPr="004930C2">
        <w:rPr>
          <w:color w:val="000000" w:themeColor="text1"/>
          <w:sz w:val="20"/>
          <w:vertAlign w:val="subscript"/>
        </w:rPr>
        <w:t>BC</w:t>
      </w:r>
      <w:r w:rsidR="002F52CB" w:rsidRPr="004930C2">
        <w:rPr>
          <w:color w:val="000000" w:themeColor="text1"/>
          <w:sz w:val="20"/>
        </w:rPr>
        <w:t>- and DM</w:t>
      </w:r>
      <w:r w:rsidR="002F52CB" w:rsidRPr="004930C2">
        <w:rPr>
          <w:color w:val="000000" w:themeColor="text1"/>
          <w:sz w:val="20"/>
          <w:vertAlign w:val="subscript"/>
        </w:rPr>
        <w:t>BC</w:t>
      </w:r>
      <w:r w:rsidR="002F52CB" w:rsidRPr="004930C2">
        <w:rPr>
          <w:color w:val="000000" w:themeColor="text1"/>
          <w:sz w:val="20"/>
        </w:rPr>
        <w:t xml:space="preserve">-compost </w:t>
      </w:r>
      <w:r w:rsidRPr="004930C2">
        <w:rPr>
          <w:color w:val="000000" w:themeColor="text1"/>
          <w:sz w:val="20"/>
        </w:rPr>
        <w:t>treatment</w:t>
      </w:r>
      <w:r w:rsidR="002F52CB" w:rsidRPr="004930C2">
        <w:rPr>
          <w:color w:val="000000" w:themeColor="text1"/>
          <w:sz w:val="20"/>
        </w:rPr>
        <w:t>s. Control is compost application</w:t>
      </w:r>
      <w:r w:rsidR="007B45F2" w:rsidRPr="004930C2">
        <w:rPr>
          <w:color w:val="000000" w:themeColor="text1"/>
          <w:sz w:val="20"/>
        </w:rPr>
        <w:t xml:space="preserve"> alone</w:t>
      </w:r>
      <w:r w:rsidR="002F52CB" w:rsidRPr="004930C2">
        <w:rPr>
          <w:color w:val="000000" w:themeColor="text1"/>
          <w:sz w:val="20"/>
        </w:rPr>
        <w:t xml:space="preserve">. </w:t>
      </w:r>
      <w:r w:rsidR="00701677" w:rsidRPr="004930C2">
        <w:rPr>
          <w:color w:val="000000" w:themeColor="text1"/>
          <w:sz w:val="20"/>
        </w:rPr>
        <w:t>Data</w:t>
      </w:r>
      <w:r w:rsidRPr="004930C2">
        <w:rPr>
          <w:color w:val="000000" w:themeColor="text1"/>
          <w:sz w:val="20"/>
        </w:rPr>
        <w:t xml:space="preserve"> </w:t>
      </w:r>
      <w:r w:rsidR="002F52CB" w:rsidRPr="004930C2">
        <w:rPr>
          <w:color w:val="000000" w:themeColor="text1"/>
          <w:sz w:val="20"/>
        </w:rPr>
        <w:t xml:space="preserve">express </w:t>
      </w:r>
      <w:r w:rsidR="00701677" w:rsidRPr="004930C2">
        <w:rPr>
          <w:color w:val="000000" w:themeColor="text1"/>
          <w:sz w:val="20"/>
        </w:rPr>
        <w:t xml:space="preserve">mean ± </w:t>
      </w:r>
      <w:r w:rsidRPr="004930C2">
        <w:rPr>
          <w:color w:val="000000" w:themeColor="text1"/>
          <w:sz w:val="20"/>
        </w:rPr>
        <w:t>standard</w:t>
      </w:r>
      <w:r w:rsidR="005A4A5D" w:rsidRPr="004930C2">
        <w:rPr>
          <w:color w:val="000000" w:themeColor="text1"/>
          <w:sz w:val="20"/>
        </w:rPr>
        <w:t xml:space="preserve"> error </w:t>
      </w:r>
      <w:r w:rsidR="002F52CB" w:rsidRPr="004930C2">
        <w:rPr>
          <w:color w:val="000000" w:themeColor="text1"/>
          <w:sz w:val="20"/>
        </w:rPr>
        <w:t>(</w:t>
      </w:r>
      <w:r w:rsidRPr="004930C2">
        <w:rPr>
          <w:color w:val="000000" w:themeColor="text1"/>
          <w:sz w:val="20"/>
        </w:rPr>
        <w:t>n</w:t>
      </w:r>
      <w:r w:rsidR="0054597B" w:rsidRPr="004930C2">
        <w:rPr>
          <w:color w:val="000000" w:themeColor="text1"/>
          <w:sz w:val="20"/>
        </w:rPr>
        <w:t xml:space="preserve"> </w:t>
      </w:r>
      <w:r w:rsidRPr="004930C2">
        <w:rPr>
          <w:color w:val="000000" w:themeColor="text1"/>
          <w:sz w:val="20"/>
        </w:rPr>
        <w:t>=</w:t>
      </w:r>
      <w:r w:rsidR="0054597B" w:rsidRPr="004930C2">
        <w:rPr>
          <w:color w:val="000000" w:themeColor="text1"/>
          <w:sz w:val="20"/>
        </w:rPr>
        <w:t xml:space="preserve"> </w:t>
      </w:r>
      <w:r w:rsidRPr="004930C2">
        <w:rPr>
          <w:color w:val="000000" w:themeColor="text1"/>
          <w:sz w:val="20"/>
        </w:rPr>
        <w:t>5</w:t>
      </w:r>
      <w:r w:rsidR="002F52CB" w:rsidRPr="004930C2">
        <w:rPr>
          <w:color w:val="000000" w:themeColor="text1"/>
          <w:sz w:val="20"/>
        </w:rPr>
        <w:t>)</w:t>
      </w:r>
      <w:r w:rsidRPr="004930C2">
        <w:rPr>
          <w:color w:val="000000" w:themeColor="text1"/>
          <w:sz w:val="20"/>
        </w:rPr>
        <w:t>.</w:t>
      </w:r>
      <w:r w:rsidR="002F52CB" w:rsidRPr="004930C2">
        <w:rPr>
          <w:color w:val="000000" w:themeColor="text1"/>
          <w:sz w:val="20"/>
        </w:rPr>
        <w:t xml:space="preserve"> WD</w:t>
      </w:r>
      <w:r w:rsidR="002F52CB" w:rsidRPr="004930C2">
        <w:rPr>
          <w:color w:val="000000" w:themeColor="text1"/>
          <w:sz w:val="20"/>
          <w:vertAlign w:val="subscript"/>
        </w:rPr>
        <w:t>BC</w:t>
      </w:r>
      <w:r w:rsidR="002F52CB" w:rsidRPr="004930C2">
        <w:rPr>
          <w:color w:val="000000" w:themeColor="text1"/>
          <w:sz w:val="20"/>
        </w:rPr>
        <w:t xml:space="preserve"> and DM</w:t>
      </w:r>
      <w:r w:rsidR="002F52CB" w:rsidRPr="004930C2">
        <w:rPr>
          <w:color w:val="000000" w:themeColor="text1"/>
          <w:sz w:val="20"/>
          <w:vertAlign w:val="subscript"/>
        </w:rPr>
        <w:t>BC</w:t>
      </w:r>
      <w:r w:rsidR="002F52CB" w:rsidRPr="004930C2">
        <w:rPr>
          <w:color w:val="000000" w:themeColor="text1"/>
          <w:sz w:val="20"/>
        </w:rPr>
        <w:t xml:space="preserve"> represent wood biochar and dairy manure biochar, respectively</w:t>
      </w:r>
    </w:p>
    <w:p w14:paraId="4965D6D6" w14:textId="77777777" w:rsidR="00444053" w:rsidRPr="004930C2" w:rsidRDefault="00444053" w:rsidP="00330D39">
      <w:pPr>
        <w:autoSpaceDE w:val="0"/>
        <w:autoSpaceDN w:val="0"/>
        <w:adjustRightInd w:val="0"/>
        <w:spacing w:line="480" w:lineRule="auto"/>
        <w:rPr>
          <w:color w:val="000000" w:themeColor="text1"/>
          <w:sz w:val="20"/>
        </w:rPr>
      </w:pPr>
    </w:p>
    <w:p w14:paraId="62EFAF80" w14:textId="1DA4B8B9" w:rsidR="00444053" w:rsidRPr="004930C2" w:rsidRDefault="00444053" w:rsidP="00330D39">
      <w:pPr>
        <w:autoSpaceDE w:val="0"/>
        <w:autoSpaceDN w:val="0"/>
        <w:adjustRightInd w:val="0"/>
        <w:spacing w:line="480" w:lineRule="auto"/>
        <w:rPr>
          <w:color w:val="000000" w:themeColor="text1"/>
          <w:sz w:val="20"/>
        </w:rPr>
      </w:pPr>
      <w:r w:rsidRPr="004930C2">
        <w:rPr>
          <w:rFonts w:eastAsiaTheme="majorEastAsia"/>
          <w:b/>
          <w:color w:val="000000" w:themeColor="text1"/>
          <w:sz w:val="20"/>
        </w:rPr>
        <w:t>Fig</w:t>
      </w:r>
      <w:r w:rsidR="00C76627">
        <w:rPr>
          <w:rFonts w:eastAsiaTheme="majorEastAsia"/>
          <w:b/>
          <w:color w:val="000000" w:themeColor="text1"/>
          <w:sz w:val="20"/>
        </w:rPr>
        <w:t>.</w:t>
      </w:r>
      <w:r w:rsidRPr="004930C2">
        <w:rPr>
          <w:b/>
          <w:color w:val="000000" w:themeColor="text1"/>
          <w:sz w:val="20"/>
        </w:rPr>
        <w:t xml:space="preserve"> 2</w:t>
      </w:r>
      <w:r w:rsidRPr="004930C2">
        <w:rPr>
          <w:color w:val="000000" w:themeColor="text1"/>
          <w:sz w:val="20"/>
        </w:rPr>
        <w:t xml:space="preserve"> Nitrogen uptake of </w:t>
      </w:r>
      <w:r w:rsidR="0054597B" w:rsidRPr="004930C2">
        <w:rPr>
          <w:color w:val="000000" w:themeColor="text1"/>
          <w:sz w:val="20"/>
        </w:rPr>
        <w:t xml:space="preserve">the </w:t>
      </w:r>
      <w:r w:rsidRPr="004930C2">
        <w:rPr>
          <w:color w:val="000000" w:themeColor="text1"/>
          <w:sz w:val="20"/>
        </w:rPr>
        <w:t>above</w:t>
      </w:r>
      <w:r w:rsidR="0054597B" w:rsidRPr="004930C2">
        <w:rPr>
          <w:color w:val="000000" w:themeColor="text1"/>
          <w:sz w:val="20"/>
        </w:rPr>
        <w:t>-</w:t>
      </w:r>
      <w:r w:rsidRPr="004930C2">
        <w:rPr>
          <w:color w:val="000000" w:themeColor="text1"/>
          <w:sz w:val="20"/>
        </w:rPr>
        <w:t xml:space="preserve">ground </w:t>
      </w:r>
      <w:r w:rsidR="0054597B" w:rsidRPr="004930C2">
        <w:rPr>
          <w:color w:val="000000" w:themeColor="text1"/>
          <w:sz w:val="20"/>
        </w:rPr>
        <w:t xml:space="preserve">part </w:t>
      </w:r>
      <w:r w:rsidRPr="004930C2">
        <w:rPr>
          <w:color w:val="000000" w:themeColor="text1"/>
          <w:sz w:val="20"/>
        </w:rPr>
        <w:t>of oat plant</w:t>
      </w:r>
      <w:r w:rsidR="0054597B" w:rsidRPr="004930C2">
        <w:rPr>
          <w:color w:val="000000" w:themeColor="text1"/>
          <w:sz w:val="20"/>
        </w:rPr>
        <w:t>s</w:t>
      </w:r>
      <w:r w:rsidRPr="004930C2">
        <w:rPr>
          <w:color w:val="000000" w:themeColor="text1"/>
          <w:sz w:val="20"/>
        </w:rPr>
        <w:t xml:space="preserve"> in </w:t>
      </w:r>
      <w:r w:rsidR="002F52CB" w:rsidRPr="004930C2">
        <w:rPr>
          <w:color w:val="000000" w:themeColor="text1"/>
          <w:sz w:val="20"/>
        </w:rPr>
        <w:t>WD</w:t>
      </w:r>
      <w:r w:rsidR="002F52CB" w:rsidRPr="004930C2">
        <w:rPr>
          <w:color w:val="000000" w:themeColor="text1"/>
          <w:sz w:val="20"/>
          <w:vertAlign w:val="subscript"/>
        </w:rPr>
        <w:t>BC</w:t>
      </w:r>
      <w:r w:rsidR="002F52CB" w:rsidRPr="004930C2">
        <w:rPr>
          <w:color w:val="000000" w:themeColor="text1"/>
          <w:sz w:val="20"/>
        </w:rPr>
        <w:t>- and DM</w:t>
      </w:r>
      <w:r w:rsidR="002F52CB" w:rsidRPr="004930C2">
        <w:rPr>
          <w:color w:val="000000" w:themeColor="text1"/>
          <w:sz w:val="20"/>
          <w:vertAlign w:val="subscript"/>
        </w:rPr>
        <w:t>BC</w:t>
      </w:r>
      <w:r w:rsidR="002F52CB" w:rsidRPr="004930C2">
        <w:rPr>
          <w:color w:val="000000" w:themeColor="text1"/>
          <w:sz w:val="20"/>
        </w:rPr>
        <w:t>-compost</w:t>
      </w:r>
      <w:r w:rsidR="002F52CB" w:rsidRPr="004930C2" w:rsidDel="002F52CB">
        <w:rPr>
          <w:color w:val="000000" w:themeColor="text1"/>
          <w:sz w:val="20"/>
        </w:rPr>
        <w:t xml:space="preserve"> </w:t>
      </w:r>
      <w:r w:rsidRPr="004930C2">
        <w:rPr>
          <w:color w:val="000000" w:themeColor="text1"/>
          <w:sz w:val="20"/>
        </w:rPr>
        <w:t>treatment</w:t>
      </w:r>
      <w:r w:rsidR="002F52CB" w:rsidRPr="004930C2">
        <w:rPr>
          <w:color w:val="000000" w:themeColor="text1"/>
          <w:sz w:val="20"/>
        </w:rPr>
        <w:t>s.</w:t>
      </w:r>
      <w:r w:rsidRPr="004930C2">
        <w:rPr>
          <w:color w:val="000000" w:themeColor="text1"/>
          <w:sz w:val="20"/>
        </w:rPr>
        <w:t xml:space="preserve"> </w:t>
      </w:r>
      <w:r w:rsidR="002F52CB" w:rsidRPr="004930C2">
        <w:rPr>
          <w:color w:val="000000" w:themeColor="text1"/>
          <w:sz w:val="20"/>
        </w:rPr>
        <w:t>Control is compost application</w:t>
      </w:r>
      <w:r w:rsidR="007B45F2" w:rsidRPr="004930C2">
        <w:rPr>
          <w:color w:val="000000" w:themeColor="text1"/>
          <w:sz w:val="20"/>
        </w:rPr>
        <w:t xml:space="preserve"> alone</w:t>
      </w:r>
      <w:r w:rsidR="002F52CB" w:rsidRPr="004930C2">
        <w:rPr>
          <w:color w:val="000000" w:themeColor="text1"/>
          <w:sz w:val="20"/>
        </w:rPr>
        <w:t xml:space="preserve">. Data express mean ± standard </w:t>
      </w:r>
      <w:r w:rsidR="005A4A5D" w:rsidRPr="004930C2">
        <w:rPr>
          <w:color w:val="000000" w:themeColor="text1"/>
          <w:sz w:val="20"/>
        </w:rPr>
        <w:t>error</w:t>
      </w:r>
      <w:r w:rsidR="002F52CB" w:rsidRPr="004930C2">
        <w:rPr>
          <w:color w:val="000000" w:themeColor="text1"/>
          <w:sz w:val="20"/>
        </w:rPr>
        <w:t xml:space="preserve"> (n = 5). WD</w:t>
      </w:r>
      <w:r w:rsidR="002F52CB" w:rsidRPr="004930C2">
        <w:rPr>
          <w:color w:val="000000" w:themeColor="text1"/>
          <w:sz w:val="20"/>
          <w:vertAlign w:val="subscript"/>
        </w:rPr>
        <w:t>BC</w:t>
      </w:r>
      <w:r w:rsidR="002F52CB" w:rsidRPr="004930C2">
        <w:rPr>
          <w:color w:val="000000" w:themeColor="text1"/>
          <w:sz w:val="20"/>
        </w:rPr>
        <w:t xml:space="preserve"> and DM</w:t>
      </w:r>
      <w:r w:rsidR="002F52CB" w:rsidRPr="004930C2">
        <w:rPr>
          <w:color w:val="000000" w:themeColor="text1"/>
          <w:sz w:val="20"/>
          <w:vertAlign w:val="subscript"/>
        </w:rPr>
        <w:t>BC</w:t>
      </w:r>
      <w:r w:rsidR="002F52CB" w:rsidRPr="004930C2">
        <w:rPr>
          <w:color w:val="000000" w:themeColor="text1"/>
          <w:sz w:val="20"/>
        </w:rPr>
        <w:t xml:space="preserve"> represent wood biochar and dairy manure biochar, respectively</w:t>
      </w:r>
    </w:p>
    <w:p w14:paraId="202CA096" w14:textId="77777777" w:rsidR="00444053" w:rsidRPr="004930C2" w:rsidRDefault="00444053" w:rsidP="00330D39">
      <w:pPr>
        <w:autoSpaceDE w:val="0"/>
        <w:autoSpaceDN w:val="0"/>
        <w:adjustRightInd w:val="0"/>
        <w:spacing w:line="480" w:lineRule="auto"/>
        <w:rPr>
          <w:color w:val="000000" w:themeColor="text1"/>
          <w:sz w:val="20"/>
        </w:rPr>
      </w:pPr>
    </w:p>
    <w:p w14:paraId="6B196139" w14:textId="025B2769" w:rsidR="00444053" w:rsidRPr="004930C2" w:rsidRDefault="00444053" w:rsidP="00330D39">
      <w:pPr>
        <w:autoSpaceDE w:val="0"/>
        <w:autoSpaceDN w:val="0"/>
        <w:adjustRightInd w:val="0"/>
        <w:spacing w:line="480" w:lineRule="auto"/>
        <w:rPr>
          <w:color w:val="000000" w:themeColor="text1"/>
          <w:sz w:val="20"/>
        </w:rPr>
      </w:pPr>
      <w:r w:rsidRPr="004930C2">
        <w:rPr>
          <w:rFonts w:eastAsiaTheme="majorEastAsia"/>
          <w:b/>
          <w:color w:val="000000" w:themeColor="text1"/>
          <w:sz w:val="20"/>
        </w:rPr>
        <w:t>Fig</w:t>
      </w:r>
      <w:r w:rsidR="00C76627">
        <w:rPr>
          <w:rFonts w:eastAsiaTheme="majorEastAsia"/>
          <w:b/>
          <w:color w:val="000000" w:themeColor="text1"/>
          <w:sz w:val="20"/>
        </w:rPr>
        <w:t>.</w:t>
      </w:r>
      <w:r w:rsidRPr="004930C2">
        <w:rPr>
          <w:b/>
          <w:color w:val="000000" w:themeColor="text1"/>
          <w:sz w:val="20"/>
        </w:rPr>
        <w:t xml:space="preserve"> 3</w:t>
      </w:r>
      <w:r w:rsidRPr="004930C2">
        <w:rPr>
          <w:color w:val="000000" w:themeColor="text1"/>
          <w:sz w:val="20"/>
        </w:rPr>
        <w:t xml:space="preserve"> Nitrogen content of above</w:t>
      </w:r>
      <w:r w:rsidR="0054597B" w:rsidRPr="004930C2">
        <w:rPr>
          <w:color w:val="000000" w:themeColor="text1"/>
          <w:sz w:val="20"/>
        </w:rPr>
        <w:t>-</w:t>
      </w:r>
      <w:r w:rsidRPr="004930C2">
        <w:rPr>
          <w:color w:val="000000" w:themeColor="text1"/>
          <w:sz w:val="20"/>
        </w:rPr>
        <w:t>ground</w:t>
      </w:r>
      <w:r w:rsidR="0054597B" w:rsidRPr="004930C2">
        <w:rPr>
          <w:color w:val="000000" w:themeColor="text1"/>
          <w:sz w:val="20"/>
        </w:rPr>
        <w:t xml:space="preserve"> part</w:t>
      </w:r>
      <w:r w:rsidRPr="004930C2">
        <w:rPr>
          <w:color w:val="000000" w:themeColor="text1"/>
          <w:sz w:val="20"/>
        </w:rPr>
        <w:t xml:space="preserve"> of oat plant in </w:t>
      </w:r>
      <w:r w:rsidR="002F52CB" w:rsidRPr="004930C2">
        <w:rPr>
          <w:color w:val="000000" w:themeColor="text1"/>
          <w:sz w:val="20"/>
        </w:rPr>
        <w:t>WD</w:t>
      </w:r>
      <w:r w:rsidR="002F52CB" w:rsidRPr="004930C2">
        <w:rPr>
          <w:color w:val="000000" w:themeColor="text1"/>
          <w:sz w:val="20"/>
          <w:vertAlign w:val="subscript"/>
        </w:rPr>
        <w:t>BC</w:t>
      </w:r>
      <w:r w:rsidR="002F52CB" w:rsidRPr="004930C2">
        <w:rPr>
          <w:color w:val="000000" w:themeColor="text1"/>
          <w:sz w:val="20"/>
        </w:rPr>
        <w:t>- and DM</w:t>
      </w:r>
      <w:r w:rsidR="002F52CB" w:rsidRPr="004930C2">
        <w:rPr>
          <w:color w:val="000000" w:themeColor="text1"/>
          <w:sz w:val="20"/>
          <w:vertAlign w:val="subscript"/>
        </w:rPr>
        <w:t>BC</w:t>
      </w:r>
      <w:r w:rsidR="002F52CB" w:rsidRPr="004930C2">
        <w:rPr>
          <w:color w:val="000000" w:themeColor="text1"/>
          <w:sz w:val="20"/>
        </w:rPr>
        <w:t>-compost</w:t>
      </w:r>
      <w:r w:rsidR="002F52CB" w:rsidRPr="004930C2" w:rsidDel="002F52CB">
        <w:rPr>
          <w:color w:val="000000" w:themeColor="text1"/>
          <w:sz w:val="20"/>
        </w:rPr>
        <w:t xml:space="preserve"> </w:t>
      </w:r>
      <w:r w:rsidR="002F52CB" w:rsidRPr="004930C2">
        <w:rPr>
          <w:color w:val="000000" w:themeColor="text1"/>
          <w:sz w:val="20"/>
        </w:rPr>
        <w:t>treatments. Control is compost application</w:t>
      </w:r>
      <w:r w:rsidR="007B45F2" w:rsidRPr="004930C2">
        <w:rPr>
          <w:color w:val="000000" w:themeColor="text1"/>
          <w:sz w:val="20"/>
        </w:rPr>
        <w:t xml:space="preserve"> alone</w:t>
      </w:r>
      <w:r w:rsidR="002F52CB" w:rsidRPr="004930C2">
        <w:rPr>
          <w:color w:val="000000" w:themeColor="text1"/>
          <w:sz w:val="20"/>
        </w:rPr>
        <w:t xml:space="preserve">. Data express mean ± standard </w:t>
      </w:r>
      <w:r w:rsidR="005A4A5D" w:rsidRPr="004930C2">
        <w:rPr>
          <w:color w:val="000000" w:themeColor="text1"/>
          <w:sz w:val="20"/>
        </w:rPr>
        <w:t>error</w:t>
      </w:r>
      <w:r w:rsidR="002F52CB" w:rsidRPr="004930C2">
        <w:rPr>
          <w:color w:val="000000" w:themeColor="text1"/>
          <w:sz w:val="20"/>
        </w:rPr>
        <w:t xml:space="preserve"> (n = 5)</w:t>
      </w:r>
      <w:r w:rsidRPr="004930C2">
        <w:rPr>
          <w:color w:val="000000" w:themeColor="text1"/>
          <w:sz w:val="20"/>
        </w:rPr>
        <w:t>.</w:t>
      </w:r>
      <w:r w:rsidR="002F52CB" w:rsidRPr="004930C2">
        <w:rPr>
          <w:color w:val="000000" w:themeColor="text1"/>
          <w:sz w:val="20"/>
        </w:rPr>
        <w:t xml:space="preserve"> WD</w:t>
      </w:r>
      <w:r w:rsidR="002F52CB" w:rsidRPr="004930C2">
        <w:rPr>
          <w:color w:val="000000" w:themeColor="text1"/>
          <w:sz w:val="20"/>
          <w:vertAlign w:val="subscript"/>
        </w:rPr>
        <w:t>BC</w:t>
      </w:r>
      <w:r w:rsidR="002F52CB" w:rsidRPr="004930C2">
        <w:rPr>
          <w:color w:val="000000" w:themeColor="text1"/>
          <w:sz w:val="20"/>
        </w:rPr>
        <w:t xml:space="preserve"> and DM</w:t>
      </w:r>
      <w:r w:rsidR="002F52CB" w:rsidRPr="004930C2">
        <w:rPr>
          <w:color w:val="000000" w:themeColor="text1"/>
          <w:sz w:val="20"/>
          <w:vertAlign w:val="subscript"/>
        </w:rPr>
        <w:t>BC</w:t>
      </w:r>
      <w:r w:rsidR="002F52CB" w:rsidRPr="004930C2">
        <w:rPr>
          <w:color w:val="000000" w:themeColor="text1"/>
          <w:sz w:val="20"/>
        </w:rPr>
        <w:t xml:space="preserve"> represent wood biochar and dairy manure biochar, respectively</w:t>
      </w:r>
    </w:p>
    <w:p w14:paraId="47B3B387" w14:textId="77777777" w:rsidR="00444053" w:rsidRPr="004930C2" w:rsidRDefault="00444053" w:rsidP="00330D39">
      <w:pPr>
        <w:autoSpaceDE w:val="0"/>
        <w:autoSpaceDN w:val="0"/>
        <w:adjustRightInd w:val="0"/>
        <w:spacing w:line="480" w:lineRule="auto"/>
        <w:rPr>
          <w:color w:val="000000" w:themeColor="text1"/>
          <w:sz w:val="20"/>
        </w:rPr>
      </w:pPr>
    </w:p>
    <w:p w14:paraId="4AA07A80" w14:textId="77777777" w:rsidR="00484987" w:rsidRDefault="00444053" w:rsidP="00330D39">
      <w:pPr>
        <w:autoSpaceDE w:val="0"/>
        <w:autoSpaceDN w:val="0"/>
        <w:adjustRightInd w:val="0"/>
        <w:spacing w:line="480" w:lineRule="auto"/>
        <w:rPr>
          <w:color w:val="000000" w:themeColor="text1"/>
          <w:sz w:val="20"/>
        </w:rPr>
        <w:sectPr w:rsidR="00484987" w:rsidSect="00720BB2">
          <w:pgSz w:w="16838" w:h="11906" w:orient="landscape"/>
          <w:pgMar w:top="1418" w:right="1418" w:bottom="1418" w:left="1418" w:header="851" w:footer="567" w:gutter="0"/>
          <w:lnNumType w:countBy="1" w:restart="continuous"/>
          <w:cols w:space="425"/>
          <w:docGrid w:type="lines" w:linePitch="360"/>
        </w:sectPr>
      </w:pPr>
      <w:r w:rsidRPr="004930C2">
        <w:rPr>
          <w:rFonts w:eastAsiaTheme="majorEastAsia"/>
          <w:b/>
          <w:color w:val="000000" w:themeColor="text1"/>
          <w:sz w:val="20"/>
        </w:rPr>
        <w:lastRenderedPageBreak/>
        <w:t>Fig</w:t>
      </w:r>
      <w:r w:rsidR="00C76627">
        <w:rPr>
          <w:rFonts w:eastAsiaTheme="majorEastAsia"/>
          <w:b/>
          <w:color w:val="000000" w:themeColor="text1"/>
          <w:sz w:val="20"/>
        </w:rPr>
        <w:t>.</w:t>
      </w:r>
      <w:r w:rsidRPr="004930C2">
        <w:rPr>
          <w:b/>
          <w:color w:val="000000" w:themeColor="text1"/>
          <w:sz w:val="20"/>
        </w:rPr>
        <w:t xml:space="preserve"> 4</w:t>
      </w:r>
      <w:r w:rsidRPr="004930C2">
        <w:rPr>
          <w:color w:val="000000" w:themeColor="text1"/>
          <w:sz w:val="20"/>
        </w:rPr>
        <w:t xml:space="preserve"> δ</w:t>
      </w:r>
      <w:r w:rsidRPr="004930C2">
        <w:rPr>
          <w:color w:val="000000" w:themeColor="text1"/>
          <w:sz w:val="20"/>
          <w:vertAlign w:val="superscript"/>
        </w:rPr>
        <w:t>15</w:t>
      </w:r>
      <w:r w:rsidRPr="004930C2">
        <w:rPr>
          <w:color w:val="000000" w:themeColor="text1"/>
          <w:sz w:val="20"/>
        </w:rPr>
        <w:t>N value of above</w:t>
      </w:r>
      <w:r w:rsidR="0054597B" w:rsidRPr="004930C2">
        <w:rPr>
          <w:color w:val="000000" w:themeColor="text1"/>
          <w:sz w:val="20"/>
        </w:rPr>
        <w:t>-</w:t>
      </w:r>
      <w:r w:rsidRPr="004930C2">
        <w:rPr>
          <w:color w:val="000000" w:themeColor="text1"/>
          <w:sz w:val="20"/>
        </w:rPr>
        <w:t>ground</w:t>
      </w:r>
      <w:r w:rsidR="0054597B" w:rsidRPr="004930C2">
        <w:rPr>
          <w:color w:val="000000" w:themeColor="text1"/>
          <w:sz w:val="20"/>
        </w:rPr>
        <w:t xml:space="preserve"> part</w:t>
      </w:r>
      <w:r w:rsidRPr="004930C2">
        <w:rPr>
          <w:color w:val="000000" w:themeColor="text1"/>
          <w:sz w:val="20"/>
        </w:rPr>
        <w:t xml:space="preserve"> of oat plant </w:t>
      </w:r>
      <w:r w:rsidR="002F52CB" w:rsidRPr="004930C2">
        <w:rPr>
          <w:color w:val="000000" w:themeColor="text1"/>
          <w:sz w:val="20"/>
        </w:rPr>
        <w:t>WD</w:t>
      </w:r>
      <w:r w:rsidR="002F52CB" w:rsidRPr="004930C2">
        <w:rPr>
          <w:color w:val="000000" w:themeColor="text1"/>
          <w:sz w:val="20"/>
          <w:vertAlign w:val="subscript"/>
        </w:rPr>
        <w:t>BC</w:t>
      </w:r>
      <w:r w:rsidR="002F52CB" w:rsidRPr="004930C2">
        <w:rPr>
          <w:color w:val="000000" w:themeColor="text1"/>
          <w:sz w:val="20"/>
        </w:rPr>
        <w:t>- and DM</w:t>
      </w:r>
      <w:r w:rsidR="002F52CB" w:rsidRPr="004930C2">
        <w:rPr>
          <w:color w:val="000000" w:themeColor="text1"/>
          <w:sz w:val="20"/>
          <w:vertAlign w:val="subscript"/>
        </w:rPr>
        <w:t>BC</w:t>
      </w:r>
      <w:r w:rsidR="002F52CB" w:rsidRPr="004930C2">
        <w:rPr>
          <w:color w:val="000000" w:themeColor="text1"/>
          <w:sz w:val="20"/>
        </w:rPr>
        <w:t>-compost</w:t>
      </w:r>
      <w:r w:rsidR="002F52CB" w:rsidRPr="004930C2" w:rsidDel="002F52CB">
        <w:rPr>
          <w:color w:val="000000" w:themeColor="text1"/>
          <w:sz w:val="20"/>
        </w:rPr>
        <w:t xml:space="preserve"> </w:t>
      </w:r>
      <w:r w:rsidR="002F52CB" w:rsidRPr="004930C2">
        <w:rPr>
          <w:color w:val="000000" w:themeColor="text1"/>
          <w:sz w:val="20"/>
        </w:rPr>
        <w:t>treatments. Control is compost application</w:t>
      </w:r>
      <w:r w:rsidR="00EC588A" w:rsidRPr="004930C2">
        <w:rPr>
          <w:color w:val="000000" w:themeColor="text1"/>
          <w:sz w:val="20"/>
        </w:rPr>
        <w:t xml:space="preserve"> alone</w:t>
      </w:r>
      <w:r w:rsidR="002F52CB" w:rsidRPr="004930C2">
        <w:rPr>
          <w:color w:val="000000" w:themeColor="text1"/>
          <w:sz w:val="20"/>
        </w:rPr>
        <w:t xml:space="preserve">. Data express mean ± standard </w:t>
      </w:r>
      <w:r w:rsidR="005A4A5D" w:rsidRPr="004930C2">
        <w:rPr>
          <w:color w:val="000000" w:themeColor="text1"/>
          <w:sz w:val="20"/>
        </w:rPr>
        <w:t>error</w:t>
      </w:r>
      <w:r w:rsidR="002F52CB" w:rsidRPr="004930C2">
        <w:rPr>
          <w:color w:val="000000" w:themeColor="text1"/>
          <w:sz w:val="20"/>
        </w:rPr>
        <w:t xml:space="preserve"> (n = 5). WD</w:t>
      </w:r>
      <w:r w:rsidR="002F52CB" w:rsidRPr="004930C2">
        <w:rPr>
          <w:color w:val="000000" w:themeColor="text1"/>
          <w:sz w:val="20"/>
          <w:vertAlign w:val="subscript"/>
        </w:rPr>
        <w:t>BC</w:t>
      </w:r>
      <w:r w:rsidR="002F52CB" w:rsidRPr="004930C2">
        <w:rPr>
          <w:color w:val="000000" w:themeColor="text1"/>
          <w:sz w:val="20"/>
        </w:rPr>
        <w:t xml:space="preserve"> and DM</w:t>
      </w:r>
      <w:r w:rsidR="002F52CB" w:rsidRPr="004930C2">
        <w:rPr>
          <w:color w:val="000000" w:themeColor="text1"/>
          <w:sz w:val="20"/>
          <w:vertAlign w:val="subscript"/>
        </w:rPr>
        <w:t>BC</w:t>
      </w:r>
      <w:r w:rsidR="002F52CB" w:rsidRPr="004930C2">
        <w:rPr>
          <w:color w:val="000000" w:themeColor="text1"/>
          <w:sz w:val="20"/>
        </w:rPr>
        <w:t xml:space="preserve"> represent wood biochar and dairy manure biochar, respectively.</w:t>
      </w:r>
      <w:r w:rsidRPr="004930C2">
        <w:rPr>
          <w:color w:val="000000" w:themeColor="text1"/>
          <w:sz w:val="20"/>
        </w:rPr>
        <w:t xml:space="preserve"> Gray area indicates the δ</w:t>
      </w:r>
      <w:r w:rsidRPr="004930C2">
        <w:rPr>
          <w:color w:val="000000" w:themeColor="text1"/>
          <w:sz w:val="20"/>
          <w:vertAlign w:val="superscript"/>
        </w:rPr>
        <w:t>15</w:t>
      </w:r>
      <w:r w:rsidRPr="004930C2">
        <w:rPr>
          <w:color w:val="000000" w:themeColor="text1"/>
          <w:sz w:val="20"/>
        </w:rPr>
        <w:t>N value of red soil, dairy manure biochar, and compost</w:t>
      </w:r>
    </w:p>
    <w:p w14:paraId="38CBCAB8" w14:textId="1AC97CE4" w:rsidR="00C87CA5" w:rsidRDefault="00C76627" w:rsidP="00330D39">
      <w:pPr>
        <w:autoSpaceDE w:val="0"/>
        <w:autoSpaceDN w:val="0"/>
        <w:adjustRightInd w:val="0"/>
        <w:spacing w:line="480" w:lineRule="auto"/>
        <w:rPr>
          <w:color w:val="000000" w:themeColor="text1"/>
          <w:sz w:val="20"/>
        </w:rPr>
      </w:pPr>
      <w:r>
        <w:rPr>
          <w:rFonts w:hint="eastAsia"/>
          <w:color w:val="000000" w:themeColor="text1"/>
          <w:sz w:val="20"/>
        </w:rPr>
        <w:lastRenderedPageBreak/>
        <w:t>F</w:t>
      </w:r>
      <w:r>
        <w:rPr>
          <w:color w:val="000000" w:themeColor="text1"/>
          <w:sz w:val="20"/>
        </w:rPr>
        <w:t>ig. 1</w:t>
      </w:r>
    </w:p>
    <w:p w14:paraId="61551A82" w14:textId="5737E007" w:rsidR="00484987" w:rsidRDefault="00484987" w:rsidP="00330D39">
      <w:pPr>
        <w:autoSpaceDE w:val="0"/>
        <w:autoSpaceDN w:val="0"/>
        <w:adjustRightInd w:val="0"/>
        <w:spacing w:line="480" w:lineRule="auto"/>
        <w:rPr>
          <w:color w:val="000000" w:themeColor="text1"/>
          <w:sz w:val="20"/>
        </w:rPr>
      </w:pPr>
      <w:r>
        <w:rPr>
          <w:noProof/>
          <w:color w:val="000000" w:themeColor="text1"/>
          <w:sz w:val="20"/>
        </w:rPr>
        <w:drawing>
          <wp:inline distT="0" distB="0" distL="0" distR="0" wp14:anchorId="58B2B7FA" wp14:editId="22EB2B35">
            <wp:extent cx="5760000" cy="484674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000" cy="4846740"/>
                    </a:xfrm>
                    <a:prstGeom prst="rect">
                      <a:avLst/>
                    </a:prstGeom>
                    <a:noFill/>
                    <a:ln>
                      <a:noFill/>
                    </a:ln>
                  </pic:spPr>
                </pic:pic>
              </a:graphicData>
            </a:graphic>
          </wp:inline>
        </w:drawing>
      </w:r>
      <w:r>
        <w:rPr>
          <w:color w:val="000000" w:themeColor="text1"/>
          <w:sz w:val="20"/>
        </w:rPr>
        <w:br w:type="page"/>
      </w:r>
    </w:p>
    <w:p w14:paraId="159A44BD" w14:textId="679188DB" w:rsidR="00C76627" w:rsidRDefault="00484987" w:rsidP="00330D39">
      <w:pPr>
        <w:autoSpaceDE w:val="0"/>
        <w:autoSpaceDN w:val="0"/>
        <w:adjustRightInd w:val="0"/>
        <w:spacing w:line="480" w:lineRule="auto"/>
        <w:rPr>
          <w:color w:val="000000" w:themeColor="text1"/>
          <w:sz w:val="20"/>
        </w:rPr>
      </w:pPr>
      <w:r>
        <w:rPr>
          <w:rFonts w:hint="eastAsia"/>
          <w:color w:val="000000" w:themeColor="text1"/>
          <w:sz w:val="20"/>
        </w:rPr>
        <w:lastRenderedPageBreak/>
        <w:t>F</w:t>
      </w:r>
      <w:r>
        <w:rPr>
          <w:color w:val="000000" w:themeColor="text1"/>
          <w:sz w:val="20"/>
        </w:rPr>
        <w:t>ig. 2</w:t>
      </w:r>
    </w:p>
    <w:p w14:paraId="553C31E4" w14:textId="72D16721" w:rsidR="00484987" w:rsidRDefault="00484987" w:rsidP="00330D39">
      <w:pPr>
        <w:autoSpaceDE w:val="0"/>
        <w:autoSpaceDN w:val="0"/>
        <w:adjustRightInd w:val="0"/>
        <w:spacing w:line="480" w:lineRule="auto"/>
        <w:rPr>
          <w:color w:val="000000" w:themeColor="text1"/>
          <w:sz w:val="20"/>
        </w:rPr>
      </w:pPr>
      <w:r>
        <w:rPr>
          <w:noProof/>
          <w:color w:val="000000" w:themeColor="text1"/>
          <w:sz w:val="20"/>
        </w:rPr>
        <w:drawing>
          <wp:inline distT="0" distB="0" distL="0" distR="0" wp14:anchorId="1BA4A19E" wp14:editId="24351CEC">
            <wp:extent cx="5760000" cy="4795968"/>
            <wp:effectExtent l="0" t="0" r="0" b="508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000" cy="4795968"/>
                    </a:xfrm>
                    <a:prstGeom prst="rect">
                      <a:avLst/>
                    </a:prstGeom>
                    <a:noFill/>
                    <a:ln>
                      <a:noFill/>
                    </a:ln>
                  </pic:spPr>
                </pic:pic>
              </a:graphicData>
            </a:graphic>
          </wp:inline>
        </w:drawing>
      </w:r>
      <w:r>
        <w:rPr>
          <w:color w:val="000000" w:themeColor="text1"/>
          <w:sz w:val="20"/>
        </w:rPr>
        <w:br w:type="page"/>
      </w:r>
    </w:p>
    <w:p w14:paraId="666E4835" w14:textId="67513952" w:rsidR="00484987" w:rsidRDefault="00484987" w:rsidP="00330D39">
      <w:pPr>
        <w:autoSpaceDE w:val="0"/>
        <w:autoSpaceDN w:val="0"/>
        <w:adjustRightInd w:val="0"/>
        <w:spacing w:line="480" w:lineRule="auto"/>
        <w:rPr>
          <w:color w:val="000000" w:themeColor="text1"/>
          <w:sz w:val="20"/>
        </w:rPr>
      </w:pPr>
      <w:r>
        <w:rPr>
          <w:rFonts w:hint="eastAsia"/>
          <w:color w:val="000000" w:themeColor="text1"/>
          <w:sz w:val="20"/>
        </w:rPr>
        <w:lastRenderedPageBreak/>
        <w:t>F</w:t>
      </w:r>
      <w:r>
        <w:rPr>
          <w:color w:val="000000" w:themeColor="text1"/>
          <w:sz w:val="20"/>
        </w:rPr>
        <w:t>ig. 3</w:t>
      </w:r>
    </w:p>
    <w:p w14:paraId="3210E897" w14:textId="2FA726E8" w:rsidR="00484987" w:rsidRDefault="00484987" w:rsidP="00330D39">
      <w:pPr>
        <w:autoSpaceDE w:val="0"/>
        <w:autoSpaceDN w:val="0"/>
        <w:adjustRightInd w:val="0"/>
        <w:spacing w:line="480" w:lineRule="auto"/>
        <w:rPr>
          <w:color w:val="000000" w:themeColor="text1"/>
          <w:sz w:val="20"/>
        </w:rPr>
      </w:pPr>
      <w:r>
        <w:rPr>
          <w:noProof/>
          <w:color w:val="000000" w:themeColor="text1"/>
          <w:sz w:val="20"/>
        </w:rPr>
        <w:drawing>
          <wp:inline distT="0" distB="0" distL="0" distR="0" wp14:anchorId="47B122BC" wp14:editId="5AB3C4A5">
            <wp:extent cx="5760000" cy="4795968"/>
            <wp:effectExtent l="0" t="0" r="0" b="508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000" cy="4795968"/>
                    </a:xfrm>
                    <a:prstGeom prst="rect">
                      <a:avLst/>
                    </a:prstGeom>
                    <a:noFill/>
                    <a:ln>
                      <a:noFill/>
                    </a:ln>
                  </pic:spPr>
                </pic:pic>
              </a:graphicData>
            </a:graphic>
          </wp:inline>
        </w:drawing>
      </w:r>
      <w:r>
        <w:rPr>
          <w:color w:val="000000" w:themeColor="text1"/>
          <w:sz w:val="20"/>
        </w:rPr>
        <w:br w:type="page"/>
      </w:r>
    </w:p>
    <w:p w14:paraId="3A8C6CCC" w14:textId="73F0A237" w:rsidR="00484987" w:rsidRDefault="00484987" w:rsidP="00330D39">
      <w:pPr>
        <w:autoSpaceDE w:val="0"/>
        <w:autoSpaceDN w:val="0"/>
        <w:adjustRightInd w:val="0"/>
        <w:spacing w:line="480" w:lineRule="auto"/>
        <w:rPr>
          <w:color w:val="000000" w:themeColor="text1"/>
          <w:sz w:val="20"/>
        </w:rPr>
      </w:pPr>
      <w:r>
        <w:rPr>
          <w:rFonts w:hint="eastAsia"/>
          <w:color w:val="000000" w:themeColor="text1"/>
          <w:sz w:val="20"/>
        </w:rPr>
        <w:lastRenderedPageBreak/>
        <w:t>F</w:t>
      </w:r>
      <w:r>
        <w:rPr>
          <w:color w:val="000000" w:themeColor="text1"/>
          <w:sz w:val="20"/>
        </w:rPr>
        <w:t>ig. 4</w:t>
      </w:r>
    </w:p>
    <w:p w14:paraId="718C0BE4" w14:textId="241FCF4B" w:rsidR="00484987" w:rsidRPr="004930C2" w:rsidRDefault="00484987" w:rsidP="00330D39">
      <w:pPr>
        <w:autoSpaceDE w:val="0"/>
        <w:autoSpaceDN w:val="0"/>
        <w:adjustRightInd w:val="0"/>
        <w:spacing w:line="480" w:lineRule="auto"/>
        <w:rPr>
          <w:color w:val="000000" w:themeColor="text1"/>
          <w:sz w:val="20"/>
        </w:rPr>
      </w:pPr>
      <w:r>
        <w:rPr>
          <w:noProof/>
          <w:color w:val="000000" w:themeColor="text1"/>
          <w:sz w:val="20"/>
        </w:rPr>
        <w:drawing>
          <wp:inline distT="0" distB="0" distL="0" distR="0" wp14:anchorId="71B67A43" wp14:editId="27227F1B">
            <wp:extent cx="5760000" cy="4795968"/>
            <wp:effectExtent l="0" t="0" r="0" b="508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000" cy="4795968"/>
                    </a:xfrm>
                    <a:prstGeom prst="rect">
                      <a:avLst/>
                    </a:prstGeom>
                    <a:noFill/>
                    <a:ln>
                      <a:noFill/>
                    </a:ln>
                  </pic:spPr>
                </pic:pic>
              </a:graphicData>
            </a:graphic>
          </wp:inline>
        </w:drawing>
      </w:r>
    </w:p>
    <w:sectPr w:rsidR="00484987" w:rsidRPr="004930C2" w:rsidSect="00484987">
      <w:pgSz w:w="11906" w:h="16838"/>
      <w:pgMar w:top="1418" w:right="1418" w:bottom="1418" w:left="1418" w:header="851" w:footer="567"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7A8CD" w14:textId="77777777" w:rsidR="007E2F1F" w:rsidRDefault="007E2F1F" w:rsidP="00A63D73">
      <w:r>
        <w:separator/>
      </w:r>
    </w:p>
  </w:endnote>
  <w:endnote w:type="continuationSeparator" w:id="0">
    <w:p w14:paraId="1072CE22" w14:textId="77777777" w:rsidR="007E2F1F" w:rsidRDefault="007E2F1F" w:rsidP="00A63D73">
      <w:r>
        <w:continuationSeparator/>
      </w:r>
    </w:p>
  </w:endnote>
  <w:endnote w:type="continuationNotice" w:id="1">
    <w:p w14:paraId="713EA7DC" w14:textId="77777777" w:rsidR="007E2F1F" w:rsidRDefault="007E2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ゴシック"/>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A3835" w14:textId="77777777" w:rsidR="00541027" w:rsidRDefault="00541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18B64" w14:textId="77777777" w:rsidR="007E2F1F" w:rsidRDefault="007E2F1F">
    <w:pPr>
      <w:pStyle w:val="a6"/>
      <w:jc w:val="center"/>
    </w:pP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A4354" w14:textId="77777777" w:rsidR="00541027" w:rsidRDefault="0054102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08FF0" w14:textId="77777777" w:rsidR="007E2F1F" w:rsidRDefault="007E2F1F">
    <w:pPr>
      <w:pStyle w:val="a6"/>
      <w:jc w:val="center"/>
    </w:pPr>
    <w:r>
      <w:fldChar w:fldCharType="begin"/>
    </w:r>
    <w:r>
      <w:instrText>PAGE   \* MERGEFORMAT</w:instrText>
    </w:r>
    <w:r>
      <w:fldChar w:fldCharType="separate"/>
    </w:r>
    <w:r w:rsidRPr="00D80018">
      <w:rPr>
        <w:noProof/>
        <w:lang w:val="ja-JP"/>
      </w:rPr>
      <w:t>35</w:t>
    </w:r>
    <w:r>
      <w:fldChar w:fldCharType="end"/>
    </w:r>
  </w:p>
  <w:p w14:paraId="36008FF1" w14:textId="77777777" w:rsidR="007E2F1F" w:rsidRDefault="007E2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A4136" w14:textId="77777777" w:rsidR="007E2F1F" w:rsidRDefault="007E2F1F" w:rsidP="00A63D73">
      <w:r>
        <w:separator/>
      </w:r>
    </w:p>
  </w:footnote>
  <w:footnote w:type="continuationSeparator" w:id="0">
    <w:p w14:paraId="7E6674B7" w14:textId="77777777" w:rsidR="007E2F1F" w:rsidRDefault="007E2F1F" w:rsidP="00A63D73">
      <w:r>
        <w:continuationSeparator/>
      </w:r>
    </w:p>
  </w:footnote>
  <w:footnote w:type="continuationNotice" w:id="1">
    <w:p w14:paraId="6680607E" w14:textId="77777777" w:rsidR="007E2F1F" w:rsidRDefault="007E2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3BFFA" w14:textId="77777777" w:rsidR="00541027" w:rsidRDefault="0054102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D21C7" w14:textId="77777777" w:rsidR="00541027" w:rsidRDefault="0054102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ABABE" w14:textId="77777777" w:rsidR="00541027" w:rsidRDefault="0054102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80007" w14:textId="77777777" w:rsidR="007E2F1F" w:rsidRDefault="007E2F1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73A44"/>
    <w:multiLevelType w:val="hybridMultilevel"/>
    <w:tmpl w:val="EB7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011E7"/>
    <w:multiLevelType w:val="hybridMultilevel"/>
    <w:tmpl w:val="F3524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6B297A"/>
    <w:multiLevelType w:val="hybridMultilevel"/>
    <w:tmpl w:val="E6B2E1CC"/>
    <w:lvl w:ilvl="0" w:tplc="DEF02184">
      <w:numFmt w:val="bullet"/>
      <w:lvlText w:val=""/>
      <w:lvlJc w:val="left"/>
      <w:pPr>
        <w:ind w:left="720" w:hanging="360"/>
      </w:pPr>
      <w:rPr>
        <w:rFonts w:ascii="Symbol" w:hAnsi="Symbol"/>
      </w:rPr>
    </w:lvl>
    <w:lvl w:ilvl="1" w:tplc="3836C048">
      <w:numFmt w:val="bullet"/>
      <w:lvlText w:val="o"/>
      <w:lvlJc w:val="left"/>
      <w:pPr>
        <w:ind w:left="1440" w:hanging="1080"/>
      </w:pPr>
      <w:rPr>
        <w:rFonts w:ascii="Courier New" w:hAnsi="Courier New"/>
      </w:rPr>
    </w:lvl>
    <w:lvl w:ilvl="2" w:tplc="07243A10">
      <w:numFmt w:val="bullet"/>
      <w:lvlText w:val=""/>
      <w:lvlJc w:val="left"/>
      <w:pPr>
        <w:ind w:left="2160" w:hanging="1800"/>
      </w:pPr>
    </w:lvl>
    <w:lvl w:ilvl="3" w:tplc="F78EB90A">
      <w:numFmt w:val="bullet"/>
      <w:lvlText w:val=""/>
      <w:lvlJc w:val="left"/>
      <w:pPr>
        <w:ind w:left="2880" w:hanging="2520"/>
      </w:pPr>
      <w:rPr>
        <w:rFonts w:ascii="Symbol" w:hAnsi="Symbol"/>
      </w:rPr>
    </w:lvl>
    <w:lvl w:ilvl="4" w:tplc="36F6E312">
      <w:numFmt w:val="bullet"/>
      <w:lvlText w:val="o"/>
      <w:lvlJc w:val="left"/>
      <w:pPr>
        <w:ind w:left="3600" w:hanging="3240"/>
      </w:pPr>
      <w:rPr>
        <w:rFonts w:ascii="Courier New" w:hAnsi="Courier New"/>
      </w:rPr>
    </w:lvl>
    <w:lvl w:ilvl="5" w:tplc="A956DD24">
      <w:numFmt w:val="bullet"/>
      <w:lvlText w:val=""/>
      <w:lvlJc w:val="left"/>
      <w:pPr>
        <w:ind w:left="4320" w:hanging="3960"/>
      </w:pPr>
    </w:lvl>
    <w:lvl w:ilvl="6" w:tplc="2A824426">
      <w:numFmt w:val="bullet"/>
      <w:lvlText w:val=""/>
      <w:lvlJc w:val="left"/>
      <w:pPr>
        <w:ind w:left="5040" w:hanging="4680"/>
      </w:pPr>
      <w:rPr>
        <w:rFonts w:ascii="Symbol" w:hAnsi="Symbol"/>
      </w:rPr>
    </w:lvl>
    <w:lvl w:ilvl="7" w:tplc="FC8E57B6">
      <w:numFmt w:val="bullet"/>
      <w:lvlText w:val="o"/>
      <w:lvlJc w:val="left"/>
      <w:pPr>
        <w:ind w:left="5760" w:hanging="5400"/>
      </w:pPr>
      <w:rPr>
        <w:rFonts w:ascii="Courier New" w:hAnsi="Courier New"/>
      </w:rPr>
    </w:lvl>
    <w:lvl w:ilvl="8" w:tplc="72DCD458">
      <w:numFmt w:val="bullet"/>
      <w:lvlText w:val=""/>
      <w:lvlJc w:val="left"/>
      <w:pPr>
        <w:ind w:left="6480" w:hanging="6120"/>
      </w:pPr>
    </w:lvl>
  </w:abstractNum>
  <w:abstractNum w:abstractNumId="3" w15:restartNumberingAfterBreak="0">
    <w:nsid w:val="71AB7BF4"/>
    <w:multiLevelType w:val="hybridMultilevel"/>
    <w:tmpl w:val="1F8A7846"/>
    <w:lvl w:ilvl="0" w:tplc="BBF8B588">
      <w:start w:val="1"/>
      <w:numFmt w:val="decimal"/>
      <w:lvlText w:val="%1."/>
      <w:lvlJc w:val="left"/>
      <w:pPr>
        <w:ind w:left="720" w:hanging="360"/>
      </w:pPr>
    </w:lvl>
    <w:lvl w:ilvl="1" w:tplc="C4C2D21C">
      <w:start w:val="1"/>
      <w:numFmt w:val="decimal"/>
      <w:lvlText w:val="%2."/>
      <w:lvlJc w:val="left"/>
      <w:pPr>
        <w:ind w:left="1440" w:hanging="1080"/>
      </w:pPr>
    </w:lvl>
    <w:lvl w:ilvl="2" w:tplc="32962996">
      <w:start w:val="1"/>
      <w:numFmt w:val="decimal"/>
      <w:lvlText w:val="%3."/>
      <w:lvlJc w:val="left"/>
      <w:pPr>
        <w:ind w:left="2160" w:hanging="1980"/>
      </w:pPr>
    </w:lvl>
    <w:lvl w:ilvl="3" w:tplc="A5FE80A8">
      <w:start w:val="1"/>
      <w:numFmt w:val="decimal"/>
      <w:lvlText w:val="%4."/>
      <w:lvlJc w:val="left"/>
      <w:pPr>
        <w:ind w:left="2880" w:hanging="2520"/>
      </w:pPr>
    </w:lvl>
    <w:lvl w:ilvl="4" w:tplc="2DF0DA36">
      <w:start w:val="1"/>
      <w:numFmt w:val="decimal"/>
      <w:lvlText w:val="%5."/>
      <w:lvlJc w:val="left"/>
      <w:pPr>
        <w:ind w:left="3600" w:hanging="3240"/>
      </w:pPr>
    </w:lvl>
    <w:lvl w:ilvl="5" w:tplc="C832AFF0">
      <w:start w:val="1"/>
      <w:numFmt w:val="decimal"/>
      <w:lvlText w:val="%6."/>
      <w:lvlJc w:val="left"/>
      <w:pPr>
        <w:ind w:left="4320" w:hanging="4140"/>
      </w:pPr>
    </w:lvl>
    <w:lvl w:ilvl="6" w:tplc="109CAB84">
      <w:start w:val="1"/>
      <w:numFmt w:val="decimal"/>
      <w:lvlText w:val="%7."/>
      <w:lvlJc w:val="left"/>
      <w:pPr>
        <w:ind w:left="5040" w:hanging="4680"/>
      </w:pPr>
    </w:lvl>
    <w:lvl w:ilvl="7" w:tplc="7BB07AD4">
      <w:start w:val="1"/>
      <w:numFmt w:val="decimal"/>
      <w:lvlText w:val="%8."/>
      <w:lvlJc w:val="left"/>
      <w:pPr>
        <w:ind w:left="5760" w:hanging="5400"/>
      </w:pPr>
    </w:lvl>
    <w:lvl w:ilvl="8" w:tplc="B09498BA">
      <w:start w:val="1"/>
      <w:numFmt w:val="decimal"/>
      <w:lvlText w:val="%9."/>
      <w:lvlJc w:val="left"/>
      <w:pPr>
        <w:ind w:left="6480" w:hanging="63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hideSpellingErrors/>
  <w:hideGrammaticalErrors/>
  <w:proofState w:spelling="clean" w:grammar="clean"/>
  <w:defaultTabStop w:val="840"/>
  <w:drawingGridHorizontalSpacing w:val="120"/>
  <w:displayHorizontalDrawingGridEvery w:val="0"/>
  <w:displayVerticalDrawingGridEvery w:val="2"/>
  <w:characterSpacingControl w:val="compressPunctuation"/>
  <w:strictFirstAndLastChars/>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zI3MDUwNzYxNDdR0lEKTi0uzszPAykwqgUA/rrASywAAAA="/>
  </w:docVars>
  <w:rsids>
    <w:rsidRoot w:val="00F75C00"/>
    <w:rsid w:val="00001D25"/>
    <w:rsid w:val="00002B90"/>
    <w:rsid w:val="00002D0C"/>
    <w:rsid w:val="00005E10"/>
    <w:rsid w:val="000070BF"/>
    <w:rsid w:val="00007BE4"/>
    <w:rsid w:val="0001064D"/>
    <w:rsid w:val="00011773"/>
    <w:rsid w:val="00015095"/>
    <w:rsid w:val="00016E9A"/>
    <w:rsid w:val="000237AA"/>
    <w:rsid w:val="000244D3"/>
    <w:rsid w:val="00025016"/>
    <w:rsid w:val="00025083"/>
    <w:rsid w:val="000258CF"/>
    <w:rsid w:val="00025CAA"/>
    <w:rsid w:val="000266BD"/>
    <w:rsid w:val="00026A7A"/>
    <w:rsid w:val="000304F6"/>
    <w:rsid w:val="000305CD"/>
    <w:rsid w:val="00030DF7"/>
    <w:rsid w:val="00033167"/>
    <w:rsid w:val="00034573"/>
    <w:rsid w:val="00034F87"/>
    <w:rsid w:val="0003557A"/>
    <w:rsid w:val="00035746"/>
    <w:rsid w:val="0003581D"/>
    <w:rsid w:val="00035D46"/>
    <w:rsid w:val="00040CEF"/>
    <w:rsid w:val="00041BA1"/>
    <w:rsid w:val="00042ACB"/>
    <w:rsid w:val="0004581D"/>
    <w:rsid w:val="0004650D"/>
    <w:rsid w:val="000466A4"/>
    <w:rsid w:val="00046CE3"/>
    <w:rsid w:val="00046D53"/>
    <w:rsid w:val="000479C6"/>
    <w:rsid w:val="00047B89"/>
    <w:rsid w:val="0005104D"/>
    <w:rsid w:val="00051D85"/>
    <w:rsid w:val="000536B4"/>
    <w:rsid w:val="000556FC"/>
    <w:rsid w:val="000557B4"/>
    <w:rsid w:val="00055C34"/>
    <w:rsid w:val="000564EE"/>
    <w:rsid w:val="0005774B"/>
    <w:rsid w:val="000603C3"/>
    <w:rsid w:val="000605B5"/>
    <w:rsid w:val="000609F2"/>
    <w:rsid w:val="00061E9A"/>
    <w:rsid w:val="00064288"/>
    <w:rsid w:val="0006460B"/>
    <w:rsid w:val="00065B5E"/>
    <w:rsid w:val="0006628B"/>
    <w:rsid w:val="000666C3"/>
    <w:rsid w:val="00066FCF"/>
    <w:rsid w:val="000718C1"/>
    <w:rsid w:val="000718F4"/>
    <w:rsid w:val="000729AE"/>
    <w:rsid w:val="00073D10"/>
    <w:rsid w:val="0007566A"/>
    <w:rsid w:val="00076179"/>
    <w:rsid w:val="0008123D"/>
    <w:rsid w:val="00082E41"/>
    <w:rsid w:val="00083CD8"/>
    <w:rsid w:val="00084D0C"/>
    <w:rsid w:val="000852C3"/>
    <w:rsid w:val="000872CE"/>
    <w:rsid w:val="00090976"/>
    <w:rsid w:val="00090BD1"/>
    <w:rsid w:val="0009359A"/>
    <w:rsid w:val="00093AC2"/>
    <w:rsid w:val="00094B39"/>
    <w:rsid w:val="00094BAD"/>
    <w:rsid w:val="00096136"/>
    <w:rsid w:val="00096931"/>
    <w:rsid w:val="00097267"/>
    <w:rsid w:val="00097707"/>
    <w:rsid w:val="0009787A"/>
    <w:rsid w:val="000A10FA"/>
    <w:rsid w:val="000A1449"/>
    <w:rsid w:val="000A1686"/>
    <w:rsid w:val="000A4603"/>
    <w:rsid w:val="000A545B"/>
    <w:rsid w:val="000A6528"/>
    <w:rsid w:val="000A759A"/>
    <w:rsid w:val="000A7C7D"/>
    <w:rsid w:val="000B1EF3"/>
    <w:rsid w:val="000B2BB9"/>
    <w:rsid w:val="000B5C10"/>
    <w:rsid w:val="000B5F6B"/>
    <w:rsid w:val="000B60BB"/>
    <w:rsid w:val="000B7E6B"/>
    <w:rsid w:val="000C02BC"/>
    <w:rsid w:val="000C10FC"/>
    <w:rsid w:val="000C3DAB"/>
    <w:rsid w:val="000C7A30"/>
    <w:rsid w:val="000D0ADA"/>
    <w:rsid w:val="000D1054"/>
    <w:rsid w:val="000D1594"/>
    <w:rsid w:val="000D1B56"/>
    <w:rsid w:val="000D1F6E"/>
    <w:rsid w:val="000D3AA2"/>
    <w:rsid w:val="000D57B0"/>
    <w:rsid w:val="000D6D0D"/>
    <w:rsid w:val="000E02A2"/>
    <w:rsid w:val="000E1438"/>
    <w:rsid w:val="000E18A8"/>
    <w:rsid w:val="000E3E4B"/>
    <w:rsid w:val="000E4230"/>
    <w:rsid w:val="000E4EA5"/>
    <w:rsid w:val="000E5CEB"/>
    <w:rsid w:val="000E62BB"/>
    <w:rsid w:val="000E6480"/>
    <w:rsid w:val="000E77B0"/>
    <w:rsid w:val="000F0BEE"/>
    <w:rsid w:val="000F199A"/>
    <w:rsid w:val="000F21C9"/>
    <w:rsid w:val="000F27D6"/>
    <w:rsid w:val="000F4DA2"/>
    <w:rsid w:val="000F7808"/>
    <w:rsid w:val="001014D7"/>
    <w:rsid w:val="0010291D"/>
    <w:rsid w:val="00104CF6"/>
    <w:rsid w:val="00105477"/>
    <w:rsid w:val="001063F3"/>
    <w:rsid w:val="001077FF"/>
    <w:rsid w:val="00107816"/>
    <w:rsid w:val="00107907"/>
    <w:rsid w:val="00110621"/>
    <w:rsid w:val="00111925"/>
    <w:rsid w:val="00111C7C"/>
    <w:rsid w:val="00112866"/>
    <w:rsid w:val="00112914"/>
    <w:rsid w:val="0011522A"/>
    <w:rsid w:val="0011545F"/>
    <w:rsid w:val="001161B0"/>
    <w:rsid w:val="001165E1"/>
    <w:rsid w:val="0012010F"/>
    <w:rsid w:val="00120A3A"/>
    <w:rsid w:val="00122781"/>
    <w:rsid w:val="00122D02"/>
    <w:rsid w:val="00124EDF"/>
    <w:rsid w:val="00127CB7"/>
    <w:rsid w:val="0013045E"/>
    <w:rsid w:val="00133CC8"/>
    <w:rsid w:val="0013485E"/>
    <w:rsid w:val="001363A8"/>
    <w:rsid w:val="001365FC"/>
    <w:rsid w:val="00137964"/>
    <w:rsid w:val="00137F03"/>
    <w:rsid w:val="00140178"/>
    <w:rsid w:val="00140188"/>
    <w:rsid w:val="001407D4"/>
    <w:rsid w:val="00141440"/>
    <w:rsid w:val="00143090"/>
    <w:rsid w:val="00146491"/>
    <w:rsid w:val="00146729"/>
    <w:rsid w:val="001507C1"/>
    <w:rsid w:val="0015160D"/>
    <w:rsid w:val="00151E46"/>
    <w:rsid w:val="00153DDD"/>
    <w:rsid w:val="00154DE3"/>
    <w:rsid w:val="0015522C"/>
    <w:rsid w:val="001553C9"/>
    <w:rsid w:val="00155AED"/>
    <w:rsid w:val="0015609B"/>
    <w:rsid w:val="0015751F"/>
    <w:rsid w:val="00157DD2"/>
    <w:rsid w:val="001624DB"/>
    <w:rsid w:val="00164D9A"/>
    <w:rsid w:val="0016536B"/>
    <w:rsid w:val="0016685B"/>
    <w:rsid w:val="00170021"/>
    <w:rsid w:val="001705EF"/>
    <w:rsid w:val="00173291"/>
    <w:rsid w:val="0017459B"/>
    <w:rsid w:val="001752CA"/>
    <w:rsid w:val="00176E73"/>
    <w:rsid w:val="00177DAA"/>
    <w:rsid w:val="00180127"/>
    <w:rsid w:val="00181BAE"/>
    <w:rsid w:val="00181C6F"/>
    <w:rsid w:val="0018263D"/>
    <w:rsid w:val="00184FD3"/>
    <w:rsid w:val="00184FE8"/>
    <w:rsid w:val="00185AEA"/>
    <w:rsid w:val="0018765E"/>
    <w:rsid w:val="00192296"/>
    <w:rsid w:val="0019466C"/>
    <w:rsid w:val="00197F9D"/>
    <w:rsid w:val="001A1B78"/>
    <w:rsid w:val="001A2F9E"/>
    <w:rsid w:val="001A3ED5"/>
    <w:rsid w:val="001A46E0"/>
    <w:rsid w:val="001A4C23"/>
    <w:rsid w:val="001A63D5"/>
    <w:rsid w:val="001A6A42"/>
    <w:rsid w:val="001A79CD"/>
    <w:rsid w:val="001A7B73"/>
    <w:rsid w:val="001B0A01"/>
    <w:rsid w:val="001B1AD2"/>
    <w:rsid w:val="001B1C88"/>
    <w:rsid w:val="001B1D62"/>
    <w:rsid w:val="001B2220"/>
    <w:rsid w:val="001B3BCC"/>
    <w:rsid w:val="001B4B87"/>
    <w:rsid w:val="001B6F15"/>
    <w:rsid w:val="001B7019"/>
    <w:rsid w:val="001B7DA3"/>
    <w:rsid w:val="001C0564"/>
    <w:rsid w:val="001C137F"/>
    <w:rsid w:val="001C1F09"/>
    <w:rsid w:val="001C25A4"/>
    <w:rsid w:val="001C2767"/>
    <w:rsid w:val="001C2A43"/>
    <w:rsid w:val="001C2CF0"/>
    <w:rsid w:val="001C2F34"/>
    <w:rsid w:val="001C37E2"/>
    <w:rsid w:val="001C44DA"/>
    <w:rsid w:val="001C4B1D"/>
    <w:rsid w:val="001C56E9"/>
    <w:rsid w:val="001C5744"/>
    <w:rsid w:val="001C6285"/>
    <w:rsid w:val="001C6601"/>
    <w:rsid w:val="001C6617"/>
    <w:rsid w:val="001C6B54"/>
    <w:rsid w:val="001D2D06"/>
    <w:rsid w:val="001D2DD1"/>
    <w:rsid w:val="001D391A"/>
    <w:rsid w:val="001D4039"/>
    <w:rsid w:val="001D4A72"/>
    <w:rsid w:val="001D68B5"/>
    <w:rsid w:val="001D6DDF"/>
    <w:rsid w:val="001D7051"/>
    <w:rsid w:val="001D772C"/>
    <w:rsid w:val="001E04AA"/>
    <w:rsid w:val="001E05C5"/>
    <w:rsid w:val="001E0DA5"/>
    <w:rsid w:val="001E14A4"/>
    <w:rsid w:val="001E1B07"/>
    <w:rsid w:val="001E1C1F"/>
    <w:rsid w:val="001E2042"/>
    <w:rsid w:val="001E3363"/>
    <w:rsid w:val="001E34F4"/>
    <w:rsid w:val="001E375B"/>
    <w:rsid w:val="001E4A48"/>
    <w:rsid w:val="001E4F75"/>
    <w:rsid w:val="001E7C32"/>
    <w:rsid w:val="001F1DDA"/>
    <w:rsid w:val="001F28F5"/>
    <w:rsid w:val="001F2B74"/>
    <w:rsid w:val="001F4495"/>
    <w:rsid w:val="001F46D2"/>
    <w:rsid w:val="001F548B"/>
    <w:rsid w:val="001F5A5A"/>
    <w:rsid w:val="001F639F"/>
    <w:rsid w:val="001F69AD"/>
    <w:rsid w:val="001F6F93"/>
    <w:rsid w:val="001F7398"/>
    <w:rsid w:val="001F7D80"/>
    <w:rsid w:val="00202769"/>
    <w:rsid w:val="00202B86"/>
    <w:rsid w:val="00203A07"/>
    <w:rsid w:val="002041A9"/>
    <w:rsid w:val="002055ED"/>
    <w:rsid w:val="002056ED"/>
    <w:rsid w:val="0020710B"/>
    <w:rsid w:val="002078BB"/>
    <w:rsid w:val="00207FD7"/>
    <w:rsid w:val="00211593"/>
    <w:rsid w:val="00213107"/>
    <w:rsid w:val="002140E8"/>
    <w:rsid w:val="00214796"/>
    <w:rsid w:val="00214945"/>
    <w:rsid w:val="00214CF1"/>
    <w:rsid w:val="00221208"/>
    <w:rsid w:val="0022140B"/>
    <w:rsid w:val="00222336"/>
    <w:rsid w:val="00222D99"/>
    <w:rsid w:val="00222DA1"/>
    <w:rsid w:val="00225A7F"/>
    <w:rsid w:val="002307E9"/>
    <w:rsid w:val="00231EC0"/>
    <w:rsid w:val="0023531F"/>
    <w:rsid w:val="00236414"/>
    <w:rsid w:val="002364D8"/>
    <w:rsid w:val="002410DC"/>
    <w:rsid w:val="002430B7"/>
    <w:rsid w:val="0024338A"/>
    <w:rsid w:val="00243539"/>
    <w:rsid w:val="00245C9B"/>
    <w:rsid w:val="0024661E"/>
    <w:rsid w:val="00246D0C"/>
    <w:rsid w:val="002508A6"/>
    <w:rsid w:val="0025281A"/>
    <w:rsid w:val="00252912"/>
    <w:rsid w:val="00253145"/>
    <w:rsid w:val="002531A0"/>
    <w:rsid w:val="00255A26"/>
    <w:rsid w:val="00255A7C"/>
    <w:rsid w:val="00255F10"/>
    <w:rsid w:val="002575CE"/>
    <w:rsid w:val="0026003D"/>
    <w:rsid w:val="0026356B"/>
    <w:rsid w:val="00264028"/>
    <w:rsid w:val="00264813"/>
    <w:rsid w:val="00264BD3"/>
    <w:rsid w:val="0026722D"/>
    <w:rsid w:val="002705B8"/>
    <w:rsid w:val="002734B1"/>
    <w:rsid w:val="002743EB"/>
    <w:rsid w:val="002765BC"/>
    <w:rsid w:val="00277837"/>
    <w:rsid w:val="00277BBA"/>
    <w:rsid w:val="00277FB5"/>
    <w:rsid w:val="00280C4C"/>
    <w:rsid w:val="002811BC"/>
    <w:rsid w:val="0028501E"/>
    <w:rsid w:val="00286C6D"/>
    <w:rsid w:val="002870C4"/>
    <w:rsid w:val="002879C0"/>
    <w:rsid w:val="00290C80"/>
    <w:rsid w:val="00292BA6"/>
    <w:rsid w:val="00292E9D"/>
    <w:rsid w:val="002954A9"/>
    <w:rsid w:val="00295BAD"/>
    <w:rsid w:val="00295C91"/>
    <w:rsid w:val="00295F80"/>
    <w:rsid w:val="002A09CB"/>
    <w:rsid w:val="002A2105"/>
    <w:rsid w:val="002A2236"/>
    <w:rsid w:val="002A2721"/>
    <w:rsid w:val="002A3DE5"/>
    <w:rsid w:val="002A4D18"/>
    <w:rsid w:val="002A5CE0"/>
    <w:rsid w:val="002A73CC"/>
    <w:rsid w:val="002A7E92"/>
    <w:rsid w:val="002B0C6E"/>
    <w:rsid w:val="002B0D86"/>
    <w:rsid w:val="002B0EC2"/>
    <w:rsid w:val="002B12B2"/>
    <w:rsid w:val="002B141A"/>
    <w:rsid w:val="002B33A7"/>
    <w:rsid w:val="002B3B9D"/>
    <w:rsid w:val="002B41AE"/>
    <w:rsid w:val="002B4A08"/>
    <w:rsid w:val="002B4D51"/>
    <w:rsid w:val="002B5C32"/>
    <w:rsid w:val="002B5F14"/>
    <w:rsid w:val="002B6E48"/>
    <w:rsid w:val="002C1B1D"/>
    <w:rsid w:val="002C30E7"/>
    <w:rsid w:val="002C366A"/>
    <w:rsid w:val="002C37B8"/>
    <w:rsid w:val="002C407C"/>
    <w:rsid w:val="002C50E5"/>
    <w:rsid w:val="002C5823"/>
    <w:rsid w:val="002C66D6"/>
    <w:rsid w:val="002C6DDE"/>
    <w:rsid w:val="002C7726"/>
    <w:rsid w:val="002C79DE"/>
    <w:rsid w:val="002D02EA"/>
    <w:rsid w:val="002D0EB3"/>
    <w:rsid w:val="002D2AFF"/>
    <w:rsid w:val="002D3B0E"/>
    <w:rsid w:val="002D41BE"/>
    <w:rsid w:val="002D552B"/>
    <w:rsid w:val="002D5DAF"/>
    <w:rsid w:val="002D7172"/>
    <w:rsid w:val="002D7445"/>
    <w:rsid w:val="002E090E"/>
    <w:rsid w:val="002E2C5E"/>
    <w:rsid w:val="002E4D56"/>
    <w:rsid w:val="002E52C2"/>
    <w:rsid w:val="002F2BE8"/>
    <w:rsid w:val="002F3249"/>
    <w:rsid w:val="002F4014"/>
    <w:rsid w:val="002F45E4"/>
    <w:rsid w:val="002F52CB"/>
    <w:rsid w:val="002F5C6C"/>
    <w:rsid w:val="002F7415"/>
    <w:rsid w:val="00300927"/>
    <w:rsid w:val="00300CB9"/>
    <w:rsid w:val="00301376"/>
    <w:rsid w:val="00301918"/>
    <w:rsid w:val="00301BCB"/>
    <w:rsid w:val="00302E44"/>
    <w:rsid w:val="00303F50"/>
    <w:rsid w:val="003040DD"/>
    <w:rsid w:val="00304C76"/>
    <w:rsid w:val="0030549E"/>
    <w:rsid w:val="00305821"/>
    <w:rsid w:val="00306260"/>
    <w:rsid w:val="00306D38"/>
    <w:rsid w:val="00306E63"/>
    <w:rsid w:val="003078F0"/>
    <w:rsid w:val="00310460"/>
    <w:rsid w:val="00310A5B"/>
    <w:rsid w:val="00312D0D"/>
    <w:rsid w:val="00312FCF"/>
    <w:rsid w:val="0031346A"/>
    <w:rsid w:val="00313C5C"/>
    <w:rsid w:val="003141C4"/>
    <w:rsid w:val="0031577A"/>
    <w:rsid w:val="0031633D"/>
    <w:rsid w:val="00320196"/>
    <w:rsid w:val="00320A99"/>
    <w:rsid w:val="00322069"/>
    <w:rsid w:val="003302DF"/>
    <w:rsid w:val="00330D39"/>
    <w:rsid w:val="003346F3"/>
    <w:rsid w:val="00334A78"/>
    <w:rsid w:val="00334BB0"/>
    <w:rsid w:val="00335D4B"/>
    <w:rsid w:val="00342B3E"/>
    <w:rsid w:val="00343A84"/>
    <w:rsid w:val="00344AB1"/>
    <w:rsid w:val="0034617B"/>
    <w:rsid w:val="0034760D"/>
    <w:rsid w:val="00350B79"/>
    <w:rsid w:val="00350FE2"/>
    <w:rsid w:val="00351805"/>
    <w:rsid w:val="003522DC"/>
    <w:rsid w:val="003528BA"/>
    <w:rsid w:val="00352F13"/>
    <w:rsid w:val="003531BD"/>
    <w:rsid w:val="00354017"/>
    <w:rsid w:val="00355220"/>
    <w:rsid w:val="0035539A"/>
    <w:rsid w:val="003559F7"/>
    <w:rsid w:val="00355E68"/>
    <w:rsid w:val="00356834"/>
    <w:rsid w:val="0035792B"/>
    <w:rsid w:val="00361389"/>
    <w:rsid w:val="00361ED4"/>
    <w:rsid w:val="0036210B"/>
    <w:rsid w:val="003624A8"/>
    <w:rsid w:val="0036380A"/>
    <w:rsid w:val="00363E7A"/>
    <w:rsid w:val="00367B8E"/>
    <w:rsid w:val="003702DF"/>
    <w:rsid w:val="00371BCA"/>
    <w:rsid w:val="003748BF"/>
    <w:rsid w:val="003754DE"/>
    <w:rsid w:val="00375555"/>
    <w:rsid w:val="0037567A"/>
    <w:rsid w:val="00375831"/>
    <w:rsid w:val="003758C5"/>
    <w:rsid w:val="00376D2A"/>
    <w:rsid w:val="00380358"/>
    <w:rsid w:val="0038083A"/>
    <w:rsid w:val="0038175B"/>
    <w:rsid w:val="00381787"/>
    <w:rsid w:val="00382481"/>
    <w:rsid w:val="00382C7A"/>
    <w:rsid w:val="00383542"/>
    <w:rsid w:val="00383A0C"/>
    <w:rsid w:val="003864A2"/>
    <w:rsid w:val="0038691F"/>
    <w:rsid w:val="00386F04"/>
    <w:rsid w:val="003913A1"/>
    <w:rsid w:val="00391A37"/>
    <w:rsid w:val="003921D3"/>
    <w:rsid w:val="0039293D"/>
    <w:rsid w:val="00392FA6"/>
    <w:rsid w:val="00393EE1"/>
    <w:rsid w:val="00394029"/>
    <w:rsid w:val="003946B5"/>
    <w:rsid w:val="00394707"/>
    <w:rsid w:val="00395140"/>
    <w:rsid w:val="00395C27"/>
    <w:rsid w:val="003960C6"/>
    <w:rsid w:val="00396DDE"/>
    <w:rsid w:val="003A035E"/>
    <w:rsid w:val="003A1200"/>
    <w:rsid w:val="003A1838"/>
    <w:rsid w:val="003A1891"/>
    <w:rsid w:val="003A2CCA"/>
    <w:rsid w:val="003A3B27"/>
    <w:rsid w:val="003A7142"/>
    <w:rsid w:val="003A7FC9"/>
    <w:rsid w:val="003B0D24"/>
    <w:rsid w:val="003B12CB"/>
    <w:rsid w:val="003B1F42"/>
    <w:rsid w:val="003B20B2"/>
    <w:rsid w:val="003B2252"/>
    <w:rsid w:val="003B28B9"/>
    <w:rsid w:val="003B519D"/>
    <w:rsid w:val="003B578F"/>
    <w:rsid w:val="003B5A12"/>
    <w:rsid w:val="003B6977"/>
    <w:rsid w:val="003B6AD1"/>
    <w:rsid w:val="003C10F5"/>
    <w:rsid w:val="003C12D5"/>
    <w:rsid w:val="003C1BBD"/>
    <w:rsid w:val="003C347F"/>
    <w:rsid w:val="003C4368"/>
    <w:rsid w:val="003C5976"/>
    <w:rsid w:val="003C78F6"/>
    <w:rsid w:val="003C7A26"/>
    <w:rsid w:val="003D2712"/>
    <w:rsid w:val="003D38F6"/>
    <w:rsid w:val="003D3CF1"/>
    <w:rsid w:val="003D4038"/>
    <w:rsid w:val="003D426E"/>
    <w:rsid w:val="003D538F"/>
    <w:rsid w:val="003D5442"/>
    <w:rsid w:val="003D6408"/>
    <w:rsid w:val="003E0A3D"/>
    <w:rsid w:val="003E19DE"/>
    <w:rsid w:val="003E1D53"/>
    <w:rsid w:val="003E34EA"/>
    <w:rsid w:val="003E3E0F"/>
    <w:rsid w:val="003E51BE"/>
    <w:rsid w:val="003E697B"/>
    <w:rsid w:val="003E6DF4"/>
    <w:rsid w:val="003E79F6"/>
    <w:rsid w:val="003E7AA4"/>
    <w:rsid w:val="003E7ADB"/>
    <w:rsid w:val="003F2DB4"/>
    <w:rsid w:val="003F3CE9"/>
    <w:rsid w:val="003F4A57"/>
    <w:rsid w:val="003F66DA"/>
    <w:rsid w:val="003F789E"/>
    <w:rsid w:val="003F7F07"/>
    <w:rsid w:val="004007E6"/>
    <w:rsid w:val="00400D89"/>
    <w:rsid w:val="004011E5"/>
    <w:rsid w:val="00401C25"/>
    <w:rsid w:val="00402A83"/>
    <w:rsid w:val="00403971"/>
    <w:rsid w:val="00404B88"/>
    <w:rsid w:val="0040636A"/>
    <w:rsid w:val="0040788E"/>
    <w:rsid w:val="00410242"/>
    <w:rsid w:val="004129F3"/>
    <w:rsid w:val="00412F68"/>
    <w:rsid w:val="0041376A"/>
    <w:rsid w:val="0041419B"/>
    <w:rsid w:val="00414FF5"/>
    <w:rsid w:val="00415615"/>
    <w:rsid w:val="00417B8B"/>
    <w:rsid w:val="00417E97"/>
    <w:rsid w:val="004208AC"/>
    <w:rsid w:val="00420C98"/>
    <w:rsid w:val="00421FD1"/>
    <w:rsid w:val="0042243E"/>
    <w:rsid w:val="004249AF"/>
    <w:rsid w:val="00424FA0"/>
    <w:rsid w:val="004255FA"/>
    <w:rsid w:val="004269F7"/>
    <w:rsid w:val="004274B1"/>
    <w:rsid w:val="00427555"/>
    <w:rsid w:val="004276E9"/>
    <w:rsid w:val="0043196B"/>
    <w:rsid w:val="00431B5C"/>
    <w:rsid w:val="00431C77"/>
    <w:rsid w:val="00431EF3"/>
    <w:rsid w:val="004320D0"/>
    <w:rsid w:val="00433412"/>
    <w:rsid w:val="00433420"/>
    <w:rsid w:val="00433490"/>
    <w:rsid w:val="004342DE"/>
    <w:rsid w:val="00434D99"/>
    <w:rsid w:val="00435609"/>
    <w:rsid w:val="00435FAB"/>
    <w:rsid w:val="00436112"/>
    <w:rsid w:val="00441006"/>
    <w:rsid w:val="00441228"/>
    <w:rsid w:val="00443B12"/>
    <w:rsid w:val="00443C84"/>
    <w:rsid w:val="00444053"/>
    <w:rsid w:val="00445596"/>
    <w:rsid w:val="00446C90"/>
    <w:rsid w:val="00447403"/>
    <w:rsid w:val="00447689"/>
    <w:rsid w:val="00447EC2"/>
    <w:rsid w:val="004501D2"/>
    <w:rsid w:val="00450C0D"/>
    <w:rsid w:val="0045299E"/>
    <w:rsid w:val="004529F1"/>
    <w:rsid w:val="00453983"/>
    <w:rsid w:val="004553E7"/>
    <w:rsid w:val="004572CC"/>
    <w:rsid w:val="00457B25"/>
    <w:rsid w:val="004620F5"/>
    <w:rsid w:val="00462B5B"/>
    <w:rsid w:val="00462D07"/>
    <w:rsid w:val="00464C2C"/>
    <w:rsid w:val="00464FA1"/>
    <w:rsid w:val="00465886"/>
    <w:rsid w:val="00465FD8"/>
    <w:rsid w:val="004663F7"/>
    <w:rsid w:val="00466B74"/>
    <w:rsid w:val="00467115"/>
    <w:rsid w:val="00470393"/>
    <w:rsid w:val="00473C75"/>
    <w:rsid w:val="00477066"/>
    <w:rsid w:val="004803C4"/>
    <w:rsid w:val="00481291"/>
    <w:rsid w:val="0048362E"/>
    <w:rsid w:val="00484987"/>
    <w:rsid w:val="00485781"/>
    <w:rsid w:val="00490BE2"/>
    <w:rsid w:val="00492319"/>
    <w:rsid w:val="00492F32"/>
    <w:rsid w:val="004930C2"/>
    <w:rsid w:val="00493126"/>
    <w:rsid w:val="00493E1D"/>
    <w:rsid w:val="004943EA"/>
    <w:rsid w:val="00494516"/>
    <w:rsid w:val="004958E4"/>
    <w:rsid w:val="0049606D"/>
    <w:rsid w:val="00496333"/>
    <w:rsid w:val="004964C8"/>
    <w:rsid w:val="00496EB7"/>
    <w:rsid w:val="0049741E"/>
    <w:rsid w:val="00497E25"/>
    <w:rsid w:val="004A2463"/>
    <w:rsid w:val="004A2518"/>
    <w:rsid w:val="004A27AC"/>
    <w:rsid w:val="004A2EBB"/>
    <w:rsid w:val="004A45B5"/>
    <w:rsid w:val="004A621A"/>
    <w:rsid w:val="004A64FC"/>
    <w:rsid w:val="004A65E6"/>
    <w:rsid w:val="004A65E7"/>
    <w:rsid w:val="004A7C2E"/>
    <w:rsid w:val="004B0088"/>
    <w:rsid w:val="004B0707"/>
    <w:rsid w:val="004B0F16"/>
    <w:rsid w:val="004B112C"/>
    <w:rsid w:val="004B1576"/>
    <w:rsid w:val="004B34F4"/>
    <w:rsid w:val="004B4D45"/>
    <w:rsid w:val="004B4EE1"/>
    <w:rsid w:val="004C0C62"/>
    <w:rsid w:val="004C1E91"/>
    <w:rsid w:val="004C303B"/>
    <w:rsid w:val="004C3464"/>
    <w:rsid w:val="004D13B8"/>
    <w:rsid w:val="004D2C99"/>
    <w:rsid w:val="004D424C"/>
    <w:rsid w:val="004D5F3A"/>
    <w:rsid w:val="004D6127"/>
    <w:rsid w:val="004D6B08"/>
    <w:rsid w:val="004D6C7C"/>
    <w:rsid w:val="004E09C1"/>
    <w:rsid w:val="004E0B45"/>
    <w:rsid w:val="004E1AA2"/>
    <w:rsid w:val="004E2A97"/>
    <w:rsid w:val="004E5DF9"/>
    <w:rsid w:val="004E642D"/>
    <w:rsid w:val="004E7493"/>
    <w:rsid w:val="004F1327"/>
    <w:rsid w:val="004F218C"/>
    <w:rsid w:val="004F2F54"/>
    <w:rsid w:val="004F3B12"/>
    <w:rsid w:val="004F3C56"/>
    <w:rsid w:val="004F75C4"/>
    <w:rsid w:val="004F7BF9"/>
    <w:rsid w:val="004F7F4C"/>
    <w:rsid w:val="0050100C"/>
    <w:rsid w:val="0050128B"/>
    <w:rsid w:val="005019AA"/>
    <w:rsid w:val="00503CC1"/>
    <w:rsid w:val="00504306"/>
    <w:rsid w:val="005126CA"/>
    <w:rsid w:val="0051449F"/>
    <w:rsid w:val="005144FC"/>
    <w:rsid w:val="00515A63"/>
    <w:rsid w:val="00516BD0"/>
    <w:rsid w:val="00520B2B"/>
    <w:rsid w:val="005212A7"/>
    <w:rsid w:val="005218ED"/>
    <w:rsid w:val="00522C76"/>
    <w:rsid w:val="005230F7"/>
    <w:rsid w:val="005235D0"/>
    <w:rsid w:val="00524AEC"/>
    <w:rsid w:val="00525626"/>
    <w:rsid w:val="0052583C"/>
    <w:rsid w:val="00530645"/>
    <w:rsid w:val="005338C5"/>
    <w:rsid w:val="00534769"/>
    <w:rsid w:val="00534E52"/>
    <w:rsid w:val="0053624E"/>
    <w:rsid w:val="00536CA8"/>
    <w:rsid w:val="00537589"/>
    <w:rsid w:val="005378B8"/>
    <w:rsid w:val="005406DF"/>
    <w:rsid w:val="00540A84"/>
    <w:rsid w:val="00540D17"/>
    <w:rsid w:val="00541027"/>
    <w:rsid w:val="00541B8D"/>
    <w:rsid w:val="0054437C"/>
    <w:rsid w:val="00544585"/>
    <w:rsid w:val="00545312"/>
    <w:rsid w:val="0054597B"/>
    <w:rsid w:val="005459CE"/>
    <w:rsid w:val="0054737A"/>
    <w:rsid w:val="00547E0E"/>
    <w:rsid w:val="00553161"/>
    <w:rsid w:val="00554D85"/>
    <w:rsid w:val="005577ED"/>
    <w:rsid w:val="00557AB9"/>
    <w:rsid w:val="005615C4"/>
    <w:rsid w:val="0056181A"/>
    <w:rsid w:val="00562D25"/>
    <w:rsid w:val="00563FC7"/>
    <w:rsid w:val="00567097"/>
    <w:rsid w:val="005702DD"/>
    <w:rsid w:val="005709A9"/>
    <w:rsid w:val="00570C05"/>
    <w:rsid w:val="00570D09"/>
    <w:rsid w:val="00571FDA"/>
    <w:rsid w:val="0057229C"/>
    <w:rsid w:val="0057426B"/>
    <w:rsid w:val="00575506"/>
    <w:rsid w:val="00575C4B"/>
    <w:rsid w:val="0057739D"/>
    <w:rsid w:val="00577BF5"/>
    <w:rsid w:val="0058096E"/>
    <w:rsid w:val="0058156C"/>
    <w:rsid w:val="00581DAF"/>
    <w:rsid w:val="005844B4"/>
    <w:rsid w:val="0058648A"/>
    <w:rsid w:val="005865A9"/>
    <w:rsid w:val="00586C41"/>
    <w:rsid w:val="0059013E"/>
    <w:rsid w:val="005904E1"/>
    <w:rsid w:val="0059103C"/>
    <w:rsid w:val="0059386E"/>
    <w:rsid w:val="005944F9"/>
    <w:rsid w:val="00596ABF"/>
    <w:rsid w:val="00596CB9"/>
    <w:rsid w:val="005A00E5"/>
    <w:rsid w:val="005A271A"/>
    <w:rsid w:val="005A2B76"/>
    <w:rsid w:val="005A31EA"/>
    <w:rsid w:val="005A3305"/>
    <w:rsid w:val="005A42A9"/>
    <w:rsid w:val="005A4A5D"/>
    <w:rsid w:val="005A5ED9"/>
    <w:rsid w:val="005A670C"/>
    <w:rsid w:val="005A684F"/>
    <w:rsid w:val="005A7320"/>
    <w:rsid w:val="005A754E"/>
    <w:rsid w:val="005A7C96"/>
    <w:rsid w:val="005B01AB"/>
    <w:rsid w:val="005B085F"/>
    <w:rsid w:val="005B0F4F"/>
    <w:rsid w:val="005B2B53"/>
    <w:rsid w:val="005B5458"/>
    <w:rsid w:val="005B61A1"/>
    <w:rsid w:val="005B6A80"/>
    <w:rsid w:val="005B6D75"/>
    <w:rsid w:val="005C1491"/>
    <w:rsid w:val="005C153C"/>
    <w:rsid w:val="005C454E"/>
    <w:rsid w:val="005C46BC"/>
    <w:rsid w:val="005C4B41"/>
    <w:rsid w:val="005C4D32"/>
    <w:rsid w:val="005C5804"/>
    <w:rsid w:val="005C5D17"/>
    <w:rsid w:val="005C6088"/>
    <w:rsid w:val="005C6754"/>
    <w:rsid w:val="005D0750"/>
    <w:rsid w:val="005D1A7C"/>
    <w:rsid w:val="005D2FB1"/>
    <w:rsid w:val="005D46C3"/>
    <w:rsid w:val="005D56D6"/>
    <w:rsid w:val="005E167C"/>
    <w:rsid w:val="005E5EA8"/>
    <w:rsid w:val="005F0C49"/>
    <w:rsid w:val="005F12AA"/>
    <w:rsid w:val="005F1EC1"/>
    <w:rsid w:val="005F3622"/>
    <w:rsid w:val="005F4780"/>
    <w:rsid w:val="005F5E18"/>
    <w:rsid w:val="005F74F6"/>
    <w:rsid w:val="005F7681"/>
    <w:rsid w:val="00600A0D"/>
    <w:rsid w:val="0060148C"/>
    <w:rsid w:val="00601721"/>
    <w:rsid w:val="00601F69"/>
    <w:rsid w:val="006022BB"/>
    <w:rsid w:val="00604011"/>
    <w:rsid w:val="00604EB0"/>
    <w:rsid w:val="00605362"/>
    <w:rsid w:val="006064EB"/>
    <w:rsid w:val="00606EF0"/>
    <w:rsid w:val="00611549"/>
    <w:rsid w:val="00613F4D"/>
    <w:rsid w:val="006157A4"/>
    <w:rsid w:val="006168DC"/>
    <w:rsid w:val="00617C8E"/>
    <w:rsid w:val="0062201C"/>
    <w:rsid w:val="006240AA"/>
    <w:rsid w:val="00624382"/>
    <w:rsid w:val="006244F8"/>
    <w:rsid w:val="00625134"/>
    <w:rsid w:val="0062649F"/>
    <w:rsid w:val="006269A4"/>
    <w:rsid w:val="00627919"/>
    <w:rsid w:val="00627FEF"/>
    <w:rsid w:val="006304C6"/>
    <w:rsid w:val="00631FF8"/>
    <w:rsid w:val="00632A35"/>
    <w:rsid w:val="0063386A"/>
    <w:rsid w:val="00634126"/>
    <w:rsid w:val="006355F7"/>
    <w:rsid w:val="00637958"/>
    <w:rsid w:val="0064042B"/>
    <w:rsid w:val="00642D47"/>
    <w:rsid w:val="00644D47"/>
    <w:rsid w:val="006458C9"/>
    <w:rsid w:val="00647D94"/>
    <w:rsid w:val="006502AB"/>
    <w:rsid w:val="006505C3"/>
    <w:rsid w:val="006513D4"/>
    <w:rsid w:val="006530CD"/>
    <w:rsid w:val="006538A7"/>
    <w:rsid w:val="00655041"/>
    <w:rsid w:val="0065509F"/>
    <w:rsid w:val="0065603C"/>
    <w:rsid w:val="00656CD5"/>
    <w:rsid w:val="00657348"/>
    <w:rsid w:val="00657D02"/>
    <w:rsid w:val="00663310"/>
    <w:rsid w:val="00663B3E"/>
    <w:rsid w:val="006642B8"/>
    <w:rsid w:val="006668F9"/>
    <w:rsid w:val="006668FA"/>
    <w:rsid w:val="0066702E"/>
    <w:rsid w:val="0067117F"/>
    <w:rsid w:val="00672690"/>
    <w:rsid w:val="006729C4"/>
    <w:rsid w:val="00673CE4"/>
    <w:rsid w:val="00674C13"/>
    <w:rsid w:val="00675625"/>
    <w:rsid w:val="0067621F"/>
    <w:rsid w:val="0067646C"/>
    <w:rsid w:val="00676835"/>
    <w:rsid w:val="006772DF"/>
    <w:rsid w:val="0067740F"/>
    <w:rsid w:val="00677B1D"/>
    <w:rsid w:val="00677CBE"/>
    <w:rsid w:val="00677EC4"/>
    <w:rsid w:val="00680301"/>
    <w:rsid w:val="0068401B"/>
    <w:rsid w:val="00684E41"/>
    <w:rsid w:val="00685F8A"/>
    <w:rsid w:val="00686BD7"/>
    <w:rsid w:val="00691794"/>
    <w:rsid w:val="006927AD"/>
    <w:rsid w:val="006951D1"/>
    <w:rsid w:val="0069572B"/>
    <w:rsid w:val="00697BBE"/>
    <w:rsid w:val="006A0383"/>
    <w:rsid w:val="006A4A65"/>
    <w:rsid w:val="006A70A7"/>
    <w:rsid w:val="006B0F91"/>
    <w:rsid w:val="006B1CBE"/>
    <w:rsid w:val="006B1D53"/>
    <w:rsid w:val="006B20E9"/>
    <w:rsid w:val="006B243B"/>
    <w:rsid w:val="006B2AF9"/>
    <w:rsid w:val="006B4706"/>
    <w:rsid w:val="006B5FE9"/>
    <w:rsid w:val="006C0191"/>
    <w:rsid w:val="006C483C"/>
    <w:rsid w:val="006C4A7B"/>
    <w:rsid w:val="006C505E"/>
    <w:rsid w:val="006C5855"/>
    <w:rsid w:val="006C58D2"/>
    <w:rsid w:val="006C6D50"/>
    <w:rsid w:val="006C7AF9"/>
    <w:rsid w:val="006C7F50"/>
    <w:rsid w:val="006D0C7E"/>
    <w:rsid w:val="006D0EC6"/>
    <w:rsid w:val="006D35DE"/>
    <w:rsid w:val="006D4172"/>
    <w:rsid w:val="006D6335"/>
    <w:rsid w:val="006D706C"/>
    <w:rsid w:val="006D7229"/>
    <w:rsid w:val="006E06FC"/>
    <w:rsid w:val="006E165D"/>
    <w:rsid w:val="006E2E63"/>
    <w:rsid w:val="006E318F"/>
    <w:rsid w:val="006E4B00"/>
    <w:rsid w:val="006E52FE"/>
    <w:rsid w:val="006E5732"/>
    <w:rsid w:val="006E5900"/>
    <w:rsid w:val="006E6CD4"/>
    <w:rsid w:val="006E7482"/>
    <w:rsid w:val="006F0113"/>
    <w:rsid w:val="006F06FF"/>
    <w:rsid w:val="006F0BE2"/>
    <w:rsid w:val="006F1B07"/>
    <w:rsid w:val="006F2146"/>
    <w:rsid w:val="006F28A0"/>
    <w:rsid w:val="006F3329"/>
    <w:rsid w:val="006F3764"/>
    <w:rsid w:val="006F3CD1"/>
    <w:rsid w:val="006F66A6"/>
    <w:rsid w:val="007002B1"/>
    <w:rsid w:val="00700FCC"/>
    <w:rsid w:val="0070135E"/>
    <w:rsid w:val="00701677"/>
    <w:rsid w:val="00704180"/>
    <w:rsid w:val="00704B58"/>
    <w:rsid w:val="00706037"/>
    <w:rsid w:val="007063E4"/>
    <w:rsid w:val="00707E05"/>
    <w:rsid w:val="00707FF2"/>
    <w:rsid w:val="00710551"/>
    <w:rsid w:val="00713BF1"/>
    <w:rsid w:val="007140DB"/>
    <w:rsid w:val="00714402"/>
    <w:rsid w:val="00714718"/>
    <w:rsid w:val="00717C04"/>
    <w:rsid w:val="00720BB2"/>
    <w:rsid w:val="00720CFE"/>
    <w:rsid w:val="007221CA"/>
    <w:rsid w:val="00722550"/>
    <w:rsid w:val="00723E1F"/>
    <w:rsid w:val="00723FDE"/>
    <w:rsid w:val="007251F1"/>
    <w:rsid w:val="0072564A"/>
    <w:rsid w:val="007266B6"/>
    <w:rsid w:val="007269AA"/>
    <w:rsid w:val="007273FA"/>
    <w:rsid w:val="0073004E"/>
    <w:rsid w:val="0073031D"/>
    <w:rsid w:val="00730701"/>
    <w:rsid w:val="00730788"/>
    <w:rsid w:val="00731554"/>
    <w:rsid w:val="007326CE"/>
    <w:rsid w:val="007326DA"/>
    <w:rsid w:val="00733F30"/>
    <w:rsid w:val="00734103"/>
    <w:rsid w:val="00734565"/>
    <w:rsid w:val="00735653"/>
    <w:rsid w:val="0073627B"/>
    <w:rsid w:val="00737703"/>
    <w:rsid w:val="00737EFA"/>
    <w:rsid w:val="007409DA"/>
    <w:rsid w:val="007413F9"/>
    <w:rsid w:val="00742F07"/>
    <w:rsid w:val="00743702"/>
    <w:rsid w:val="00743813"/>
    <w:rsid w:val="00743856"/>
    <w:rsid w:val="00743BB0"/>
    <w:rsid w:val="00743F10"/>
    <w:rsid w:val="007443E8"/>
    <w:rsid w:val="007462C7"/>
    <w:rsid w:val="00750199"/>
    <w:rsid w:val="00750B4C"/>
    <w:rsid w:val="00751BD2"/>
    <w:rsid w:val="00751DF3"/>
    <w:rsid w:val="007525D9"/>
    <w:rsid w:val="00752759"/>
    <w:rsid w:val="007547F2"/>
    <w:rsid w:val="0075518C"/>
    <w:rsid w:val="00756158"/>
    <w:rsid w:val="0075620E"/>
    <w:rsid w:val="0075703A"/>
    <w:rsid w:val="0076251F"/>
    <w:rsid w:val="00762534"/>
    <w:rsid w:val="007637C8"/>
    <w:rsid w:val="007655CC"/>
    <w:rsid w:val="0076741B"/>
    <w:rsid w:val="00771299"/>
    <w:rsid w:val="00771775"/>
    <w:rsid w:val="0077231E"/>
    <w:rsid w:val="00773071"/>
    <w:rsid w:val="00773744"/>
    <w:rsid w:val="00773799"/>
    <w:rsid w:val="00775653"/>
    <w:rsid w:val="00775B39"/>
    <w:rsid w:val="00777742"/>
    <w:rsid w:val="007806A1"/>
    <w:rsid w:val="00780F1E"/>
    <w:rsid w:val="007826D3"/>
    <w:rsid w:val="00782F9D"/>
    <w:rsid w:val="00784ABF"/>
    <w:rsid w:val="007852B7"/>
    <w:rsid w:val="00785492"/>
    <w:rsid w:val="00785D1A"/>
    <w:rsid w:val="007862A1"/>
    <w:rsid w:val="00786D97"/>
    <w:rsid w:val="00787AF5"/>
    <w:rsid w:val="00787F70"/>
    <w:rsid w:val="007903B4"/>
    <w:rsid w:val="007903E8"/>
    <w:rsid w:val="00790F91"/>
    <w:rsid w:val="00791E75"/>
    <w:rsid w:val="0079214C"/>
    <w:rsid w:val="0079222B"/>
    <w:rsid w:val="007922C5"/>
    <w:rsid w:val="00792DF9"/>
    <w:rsid w:val="007939C8"/>
    <w:rsid w:val="0079422D"/>
    <w:rsid w:val="007944B5"/>
    <w:rsid w:val="00794DCF"/>
    <w:rsid w:val="00795B68"/>
    <w:rsid w:val="00796467"/>
    <w:rsid w:val="00796B83"/>
    <w:rsid w:val="0079727D"/>
    <w:rsid w:val="007A08C1"/>
    <w:rsid w:val="007A287B"/>
    <w:rsid w:val="007A343F"/>
    <w:rsid w:val="007A4199"/>
    <w:rsid w:val="007A488C"/>
    <w:rsid w:val="007A5A88"/>
    <w:rsid w:val="007A6B58"/>
    <w:rsid w:val="007B17DA"/>
    <w:rsid w:val="007B3493"/>
    <w:rsid w:val="007B3BA9"/>
    <w:rsid w:val="007B3E98"/>
    <w:rsid w:val="007B45F2"/>
    <w:rsid w:val="007B474A"/>
    <w:rsid w:val="007B4C2E"/>
    <w:rsid w:val="007B4DBF"/>
    <w:rsid w:val="007B6103"/>
    <w:rsid w:val="007B776F"/>
    <w:rsid w:val="007B791A"/>
    <w:rsid w:val="007C005E"/>
    <w:rsid w:val="007C18F8"/>
    <w:rsid w:val="007C2252"/>
    <w:rsid w:val="007C3133"/>
    <w:rsid w:val="007C389A"/>
    <w:rsid w:val="007C3925"/>
    <w:rsid w:val="007C53B3"/>
    <w:rsid w:val="007C53C6"/>
    <w:rsid w:val="007D13B5"/>
    <w:rsid w:val="007D1C27"/>
    <w:rsid w:val="007D2C21"/>
    <w:rsid w:val="007D2CD6"/>
    <w:rsid w:val="007D34CD"/>
    <w:rsid w:val="007D431D"/>
    <w:rsid w:val="007D6586"/>
    <w:rsid w:val="007D65F3"/>
    <w:rsid w:val="007D6BF2"/>
    <w:rsid w:val="007D6D7A"/>
    <w:rsid w:val="007D7028"/>
    <w:rsid w:val="007E0738"/>
    <w:rsid w:val="007E11D8"/>
    <w:rsid w:val="007E155E"/>
    <w:rsid w:val="007E1853"/>
    <w:rsid w:val="007E2EBE"/>
    <w:rsid w:val="007E2F1F"/>
    <w:rsid w:val="007E3A3D"/>
    <w:rsid w:val="007E5176"/>
    <w:rsid w:val="007E5276"/>
    <w:rsid w:val="007E5DFD"/>
    <w:rsid w:val="007E7C73"/>
    <w:rsid w:val="007F03E6"/>
    <w:rsid w:val="007F0A20"/>
    <w:rsid w:val="007F0EA2"/>
    <w:rsid w:val="007F132E"/>
    <w:rsid w:val="007F17EB"/>
    <w:rsid w:val="007F3485"/>
    <w:rsid w:val="007F486F"/>
    <w:rsid w:val="007F7F65"/>
    <w:rsid w:val="00802A82"/>
    <w:rsid w:val="00804CC5"/>
    <w:rsid w:val="008056FE"/>
    <w:rsid w:val="00805AAB"/>
    <w:rsid w:val="00805F32"/>
    <w:rsid w:val="0080706E"/>
    <w:rsid w:val="0081042F"/>
    <w:rsid w:val="00810A98"/>
    <w:rsid w:val="00811E1D"/>
    <w:rsid w:val="00812A75"/>
    <w:rsid w:val="0081371B"/>
    <w:rsid w:val="0081544E"/>
    <w:rsid w:val="008169FF"/>
    <w:rsid w:val="00816DB4"/>
    <w:rsid w:val="008201F3"/>
    <w:rsid w:val="0082059C"/>
    <w:rsid w:val="008211E3"/>
    <w:rsid w:val="008218EE"/>
    <w:rsid w:val="00825E44"/>
    <w:rsid w:val="00826462"/>
    <w:rsid w:val="008302EA"/>
    <w:rsid w:val="00830A6A"/>
    <w:rsid w:val="00830CF4"/>
    <w:rsid w:val="008314D3"/>
    <w:rsid w:val="00831CE6"/>
    <w:rsid w:val="00834316"/>
    <w:rsid w:val="0083642C"/>
    <w:rsid w:val="0083671A"/>
    <w:rsid w:val="008375AE"/>
    <w:rsid w:val="0084025D"/>
    <w:rsid w:val="00840D93"/>
    <w:rsid w:val="00841307"/>
    <w:rsid w:val="00841FC8"/>
    <w:rsid w:val="00843AB9"/>
    <w:rsid w:val="00850245"/>
    <w:rsid w:val="00852DA9"/>
    <w:rsid w:val="00854769"/>
    <w:rsid w:val="00855894"/>
    <w:rsid w:val="00862071"/>
    <w:rsid w:val="00862F81"/>
    <w:rsid w:val="00863FF2"/>
    <w:rsid w:val="00864B76"/>
    <w:rsid w:val="008655A9"/>
    <w:rsid w:val="00865A72"/>
    <w:rsid w:val="0086612F"/>
    <w:rsid w:val="00866A0D"/>
    <w:rsid w:val="00866EC4"/>
    <w:rsid w:val="00867B9E"/>
    <w:rsid w:val="00867DD1"/>
    <w:rsid w:val="00867F12"/>
    <w:rsid w:val="00870CB7"/>
    <w:rsid w:val="00870E1D"/>
    <w:rsid w:val="00871B47"/>
    <w:rsid w:val="00871E4C"/>
    <w:rsid w:val="00872803"/>
    <w:rsid w:val="00872AFF"/>
    <w:rsid w:val="00873C2B"/>
    <w:rsid w:val="008749F9"/>
    <w:rsid w:val="00875431"/>
    <w:rsid w:val="00875790"/>
    <w:rsid w:val="00875D2C"/>
    <w:rsid w:val="008768E3"/>
    <w:rsid w:val="00877579"/>
    <w:rsid w:val="00877AEA"/>
    <w:rsid w:val="00877DB3"/>
    <w:rsid w:val="008817A2"/>
    <w:rsid w:val="00882909"/>
    <w:rsid w:val="0088377F"/>
    <w:rsid w:val="00884522"/>
    <w:rsid w:val="00884D87"/>
    <w:rsid w:val="0088689A"/>
    <w:rsid w:val="008869AA"/>
    <w:rsid w:val="0089029E"/>
    <w:rsid w:val="0089065E"/>
    <w:rsid w:val="008916D6"/>
    <w:rsid w:val="008947EF"/>
    <w:rsid w:val="00894FBB"/>
    <w:rsid w:val="00895176"/>
    <w:rsid w:val="00896AFC"/>
    <w:rsid w:val="00897F8F"/>
    <w:rsid w:val="008A062F"/>
    <w:rsid w:val="008A0694"/>
    <w:rsid w:val="008A06A1"/>
    <w:rsid w:val="008A2E88"/>
    <w:rsid w:val="008A36EA"/>
    <w:rsid w:val="008A3D3D"/>
    <w:rsid w:val="008A4E73"/>
    <w:rsid w:val="008A588F"/>
    <w:rsid w:val="008A5A0F"/>
    <w:rsid w:val="008A5A17"/>
    <w:rsid w:val="008A5FC7"/>
    <w:rsid w:val="008A7CA5"/>
    <w:rsid w:val="008A7D11"/>
    <w:rsid w:val="008B0FD1"/>
    <w:rsid w:val="008B2A4A"/>
    <w:rsid w:val="008B3131"/>
    <w:rsid w:val="008B4198"/>
    <w:rsid w:val="008B48B3"/>
    <w:rsid w:val="008B5C89"/>
    <w:rsid w:val="008B652C"/>
    <w:rsid w:val="008B65B0"/>
    <w:rsid w:val="008B695C"/>
    <w:rsid w:val="008B6D3B"/>
    <w:rsid w:val="008B7095"/>
    <w:rsid w:val="008B73A5"/>
    <w:rsid w:val="008B7D94"/>
    <w:rsid w:val="008B7DC3"/>
    <w:rsid w:val="008C1E54"/>
    <w:rsid w:val="008C3AC1"/>
    <w:rsid w:val="008C4B9E"/>
    <w:rsid w:val="008C5124"/>
    <w:rsid w:val="008C658E"/>
    <w:rsid w:val="008D381A"/>
    <w:rsid w:val="008D5792"/>
    <w:rsid w:val="008D5EFE"/>
    <w:rsid w:val="008D70E6"/>
    <w:rsid w:val="008D7229"/>
    <w:rsid w:val="008E1662"/>
    <w:rsid w:val="008E2DC5"/>
    <w:rsid w:val="008E4450"/>
    <w:rsid w:val="008E5628"/>
    <w:rsid w:val="008E6953"/>
    <w:rsid w:val="008E7F7D"/>
    <w:rsid w:val="008F08D2"/>
    <w:rsid w:val="008F0F10"/>
    <w:rsid w:val="008F100C"/>
    <w:rsid w:val="008F1563"/>
    <w:rsid w:val="008F1F2F"/>
    <w:rsid w:val="008F3E36"/>
    <w:rsid w:val="008F6A49"/>
    <w:rsid w:val="0090060C"/>
    <w:rsid w:val="00902473"/>
    <w:rsid w:val="009035D9"/>
    <w:rsid w:val="00904B06"/>
    <w:rsid w:val="00904E56"/>
    <w:rsid w:val="00905146"/>
    <w:rsid w:val="00910278"/>
    <w:rsid w:val="00911A79"/>
    <w:rsid w:val="00913D65"/>
    <w:rsid w:val="0091510D"/>
    <w:rsid w:val="00915EDC"/>
    <w:rsid w:val="00916055"/>
    <w:rsid w:val="00916458"/>
    <w:rsid w:val="00920819"/>
    <w:rsid w:val="00922042"/>
    <w:rsid w:val="0092246A"/>
    <w:rsid w:val="00924121"/>
    <w:rsid w:val="0092490F"/>
    <w:rsid w:val="00924AA2"/>
    <w:rsid w:val="0092571A"/>
    <w:rsid w:val="00925C75"/>
    <w:rsid w:val="00925D14"/>
    <w:rsid w:val="0092604F"/>
    <w:rsid w:val="00927A18"/>
    <w:rsid w:val="00934821"/>
    <w:rsid w:val="00941CBB"/>
    <w:rsid w:val="009420D5"/>
    <w:rsid w:val="009444BF"/>
    <w:rsid w:val="00944B35"/>
    <w:rsid w:val="009450ED"/>
    <w:rsid w:val="0094548A"/>
    <w:rsid w:val="009454AB"/>
    <w:rsid w:val="00945987"/>
    <w:rsid w:val="00950CC6"/>
    <w:rsid w:val="0095391D"/>
    <w:rsid w:val="00953CF0"/>
    <w:rsid w:val="00953D00"/>
    <w:rsid w:val="009548D9"/>
    <w:rsid w:val="00954E7E"/>
    <w:rsid w:val="009602B1"/>
    <w:rsid w:val="00960513"/>
    <w:rsid w:val="009609A4"/>
    <w:rsid w:val="00960B58"/>
    <w:rsid w:val="0096174D"/>
    <w:rsid w:val="00961EC2"/>
    <w:rsid w:val="00962670"/>
    <w:rsid w:val="00963FC0"/>
    <w:rsid w:val="00964313"/>
    <w:rsid w:val="0096497A"/>
    <w:rsid w:val="0096550F"/>
    <w:rsid w:val="0096773D"/>
    <w:rsid w:val="009704E5"/>
    <w:rsid w:val="00970719"/>
    <w:rsid w:val="00972C68"/>
    <w:rsid w:val="009744EB"/>
    <w:rsid w:val="009748A4"/>
    <w:rsid w:val="00976089"/>
    <w:rsid w:val="00976228"/>
    <w:rsid w:val="0098021F"/>
    <w:rsid w:val="009809BA"/>
    <w:rsid w:val="00981265"/>
    <w:rsid w:val="00981DC1"/>
    <w:rsid w:val="009849A3"/>
    <w:rsid w:val="009853EC"/>
    <w:rsid w:val="00985C02"/>
    <w:rsid w:val="00987014"/>
    <w:rsid w:val="00987805"/>
    <w:rsid w:val="00987E00"/>
    <w:rsid w:val="00990AF2"/>
    <w:rsid w:val="009965FF"/>
    <w:rsid w:val="00996AB8"/>
    <w:rsid w:val="00996FA0"/>
    <w:rsid w:val="009972B1"/>
    <w:rsid w:val="009A2457"/>
    <w:rsid w:val="009A3042"/>
    <w:rsid w:val="009A3134"/>
    <w:rsid w:val="009A6452"/>
    <w:rsid w:val="009A6EFB"/>
    <w:rsid w:val="009A7501"/>
    <w:rsid w:val="009A77F1"/>
    <w:rsid w:val="009A7917"/>
    <w:rsid w:val="009B2AF1"/>
    <w:rsid w:val="009B4EDF"/>
    <w:rsid w:val="009B4FA0"/>
    <w:rsid w:val="009B571F"/>
    <w:rsid w:val="009B5981"/>
    <w:rsid w:val="009B7B60"/>
    <w:rsid w:val="009C0051"/>
    <w:rsid w:val="009C00D0"/>
    <w:rsid w:val="009C1425"/>
    <w:rsid w:val="009C283E"/>
    <w:rsid w:val="009C365D"/>
    <w:rsid w:val="009C621B"/>
    <w:rsid w:val="009D0DBA"/>
    <w:rsid w:val="009D119D"/>
    <w:rsid w:val="009D11A1"/>
    <w:rsid w:val="009D140A"/>
    <w:rsid w:val="009D1C44"/>
    <w:rsid w:val="009D2B0C"/>
    <w:rsid w:val="009D32CA"/>
    <w:rsid w:val="009D38FB"/>
    <w:rsid w:val="009D39FF"/>
    <w:rsid w:val="009D3BAE"/>
    <w:rsid w:val="009D3DD4"/>
    <w:rsid w:val="009D3F37"/>
    <w:rsid w:val="009D42E3"/>
    <w:rsid w:val="009D4F15"/>
    <w:rsid w:val="009D5692"/>
    <w:rsid w:val="009E15C4"/>
    <w:rsid w:val="009E1DD6"/>
    <w:rsid w:val="009E2137"/>
    <w:rsid w:val="009E3180"/>
    <w:rsid w:val="009E45AD"/>
    <w:rsid w:val="009E50F0"/>
    <w:rsid w:val="009F1525"/>
    <w:rsid w:val="009F17E6"/>
    <w:rsid w:val="009F290C"/>
    <w:rsid w:val="009F5516"/>
    <w:rsid w:val="009F6FD6"/>
    <w:rsid w:val="00A00F6F"/>
    <w:rsid w:val="00A022C2"/>
    <w:rsid w:val="00A03C50"/>
    <w:rsid w:val="00A05C5A"/>
    <w:rsid w:val="00A06213"/>
    <w:rsid w:val="00A062FF"/>
    <w:rsid w:val="00A0702D"/>
    <w:rsid w:val="00A10450"/>
    <w:rsid w:val="00A114F9"/>
    <w:rsid w:val="00A127AA"/>
    <w:rsid w:val="00A13E6F"/>
    <w:rsid w:val="00A1500A"/>
    <w:rsid w:val="00A150E3"/>
    <w:rsid w:val="00A1593B"/>
    <w:rsid w:val="00A15A37"/>
    <w:rsid w:val="00A17923"/>
    <w:rsid w:val="00A17A23"/>
    <w:rsid w:val="00A20C21"/>
    <w:rsid w:val="00A21302"/>
    <w:rsid w:val="00A22357"/>
    <w:rsid w:val="00A2236D"/>
    <w:rsid w:val="00A225F1"/>
    <w:rsid w:val="00A22F28"/>
    <w:rsid w:val="00A230F2"/>
    <w:rsid w:val="00A2395D"/>
    <w:rsid w:val="00A24B1A"/>
    <w:rsid w:val="00A25083"/>
    <w:rsid w:val="00A26BB3"/>
    <w:rsid w:val="00A27D94"/>
    <w:rsid w:val="00A31F7B"/>
    <w:rsid w:val="00A33472"/>
    <w:rsid w:val="00A35431"/>
    <w:rsid w:val="00A428E6"/>
    <w:rsid w:val="00A43BFC"/>
    <w:rsid w:val="00A477AE"/>
    <w:rsid w:val="00A50426"/>
    <w:rsid w:val="00A508B0"/>
    <w:rsid w:val="00A51826"/>
    <w:rsid w:val="00A51BD7"/>
    <w:rsid w:val="00A52358"/>
    <w:rsid w:val="00A52F28"/>
    <w:rsid w:val="00A55EAA"/>
    <w:rsid w:val="00A56EE7"/>
    <w:rsid w:val="00A578FD"/>
    <w:rsid w:val="00A60EA1"/>
    <w:rsid w:val="00A60EA5"/>
    <w:rsid w:val="00A623E3"/>
    <w:rsid w:val="00A63D73"/>
    <w:rsid w:val="00A64685"/>
    <w:rsid w:val="00A65D5D"/>
    <w:rsid w:val="00A65DC4"/>
    <w:rsid w:val="00A671E8"/>
    <w:rsid w:val="00A70490"/>
    <w:rsid w:val="00A704DC"/>
    <w:rsid w:val="00A70AB1"/>
    <w:rsid w:val="00A70EAD"/>
    <w:rsid w:val="00A7107F"/>
    <w:rsid w:val="00A72898"/>
    <w:rsid w:val="00A73541"/>
    <w:rsid w:val="00A735A0"/>
    <w:rsid w:val="00A73AB6"/>
    <w:rsid w:val="00A74E55"/>
    <w:rsid w:val="00A76F54"/>
    <w:rsid w:val="00A82836"/>
    <w:rsid w:val="00A84287"/>
    <w:rsid w:val="00A855DC"/>
    <w:rsid w:val="00A8580D"/>
    <w:rsid w:val="00A859F0"/>
    <w:rsid w:val="00A85C97"/>
    <w:rsid w:val="00A93044"/>
    <w:rsid w:val="00A933E2"/>
    <w:rsid w:val="00A9345C"/>
    <w:rsid w:val="00A93C2C"/>
    <w:rsid w:val="00A93CF1"/>
    <w:rsid w:val="00A95398"/>
    <w:rsid w:val="00A9576B"/>
    <w:rsid w:val="00A957CA"/>
    <w:rsid w:val="00A95A7D"/>
    <w:rsid w:val="00AA0306"/>
    <w:rsid w:val="00AA03D3"/>
    <w:rsid w:val="00AA0750"/>
    <w:rsid w:val="00AA1DF7"/>
    <w:rsid w:val="00AA28CC"/>
    <w:rsid w:val="00AA2D2E"/>
    <w:rsid w:val="00AA6C64"/>
    <w:rsid w:val="00AB18E8"/>
    <w:rsid w:val="00AB1B1B"/>
    <w:rsid w:val="00AB22B1"/>
    <w:rsid w:val="00AB231D"/>
    <w:rsid w:val="00AB2601"/>
    <w:rsid w:val="00AB28F7"/>
    <w:rsid w:val="00AB303B"/>
    <w:rsid w:val="00AB3260"/>
    <w:rsid w:val="00AB388A"/>
    <w:rsid w:val="00AB3983"/>
    <w:rsid w:val="00AB402E"/>
    <w:rsid w:val="00AB40C9"/>
    <w:rsid w:val="00AB52BB"/>
    <w:rsid w:val="00AB55CE"/>
    <w:rsid w:val="00AC39E3"/>
    <w:rsid w:val="00AC49E3"/>
    <w:rsid w:val="00AC6CFA"/>
    <w:rsid w:val="00AC7CFA"/>
    <w:rsid w:val="00AD1527"/>
    <w:rsid w:val="00AD2618"/>
    <w:rsid w:val="00AD276D"/>
    <w:rsid w:val="00AD41D4"/>
    <w:rsid w:val="00AD4381"/>
    <w:rsid w:val="00AD5181"/>
    <w:rsid w:val="00AD658E"/>
    <w:rsid w:val="00AD67CF"/>
    <w:rsid w:val="00AD6F11"/>
    <w:rsid w:val="00AE1CFE"/>
    <w:rsid w:val="00AE1ED9"/>
    <w:rsid w:val="00AE24D6"/>
    <w:rsid w:val="00AE30F6"/>
    <w:rsid w:val="00AE38BB"/>
    <w:rsid w:val="00AE4D56"/>
    <w:rsid w:val="00AE5105"/>
    <w:rsid w:val="00AE53D8"/>
    <w:rsid w:val="00AE6C75"/>
    <w:rsid w:val="00AE7104"/>
    <w:rsid w:val="00AE75F7"/>
    <w:rsid w:val="00AF1343"/>
    <w:rsid w:val="00AF23AC"/>
    <w:rsid w:val="00AF2FA3"/>
    <w:rsid w:val="00AF35A0"/>
    <w:rsid w:val="00AF53B9"/>
    <w:rsid w:val="00AF7D01"/>
    <w:rsid w:val="00B016A2"/>
    <w:rsid w:val="00B01FAE"/>
    <w:rsid w:val="00B020A1"/>
    <w:rsid w:val="00B0271C"/>
    <w:rsid w:val="00B029EB"/>
    <w:rsid w:val="00B05FC6"/>
    <w:rsid w:val="00B06B83"/>
    <w:rsid w:val="00B07A7C"/>
    <w:rsid w:val="00B12297"/>
    <w:rsid w:val="00B12B67"/>
    <w:rsid w:val="00B12C50"/>
    <w:rsid w:val="00B13784"/>
    <w:rsid w:val="00B148EC"/>
    <w:rsid w:val="00B15354"/>
    <w:rsid w:val="00B16333"/>
    <w:rsid w:val="00B171BF"/>
    <w:rsid w:val="00B21B85"/>
    <w:rsid w:val="00B22C7A"/>
    <w:rsid w:val="00B24231"/>
    <w:rsid w:val="00B24577"/>
    <w:rsid w:val="00B26897"/>
    <w:rsid w:val="00B27F8F"/>
    <w:rsid w:val="00B30283"/>
    <w:rsid w:val="00B30AEB"/>
    <w:rsid w:val="00B320E5"/>
    <w:rsid w:val="00B32455"/>
    <w:rsid w:val="00B327B0"/>
    <w:rsid w:val="00B32E15"/>
    <w:rsid w:val="00B34615"/>
    <w:rsid w:val="00B34C75"/>
    <w:rsid w:val="00B36E70"/>
    <w:rsid w:val="00B37448"/>
    <w:rsid w:val="00B37589"/>
    <w:rsid w:val="00B375D3"/>
    <w:rsid w:val="00B37D47"/>
    <w:rsid w:val="00B37FCE"/>
    <w:rsid w:val="00B41078"/>
    <w:rsid w:val="00B41124"/>
    <w:rsid w:val="00B42347"/>
    <w:rsid w:val="00B42533"/>
    <w:rsid w:val="00B43550"/>
    <w:rsid w:val="00B445DF"/>
    <w:rsid w:val="00B45F62"/>
    <w:rsid w:val="00B46879"/>
    <w:rsid w:val="00B46E71"/>
    <w:rsid w:val="00B47164"/>
    <w:rsid w:val="00B521BE"/>
    <w:rsid w:val="00B53020"/>
    <w:rsid w:val="00B53694"/>
    <w:rsid w:val="00B53801"/>
    <w:rsid w:val="00B53CBC"/>
    <w:rsid w:val="00B53CF4"/>
    <w:rsid w:val="00B56C51"/>
    <w:rsid w:val="00B60583"/>
    <w:rsid w:val="00B606F5"/>
    <w:rsid w:val="00B61D01"/>
    <w:rsid w:val="00B64131"/>
    <w:rsid w:val="00B65D34"/>
    <w:rsid w:val="00B72152"/>
    <w:rsid w:val="00B72835"/>
    <w:rsid w:val="00B72C52"/>
    <w:rsid w:val="00B74956"/>
    <w:rsid w:val="00B7548D"/>
    <w:rsid w:val="00B77560"/>
    <w:rsid w:val="00B815DD"/>
    <w:rsid w:val="00B8271E"/>
    <w:rsid w:val="00B8508E"/>
    <w:rsid w:val="00B855FE"/>
    <w:rsid w:val="00B86418"/>
    <w:rsid w:val="00B90D0F"/>
    <w:rsid w:val="00B91B50"/>
    <w:rsid w:val="00B929D1"/>
    <w:rsid w:val="00B9324E"/>
    <w:rsid w:val="00B94BCC"/>
    <w:rsid w:val="00BA094F"/>
    <w:rsid w:val="00BA2287"/>
    <w:rsid w:val="00BA3475"/>
    <w:rsid w:val="00BA4639"/>
    <w:rsid w:val="00BA4989"/>
    <w:rsid w:val="00BA59A7"/>
    <w:rsid w:val="00BA6E58"/>
    <w:rsid w:val="00BA7EBD"/>
    <w:rsid w:val="00BA7F69"/>
    <w:rsid w:val="00BA7F76"/>
    <w:rsid w:val="00BB0E88"/>
    <w:rsid w:val="00BB14DC"/>
    <w:rsid w:val="00BB1DE1"/>
    <w:rsid w:val="00BB2837"/>
    <w:rsid w:val="00BB384C"/>
    <w:rsid w:val="00BB5F37"/>
    <w:rsid w:val="00BB63BA"/>
    <w:rsid w:val="00BB7305"/>
    <w:rsid w:val="00BC0561"/>
    <w:rsid w:val="00BC0D87"/>
    <w:rsid w:val="00BC1680"/>
    <w:rsid w:val="00BC1957"/>
    <w:rsid w:val="00BC1F8A"/>
    <w:rsid w:val="00BC2643"/>
    <w:rsid w:val="00BC26BF"/>
    <w:rsid w:val="00BC30DB"/>
    <w:rsid w:val="00BC3944"/>
    <w:rsid w:val="00BC3E89"/>
    <w:rsid w:val="00BC4253"/>
    <w:rsid w:val="00BC4ED9"/>
    <w:rsid w:val="00BC63B1"/>
    <w:rsid w:val="00BC6853"/>
    <w:rsid w:val="00BC6B16"/>
    <w:rsid w:val="00BC6C22"/>
    <w:rsid w:val="00BD18A3"/>
    <w:rsid w:val="00BD45B2"/>
    <w:rsid w:val="00BD4A58"/>
    <w:rsid w:val="00BD56EC"/>
    <w:rsid w:val="00BD6142"/>
    <w:rsid w:val="00BD72AF"/>
    <w:rsid w:val="00BD7EAA"/>
    <w:rsid w:val="00BE16FB"/>
    <w:rsid w:val="00BE21AA"/>
    <w:rsid w:val="00BE3DB3"/>
    <w:rsid w:val="00BE4307"/>
    <w:rsid w:val="00BE5C26"/>
    <w:rsid w:val="00BE6E84"/>
    <w:rsid w:val="00BF12F1"/>
    <w:rsid w:val="00BF15C9"/>
    <w:rsid w:val="00BF182B"/>
    <w:rsid w:val="00BF2334"/>
    <w:rsid w:val="00BF2694"/>
    <w:rsid w:val="00BF3E62"/>
    <w:rsid w:val="00BF5BF8"/>
    <w:rsid w:val="00BF5CB2"/>
    <w:rsid w:val="00BF6CE1"/>
    <w:rsid w:val="00C0000C"/>
    <w:rsid w:val="00C01A1E"/>
    <w:rsid w:val="00C02F12"/>
    <w:rsid w:val="00C040B9"/>
    <w:rsid w:val="00C05F57"/>
    <w:rsid w:val="00C062E0"/>
    <w:rsid w:val="00C0658D"/>
    <w:rsid w:val="00C07BC6"/>
    <w:rsid w:val="00C116CC"/>
    <w:rsid w:val="00C13A48"/>
    <w:rsid w:val="00C14930"/>
    <w:rsid w:val="00C14F68"/>
    <w:rsid w:val="00C15578"/>
    <w:rsid w:val="00C16119"/>
    <w:rsid w:val="00C16D3C"/>
    <w:rsid w:val="00C209A5"/>
    <w:rsid w:val="00C21583"/>
    <w:rsid w:val="00C234E5"/>
    <w:rsid w:val="00C23631"/>
    <w:rsid w:val="00C23CAE"/>
    <w:rsid w:val="00C24F92"/>
    <w:rsid w:val="00C24FEB"/>
    <w:rsid w:val="00C273D1"/>
    <w:rsid w:val="00C274F0"/>
    <w:rsid w:val="00C27616"/>
    <w:rsid w:val="00C30BC1"/>
    <w:rsid w:val="00C314C2"/>
    <w:rsid w:val="00C31946"/>
    <w:rsid w:val="00C31BA5"/>
    <w:rsid w:val="00C31F3A"/>
    <w:rsid w:val="00C34685"/>
    <w:rsid w:val="00C3537A"/>
    <w:rsid w:val="00C3682E"/>
    <w:rsid w:val="00C400C2"/>
    <w:rsid w:val="00C40C27"/>
    <w:rsid w:val="00C412D5"/>
    <w:rsid w:val="00C42256"/>
    <w:rsid w:val="00C42832"/>
    <w:rsid w:val="00C45EE0"/>
    <w:rsid w:val="00C46569"/>
    <w:rsid w:val="00C46828"/>
    <w:rsid w:val="00C502EA"/>
    <w:rsid w:val="00C50AD9"/>
    <w:rsid w:val="00C5113D"/>
    <w:rsid w:val="00C52999"/>
    <w:rsid w:val="00C52F4F"/>
    <w:rsid w:val="00C53159"/>
    <w:rsid w:val="00C5390F"/>
    <w:rsid w:val="00C547FC"/>
    <w:rsid w:val="00C54C55"/>
    <w:rsid w:val="00C555DF"/>
    <w:rsid w:val="00C565B1"/>
    <w:rsid w:val="00C602A7"/>
    <w:rsid w:val="00C61A4F"/>
    <w:rsid w:val="00C61E8E"/>
    <w:rsid w:val="00C63F43"/>
    <w:rsid w:val="00C655C9"/>
    <w:rsid w:val="00C6589E"/>
    <w:rsid w:val="00C663E1"/>
    <w:rsid w:val="00C70DCA"/>
    <w:rsid w:val="00C733FE"/>
    <w:rsid w:val="00C73743"/>
    <w:rsid w:val="00C74777"/>
    <w:rsid w:val="00C7553D"/>
    <w:rsid w:val="00C76627"/>
    <w:rsid w:val="00C80549"/>
    <w:rsid w:val="00C81020"/>
    <w:rsid w:val="00C8105D"/>
    <w:rsid w:val="00C81C74"/>
    <w:rsid w:val="00C837D6"/>
    <w:rsid w:val="00C8404A"/>
    <w:rsid w:val="00C85A6F"/>
    <w:rsid w:val="00C86750"/>
    <w:rsid w:val="00C86B66"/>
    <w:rsid w:val="00C86FD5"/>
    <w:rsid w:val="00C87CA5"/>
    <w:rsid w:val="00C90B9D"/>
    <w:rsid w:val="00C93448"/>
    <w:rsid w:val="00C950FC"/>
    <w:rsid w:val="00C96941"/>
    <w:rsid w:val="00C96F75"/>
    <w:rsid w:val="00CA0F40"/>
    <w:rsid w:val="00CA176C"/>
    <w:rsid w:val="00CA18B8"/>
    <w:rsid w:val="00CA1C25"/>
    <w:rsid w:val="00CA25FC"/>
    <w:rsid w:val="00CA295E"/>
    <w:rsid w:val="00CA2A08"/>
    <w:rsid w:val="00CA4791"/>
    <w:rsid w:val="00CA58C0"/>
    <w:rsid w:val="00CA602A"/>
    <w:rsid w:val="00CA6A7A"/>
    <w:rsid w:val="00CA78AB"/>
    <w:rsid w:val="00CB1D7E"/>
    <w:rsid w:val="00CB2FA7"/>
    <w:rsid w:val="00CB4F1A"/>
    <w:rsid w:val="00CB5875"/>
    <w:rsid w:val="00CB784B"/>
    <w:rsid w:val="00CC092C"/>
    <w:rsid w:val="00CC0DEA"/>
    <w:rsid w:val="00CC0E0E"/>
    <w:rsid w:val="00CC3BD8"/>
    <w:rsid w:val="00CC65B9"/>
    <w:rsid w:val="00CC7101"/>
    <w:rsid w:val="00CC76DA"/>
    <w:rsid w:val="00CD0BE0"/>
    <w:rsid w:val="00CD3FD1"/>
    <w:rsid w:val="00CD4BF3"/>
    <w:rsid w:val="00CD61D1"/>
    <w:rsid w:val="00CD7642"/>
    <w:rsid w:val="00CD7899"/>
    <w:rsid w:val="00CD7BC1"/>
    <w:rsid w:val="00CE1715"/>
    <w:rsid w:val="00CE2123"/>
    <w:rsid w:val="00CE2165"/>
    <w:rsid w:val="00CE4563"/>
    <w:rsid w:val="00CE638D"/>
    <w:rsid w:val="00CE63C6"/>
    <w:rsid w:val="00CE6C90"/>
    <w:rsid w:val="00CF0D39"/>
    <w:rsid w:val="00CF1F25"/>
    <w:rsid w:val="00CF20D2"/>
    <w:rsid w:val="00CF45DD"/>
    <w:rsid w:val="00CF5085"/>
    <w:rsid w:val="00CF51F5"/>
    <w:rsid w:val="00CF56FB"/>
    <w:rsid w:val="00CF664F"/>
    <w:rsid w:val="00CF7186"/>
    <w:rsid w:val="00CF7B9B"/>
    <w:rsid w:val="00CF7CED"/>
    <w:rsid w:val="00CF7F6A"/>
    <w:rsid w:val="00D00DD1"/>
    <w:rsid w:val="00D0146B"/>
    <w:rsid w:val="00D01478"/>
    <w:rsid w:val="00D06B46"/>
    <w:rsid w:val="00D06BC6"/>
    <w:rsid w:val="00D0788D"/>
    <w:rsid w:val="00D10260"/>
    <w:rsid w:val="00D108A3"/>
    <w:rsid w:val="00D115FD"/>
    <w:rsid w:val="00D124B4"/>
    <w:rsid w:val="00D12921"/>
    <w:rsid w:val="00D1562C"/>
    <w:rsid w:val="00D15EF4"/>
    <w:rsid w:val="00D16E74"/>
    <w:rsid w:val="00D17F78"/>
    <w:rsid w:val="00D17FE1"/>
    <w:rsid w:val="00D215A3"/>
    <w:rsid w:val="00D21FAF"/>
    <w:rsid w:val="00D233CA"/>
    <w:rsid w:val="00D2491A"/>
    <w:rsid w:val="00D2577E"/>
    <w:rsid w:val="00D25B2C"/>
    <w:rsid w:val="00D276DD"/>
    <w:rsid w:val="00D319E3"/>
    <w:rsid w:val="00D332F2"/>
    <w:rsid w:val="00D33909"/>
    <w:rsid w:val="00D35466"/>
    <w:rsid w:val="00D3593D"/>
    <w:rsid w:val="00D3711B"/>
    <w:rsid w:val="00D37CD7"/>
    <w:rsid w:val="00D41220"/>
    <w:rsid w:val="00D41A41"/>
    <w:rsid w:val="00D42B13"/>
    <w:rsid w:val="00D42C2C"/>
    <w:rsid w:val="00D43516"/>
    <w:rsid w:val="00D43582"/>
    <w:rsid w:val="00D44C3A"/>
    <w:rsid w:val="00D4626A"/>
    <w:rsid w:val="00D46338"/>
    <w:rsid w:val="00D47FBF"/>
    <w:rsid w:val="00D51319"/>
    <w:rsid w:val="00D52CB7"/>
    <w:rsid w:val="00D5316B"/>
    <w:rsid w:val="00D550DA"/>
    <w:rsid w:val="00D5623C"/>
    <w:rsid w:val="00D56D95"/>
    <w:rsid w:val="00D57793"/>
    <w:rsid w:val="00D57B02"/>
    <w:rsid w:val="00D57CF0"/>
    <w:rsid w:val="00D57D7F"/>
    <w:rsid w:val="00D60D31"/>
    <w:rsid w:val="00D62F9B"/>
    <w:rsid w:val="00D630C8"/>
    <w:rsid w:val="00D638D2"/>
    <w:rsid w:val="00D640FA"/>
    <w:rsid w:val="00D67189"/>
    <w:rsid w:val="00D67EDC"/>
    <w:rsid w:val="00D71F8E"/>
    <w:rsid w:val="00D72831"/>
    <w:rsid w:val="00D734CD"/>
    <w:rsid w:val="00D742D1"/>
    <w:rsid w:val="00D759C2"/>
    <w:rsid w:val="00D75DF9"/>
    <w:rsid w:val="00D77232"/>
    <w:rsid w:val="00D80018"/>
    <w:rsid w:val="00D8072A"/>
    <w:rsid w:val="00D818CC"/>
    <w:rsid w:val="00D8223F"/>
    <w:rsid w:val="00D83BB1"/>
    <w:rsid w:val="00D84BBA"/>
    <w:rsid w:val="00D95EE8"/>
    <w:rsid w:val="00D96D63"/>
    <w:rsid w:val="00D97256"/>
    <w:rsid w:val="00D9728B"/>
    <w:rsid w:val="00D97319"/>
    <w:rsid w:val="00DA017C"/>
    <w:rsid w:val="00DA06F7"/>
    <w:rsid w:val="00DA1441"/>
    <w:rsid w:val="00DA174B"/>
    <w:rsid w:val="00DA254E"/>
    <w:rsid w:val="00DA364D"/>
    <w:rsid w:val="00DA4798"/>
    <w:rsid w:val="00DA4A4E"/>
    <w:rsid w:val="00DA54DD"/>
    <w:rsid w:val="00DA5F31"/>
    <w:rsid w:val="00DA7187"/>
    <w:rsid w:val="00DA7692"/>
    <w:rsid w:val="00DA771D"/>
    <w:rsid w:val="00DB08D3"/>
    <w:rsid w:val="00DB1405"/>
    <w:rsid w:val="00DB16F3"/>
    <w:rsid w:val="00DB22AD"/>
    <w:rsid w:val="00DB2A07"/>
    <w:rsid w:val="00DB542B"/>
    <w:rsid w:val="00DB5641"/>
    <w:rsid w:val="00DB5CE5"/>
    <w:rsid w:val="00DB5D5B"/>
    <w:rsid w:val="00DB5FC9"/>
    <w:rsid w:val="00DB6EAB"/>
    <w:rsid w:val="00DC1433"/>
    <w:rsid w:val="00DC30E6"/>
    <w:rsid w:val="00DC5FB8"/>
    <w:rsid w:val="00DC600A"/>
    <w:rsid w:val="00DC69B4"/>
    <w:rsid w:val="00DC76E1"/>
    <w:rsid w:val="00DD09AB"/>
    <w:rsid w:val="00DD0ADA"/>
    <w:rsid w:val="00DD18A1"/>
    <w:rsid w:val="00DD2087"/>
    <w:rsid w:val="00DD2C6B"/>
    <w:rsid w:val="00DD45D8"/>
    <w:rsid w:val="00DD79AA"/>
    <w:rsid w:val="00DE0060"/>
    <w:rsid w:val="00DE00A0"/>
    <w:rsid w:val="00DE235B"/>
    <w:rsid w:val="00DE2FAD"/>
    <w:rsid w:val="00DE3057"/>
    <w:rsid w:val="00DE4B26"/>
    <w:rsid w:val="00DE6058"/>
    <w:rsid w:val="00DE696C"/>
    <w:rsid w:val="00DE6F9A"/>
    <w:rsid w:val="00DE7FA8"/>
    <w:rsid w:val="00DF008B"/>
    <w:rsid w:val="00DF230C"/>
    <w:rsid w:val="00DF2DD7"/>
    <w:rsid w:val="00DF30CC"/>
    <w:rsid w:val="00DF3B3B"/>
    <w:rsid w:val="00DF5953"/>
    <w:rsid w:val="00DF5E99"/>
    <w:rsid w:val="00DF63A3"/>
    <w:rsid w:val="00DF6FBD"/>
    <w:rsid w:val="00DF75E8"/>
    <w:rsid w:val="00DF76B0"/>
    <w:rsid w:val="00E01233"/>
    <w:rsid w:val="00E019DB"/>
    <w:rsid w:val="00E0313D"/>
    <w:rsid w:val="00E07504"/>
    <w:rsid w:val="00E077C0"/>
    <w:rsid w:val="00E07FC6"/>
    <w:rsid w:val="00E10507"/>
    <w:rsid w:val="00E1158D"/>
    <w:rsid w:val="00E12BBF"/>
    <w:rsid w:val="00E13DEE"/>
    <w:rsid w:val="00E140BD"/>
    <w:rsid w:val="00E140E0"/>
    <w:rsid w:val="00E14290"/>
    <w:rsid w:val="00E15631"/>
    <w:rsid w:val="00E16ED2"/>
    <w:rsid w:val="00E1719E"/>
    <w:rsid w:val="00E17C49"/>
    <w:rsid w:val="00E20B4D"/>
    <w:rsid w:val="00E21A4F"/>
    <w:rsid w:val="00E2501B"/>
    <w:rsid w:val="00E2569F"/>
    <w:rsid w:val="00E25B71"/>
    <w:rsid w:val="00E25C10"/>
    <w:rsid w:val="00E25C7C"/>
    <w:rsid w:val="00E26182"/>
    <w:rsid w:val="00E27534"/>
    <w:rsid w:val="00E27C8B"/>
    <w:rsid w:val="00E3185F"/>
    <w:rsid w:val="00E320C2"/>
    <w:rsid w:val="00E325ED"/>
    <w:rsid w:val="00E33AF6"/>
    <w:rsid w:val="00E33E05"/>
    <w:rsid w:val="00E340A2"/>
    <w:rsid w:val="00E34C0D"/>
    <w:rsid w:val="00E35B9C"/>
    <w:rsid w:val="00E36C03"/>
    <w:rsid w:val="00E372F0"/>
    <w:rsid w:val="00E378FB"/>
    <w:rsid w:val="00E40BCF"/>
    <w:rsid w:val="00E40D4F"/>
    <w:rsid w:val="00E4169E"/>
    <w:rsid w:val="00E4180A"/>
    <w:rsid w:val="00E41FB0"/>
    <w:rsid w:val="00E42DAB"/>
    <w:rsid w:val="00E42E97"/>
    <w:rsid w:val="00E43B57"/>
    <w:rsid w:val="00E44992"/>
    <w:rsid w:val="00E47867"/>
    <w:rsid w:val="00E47AE4"/>
    <w:rsid w:val="00E50C2D"/>
    <w:rsid w:val="00E52B0B"/>
    <w:rsid w:val="00E5417E"/>
    <w:rsid w:val="00E54484"/>
    <w:rsid w:val="00E544F6"/>
    <w:rsid w:val="00E55D7D"/>
    <w:rsid w:val="00E57BF2"/>
    <w:rsid w:val="00E620FB"/>
    <w:rsid w:val="00E64FBE"/>
    <w:rsid w:val="00E656AF"/>
    <w:rsid w:val="00E65D51"/>
    <w:rsid w:val="00E65E66"/>
    <w:rsid w:val="00E6600C"/>
    <w:rsid w:val="00E6772C"/>
    <w:rsid w:val="00E71161"/>
    <w:rsid w:val="00E71202"/>
    <w:rsid w:val="00E7310C"/>
    <w:rsid w:val="00E7373D"/>
    <w:rsid w:val="00E75C00"/>
    <w:rsid w:val="00E769DF"/>
    <w:rsid w:val="00E82780"/>
    <w:rsid w:val="00E841DC"/>
    <w:rsid w:val="00E84CD1"/>
    <w:rsid w:val="00E856CB"/>
    <w:rsid w:val="00E866A5"/>
    <w:rsid w:val="00E86BC1"/>
    <w:rsid w:val="00E87B4F"/>
    <w:rsid w:val="00E90F07"/>
    <w:rsid w:val="00E924CF"/>
    <w:rsid w:val="00E92FA9"/>
    <w:rsid w:val="00E93BBD"/>
    <w:rsid w:val="00E93C7B"/>
    <w:rsid w:val="00E950D4"/>
    <w:rsid w:val="00E95252"/>
    <w:rsid w:val="00E95B48"/>
    <w:rsid w:val="00E96D16"/>
    <w:rsid w:val="00EA047E"/>
    <w:rsid w:val="00EA1E22"/>
    <w:rsid w:val="00EA2640"/>
    <w:rsid w:val="00EA3545"/>
    <w:rsid w:val="00EA5AF6"/>
    <w:rsid w:val="00EA7352"/>
    <w:rsid w:val="00EA7A73"/>
    <w:rsid w:val="00EB0213"/>
    <w:rsid w:val="00EB0285"/>
    <w:rsid w:val="00EB05D2"/>
    <w:rsid w:val="00EB0E41"/>
    <w:rsid w:val="00EB2D12"/>
    <w:rsid w:val="00EB323F"/>
    <w:rsid w:val="00EB3CDA"/>
    <w:rsid w:val="00EB4540"/>
    <w:rsid w:val="00EB4CEA"/>
    <w:rsid w:val="00EB4D00"/>
    <w:rsid w:val="00EB5989"/>
    <w:rsid w:val="00EB766C"/>
    <w:rsid w:val="00EB783C"/>
    <w:rsid w:val="00EC0897"/>
    <w:rsid w:val="00EC1651"/>
    <w:rsid w:val="00EC35E8"/>
    <w:rsid w:val="00EC3B28"/>
    <w:rsid w:val="00EC3EF4"/>
    <w:rsid w:val="00EC4822"/>
    <w:rsid w:val="00EC588A"/>
    <w:rsid w:val="00EC5940"/>
    <w:rsid w:val="00EC5ACE"/>
    <w:rsid w:val="00EC636E"/>
    <w:rsid w:val="00EC649F"/>
    <w:rsid w:val="00EC6C27"/>
    <w:rsid w:val="00EC7186"/>
    <w:rsid w:val="00EC75D3"/>
    <w:rsid w:val="00EC767E"/>
    <w:rsid w:val="00EC7DE0"/>
    <w:rsid w:val="00ED3320"/>
    <w:rsid w:val="00ED4228"/>
    <w:rsid w:val="00ED4443"/>
    <w:rsid w:val="00ED4B28"/>
    <w:rsid w:val="00ED7BC5"/>
    <w:rsid w:val="00EE03B0"/>
    <w:rsid w:val="00EE1907"/>
    <w:rsid w:val="00EE3BF2"/>
    <w:rsid w:val="00EE5263"/>
    <w:rsid w:val="00EF04BF"/>
    <w:rsid w:val="00EF0536"/>
    <w:rsid w:val="00EF0B50"/>
    <w:rsid w:val="00EF1710"/>
    <w:rsid w:val="00EF183E"/>
    <w:rsid w:val="00EF4291"/>
    <w:rsid w:val="00EF4B1E"/>
    <w:rsid w:val="00EF537F"/>
    <w:rsid w:val="00F0133F"/>
    <w:rsid w:val="00F0137A"/>
    <w:rsid w:val="00F02742"/>
    <w:rsid w:val="00F032D8"/>
    <w:rsid w:val="00F04CCA"/>
    <w:rsid w:val="00F05485"/>
    <w:rsid w:val="00F0572E"/>
    <w:rsid w:val="00F06A52"/>
    <w:rsid w:val="00F103E6"/>
    <w:rsid w:val="00F10708"/>
    <w:rsid w:val="00F10BF0"/>
    <w:rsid w:val="00F10D76"/>
    <w:rsid w:val="00F1119E"/>
    <w:rsid w:val="00F1133A"/>
    <w:rsid w:val="00F1357E"/>
    <w:rsid w:val="00F14569"/>
    <w:rsid w:val="00F148C3"/>
    <w:rsid w:val="00F14EA2"/>
    <w:rsid w:val="00F16525"/>
    <w:rsid w:val="00F209C6"/>
    <w:rsid w:val="00F2194B"/>
    <w:rsid w:val="00F23E6A"/>
    <w:rsid w:val="00F241CC"/>
    <w:rsid w:val="00F25015"/>
    <w:rsid w:val="00F258A7"/>
    <w:rsid w:val="00F259A7"/>
    <w:rsid w:val="00F30B4B"/>
    <w:rsid w:val="00F311D8"/>
    <w:rsid w:val="00F31FEB"/>
    <w:rsid w:val="00F349A6"/>
    <w:rsid w:val="00F35AEC"/>
    <w:rsid w:val="00F36DD0"/>
    <w:rsid w:val="00F377E9"/>
    <w:rsid w:val="00F3789C"/>
    <w:rsid w:val="00F379F1"/>
    <w:rsid w:val="00F37AFF"/>
    <w:rsid w:val="00F42F42"/>
    <w:rsid w:val="00F42FC4"/>
    <w:rsid w:val="00F4591D"/>
    <w:rsid w:val="00F45E4E"/>
    <w:rsid w:val="00F47177"/>
    <w:rsid w:val="00F47838"/>
    <w:rsid w:val="00F51277"/>
    <w:rsid w:val="00F52670"/>
    <w:rsid w:val="00F54A5D"/>
    <w:rsid w:val="00F5577D"/>
    <w:rsid w:val="00F624CA"/>
    <w:rsid w:val="00F643B3"/>
    <w:rsid w:val="00F648FC"/>
    <w:rsid w:val="00F65784"/>
    <w:rsid w:val="00F65EEC"/>
    <w:rsid w:val="00F66FD0"/>
    <w:rsid w:val="00F67A12"/>
    <w:rsid w:val="00F712F9"/>
    <w:rsid w:val="00F71B57"/>
    <w:rsid w:val="00F72274"/>
    <w:rsid w:val="00F72C22"/>
    <w:rsid w:val="00F73C27"/>
    <w:rsid w:val="00F74AD7"/>
    <w:rsid w:val="00F751ED"/>
    <w:rsid w:val="00F75502"/>
    <w:rsid w:val="00F75C00"/>
    <w:rsid w:val="00F7607F"/>
    <w:rsid w:val="00F774B4"/>
    <w:rsid w:val="00F806D0"/>
    <w:rsid w:val="00F847F3"/>
    <w:rsid w:val="00F85333"/>
    <w:rsid w:val="00F86F63"/>
    <w:rsid w:val="00F87442"/>
    <w:rsid w:val="00F875A1"/>
    <w:rsid w:val="00F910FE"/>
    <w:rsid w:val="00F929F6"/>
    <w:rsid w:val="00F943C1"/>
    <w:rsid w:val="00F951D3"/>
    <w:rsid w:val="00FA0263"/>
    <w:rsid w:val="00FA30AC"/>
    <w:rsid w:val="00FA35EA"/>
    <w:rsid w:val="00FA523B"/>
    <w:rsid w:val="00FA6596"/>
    <w:rsid w:val="00FA7ACD"/>
    <w:rsid w:val="00FB14E5"/>
    <w:rsid w:val="00FB296F"/>
    <w:rsid w:val="00FB2D57"/>
    <w:rsid w:val="00FB2DFA"/>
    <w:rsid w:val="00FB2F7C"/>
    <w:rsid w:val="00FB621C"/>
    <w:rsid w:val="00FB66E8"/>
    <w:rsid w:val="00FB67A9"/>
    <w:rsid w:val="00FB79FC"/>
    <w:rsid w:val="00FC1598"/>
    <w:rsid w:val="00FC161D"/>
    <w:rsid w:val="00FC1824"/>
    <w:rsid w:val="00FC34E7"/>
    <w:rsid w:val="00FC46AD"/>
    <w:rsid w:val="00FC51E4"/>
    <w:rsid w:val="00FC564F"/>
    <w:rsid w:val="00FD0096"/>
    <w:rsid w:val="00FD01F5"/>
    <w:rsid w:val="00FD026C"/>
    <w:rsid w:val="00FD329C"/>
    <w:rsid w:val="00FD4FE8"/>
    <w:rsid w:val="00FD62F3"/>
    <w:rsid w:val="00FE09EC"/>
    <w:rsid w:val="00FE10BB"/>
    <w:rsid w:val="00FE2D6C"/>
    <w:rsid w:val="00FE3B53"/>
    <w:rsid w:val="00FE5198"/>
    <w:rsid w:val="00FE5B62"/>
    <w:rsid w:val="00FE5BD2"/>
    <w:rsid w:val="00FF0347"/>
    <w:rsid w:val="00FF1A5A"/>
    <w:rsid w:val="00FF1DD2"/>
    <w:rsid w:val="00FF2305"/>
    <w:rsid w:val="00FF246F"/>
    <w:rsid w:val="00FF2D0D"/>
    <w:rsid w:val="00FF4557"/>
    <w:rsid w:val="00FF623A"/>
    <w:rsid w:val="00FF79D6"/>
    <w:rsid w:val="00FF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008E5C"/>
  <w15:docId w15:val="{593527C3-1FB9-4E88-BAFF-8D6D612F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13784"/>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rPr>
  </w:style>
  <w:style w:type="paragraph" w:styleId="4">
    <w:name w:val="heading 4"/>
    <w:basedOn w:val="a"/>
    <w:next w:val="a"/>
    <w:link w:val="40"/>
    <w:uiPriority w:val="9"/>
    <w:semiHidden/>
    <w:unhideWhenUsed/>
    <w:qFormat/>
    <w:rsid w:val="0018263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0F97"/>
    <w:rPr>
      <w:color w:val="0563C1"/>
      <w:u w:val="single"/>
    </w:rPr>
  </w:style>
  <w:style w:type="paragraph" w:styleId="a4">
    <w:name w:val="header"/>
    <w:basedOn w:val="a"/>
    <w:link w:val="a5"/>
    <w:uiPriority w:val="99"/>
    <w:unhideWhenUsed/>
    <w:rsid w:val="00C56193"/>
    <w:pPr>
      <w:tabs>
        <w:tab w:val="center" w:pos="4252"/>
        <w:tab w:val="right" w:pos="8504"/>
      </w:tabs>
      <w:snapToGrid w:val="0"/>
    </w:pPr>
  </w:style>
  <w:style w:type="character" w:customStyle="1" w:styleId="a5">
    <w:name w:val="ヘッダー (文字)"/>
    <w:basedOn w:val="a0"/>
    <w:link w:val="a4"/>
    <w:uiPriority w:val="99"/>
    <w:rsid w:val="00C56193"/>
  </w:style>
  <w:style w:type="paragraph" w:styleId="a6">
    <w:name w:val="footer"/>
    <w:basedOn w:val="a"/>
    <w:link w:val="a7"/>
    <w:unhideWhenUsed/>
    <w:rsid w:val="00C56193"/>
    <w:pPr>
      <w:tabs>
        <w:tab w:val="center" w:pos="4252"/>
        <w:tab w:val="right" w:pos="8504"/>
      </w:tabs>
      <w:snapToGrid w:val="0"/>
    </w:pPr>
  </w:style>
  <w:style w:type="character" w:customStyle="1" w:styleId="a7">
    <w:name w:val="フッター (文字)"/>
    <w:basedOn w:val="a0"/>
    <w:link w:val="a6"/>
    <w:uiPriority w:val="99"/>
    <w:rsid w:val="00C56193"/>
  </w:style>
  <w:style w:type="paragraph" w:styleId="a8">
    <w:name w:val="caption"/>
    <w:basedOn w:val="a"/>
    <w:next w:val="a"/>
    <w:uiPriority w:val="35"/>
    <w:unhideWhenUsed/>
    <w:qFormat/>
    <w:rsid w:val="001A040D"/>
    <w:rPr>
      <w:b/>
      <w:bCs/>
      <w:szCs w:val="21"/>
    </w:rPr>
  </w:style>
  <w:style w:type="character" w:styleId="a9">
    <w:name w:val="annotation reference"/>
    <w:uiPriority w:val="99"/>
    <w:semiHidden/>
    <w:unhideWhenUsed/>
    <w:rsid w:val="006017C1"/>
    <w:rPr>
      <w:sz w:val="18"/>
      <w:szCs w:val="18"/>
    </w:rPr>
  </w:style>
  <w:style w:type="paragraph" w:styleId="aa">
    <w:name w:val="annotation text"/>
    <w:basedOn w:val="a"/>
    <w:link w:val="ab"/>
    <w:uiPriority w:val="99"/>
    <w:unhideWhenUsed/>
    <w:rsid w:val="006017C1"/>
  </w:style>
  <w:style w:type="character" w:customStyle="1" w:styleId="ab">
    <w:name w:val="コメント文字列 (文字)"/>
    <w:basedOn w:val="a0"/>
    <w:link w:val="aa"/>
    <w:uiPriority w:val="99"/>
    <w:rsid w:val="006017C1"/>
  </w:style>
  <w:style w:type="paragraph" w:styleId="ac">
    <w:name w:val="annotation subject"/>
    <w:basedOn w:val="aa"/>
    <w:next w:val="aa"/>
    <w:link w:val="ad"/>
    <w:uiPriority w:val="99"/>
    <w:semiHidden/>
    <w:unhideWhenUsed/>
    <w:rsid w:val="006017C1"/>
    <w:rPr>
      <w:b/>
      <w:bCs/>
    </w:rPr>
  </w:style>
  <w:style w:type="character" w:customStyle="1" w:styleId="ad">
    <w:name w:val="コメント内容 (文字)"/>
    <w:link w:val="ac"/>
    <w:uiPriority w:val="99"/>
    <w:semiHidden/>
    <w:rsid w:val="006017C1"/>
    <w:rPr>
      <w:b/>
      <w:bCs/>
    </w:rPr>
  </w:style>
  <w:style w:type="paragraph" w:styleId="ae">
    <w:name w:val="Balloon Text"/>
    <w:basedOn w:val="a"/>
    <w:link w:val="af"/>
    <w:uiPriority w:val="99"/>
    <w:semiHidden/>
    <w:unhideWhenUsed/>
    <w:rsid w:val="006017C1"/>
    <w:rPr>
      <w:rFonts w:ascii="Arial" w:eastAsia="ＭＳ ゴシック" w:hAnsi="Arial"/>
      <w:sz w:val="18"/>
      <w:szCs w:val="18"/>
    </w:rPr>
  </w:style>
  <w:style w:type="character" w:customStyle="1" w:styleId="af">
    <w:name w:val="吹き出し (文字)"/>
    <w:link w:val="ae"/>
    <w:uiPriority w:val="99"/>
    <w:semiHidden/>
    <w:rsid w:val="006017C1"/>
    <w:rPr>
      <w:rFonts w:ascii="Arial" w:eastAsia="ＭＳ ゴシック" w:hAnsi="Arial" w:cs="Times New Roman"/>
      <w:sz w:val="18"/>
      <w:szCs w:val="18"/>
    </w:rPr>
  </w:style>
  <w:style w:type="character" w:styleId="af0">
    <w:name w:val="line number"/>
    <w:basedOn w:val="a0"/>
    <w:uiPriority w:val="99"/>
    <w:semiHidden/>
    <w:unhideWhenUsed/>
    <w:rsid w:val="00761F67"/>
  </w:style>
  <w:style w:type="character" w:styleId="af1">
    <w:name w:val="Placeholder Text"/>
    <w:uiPriority w:val="99"/>
    <w:semiHidden/>
    <w:rsid w:val="00ED28CF"/>
    <w:rPr>
      <w:color w:val="808080"/>
    </w:rPr>
  </w:style>
  <w:style w:type="paragraph" w:styleId="af2">
    <w:name w:val="Title"/>
    <w:basedOn w:val="a"/>
    <w:pPr>
      <w:spacing w:after="300"/>
    </w:pPr>
    <w:rPr>
      <w:color w:val="17365D"/>
      <w:sz w:val="52"/>
    </w:rPr>
  </w:style>
  <w:style w:type="paragraph" w:styleId="af3">
    <w:name w:val="Subtitle"/>
    <w:basedOn w:val="a"/>
    <w:rPr>
      <w:i/>
      <w:color w:val="4F81BD"/>
    </w:rPr>
  </w:style>
  <w:style w:type="paragraph" w:customStyle="1" w:styleId="af4">
    <w:name w:val="ヘッダとフッタ"/>
    <w:rsid w:val="00E40D4F"/>
    <w:pPr>
      <w:pBdr>
        <w:top w:val="nil"/>
        <w:left w:val="nil"/>
        <w:bottom w:val="nil"/>
        <w:right w:val="nil"/>
        <w:between w:val="nil"/>
        <w:bar w:val="nil"/>
      </w:pBdr>
      <w:tabs>
        <w:tab w:val="right" w:pos="9020"/>
      </w:tabs>
    </w:pPr>
    <w:rPr>
      <w:rFonts w:ascii="ヒラギノ角ゴ ProN W3" w:eastAsia="Arial Unicode MS" w:hAnsi="ヒラギノ角ゴ ProN W3" w:cs="Arial Unicode MS"/>
      <w:color w:val="000000"/>
      <w:szCs w:val="24"/>
      <w:bdr w:val="nil"/>
    </w:rPr>
  </w:style>
  <w:style w:type="paragraph" w:styleId="af5">
    <w:name w:val="List Paragraph"/>
    <w:basedOn w:val="a"/>
    <w:uiPriority w:val="34"/>
    <w:qFormat/>
    <w:rsid w:val="00663B3E"/>
    <w:pPr>
      <w:ind w:leftChars="400" w:left="840"/>
    </w:pPr>
  </w:style>
  <w:style w:type="paragraph" w:styleId="af6">
    <w:name w:val="Revision"/>
    <w:hidden/>
    <w:uiPriority w:val="99"/>
    <w:semiHidden/>
    <w:rsid w:val="00133CC8"/>
  </w:style>
  <w:style w:type="character" w:customStyle="1" w:styleId="UnresolvedMention1">
    <w:name w:val="Unresolved Mention1"/>
    <w:basedOn w:val="a0"/>
    <w:uiPriority w:val="99"/>
    <w:semiHidden/>
    <w:unhideWhenUsed/>
    <w:rsid w:val="009C0051"/>
    <w:rPr>
      <w:color w:val="605E5C"/>
      <w:shd w:val="clear" w:color="auto" w:fill="E1DFDD"/>
    </w:rPr>
  </w:style>
  <w:style w:type="character" w:styleId="af7">
    <w:name w:val="FollowedHyperlink"/>
    <w:basedOn w:val="a0"/>
    <w:uiPriority w:val="99"/>
    <w:semiHidden/>
    <w:unhideWhenUsed/>
    <w:rsid w:val="00494516"/>
    <w:rPr>
      <w:color w:val="954F72" w:themeColor="followedHyperlink"/>
      <w:u w:val="single"/>
    </w:rPr>
  </w:style>
  <w:style w:type="paragraph" w:styleId="af8">
    <w:name w:val="No Spacing"/>
    <w:uiPriority w:val="1"/>
    <w:qFormat/>
    <w:rsid w:val="00F103E6"/>
  </w:style>
  <w:style w:type="character" w:customStyle="1" w:styleId="10">
    <w:name w:val="未解決のメンション1"/>
    <w:basedOn w:val="a0"/>
    <w:uiPriority w:val="99"/>
    <w:semiHidden/>
    <w:unhideWhenUsed/>
    <w:rsid w:val="00A52F28"/>
    <w:rPr>
      <w:color w:val="605E5C"/>
      <w:shd w:val="clear" w:color="auto" w:fill="E1DFDD"/>
    </w:rPr>
  </w:style>
  <w:style w:type="character" w:customStyle="1" w:styleId="20">
    <w:name w:val="未解決のメンション2"/>
    <w:basedOn w:val="a0"/>
    <w:uiPriority w:val="99"/>
    <w:semiHidden/>
    <w:unhideWhenUsed/>
    <w:rsid w:val="0018263D"/>
    <w:rPr>
      <w:color w:val="605E5C"/>
      <w:shd w:val="clear" w:color="auto" w:fill="E1DFDD"/>
    </w:rPr>
  </w:style>
  <w:style w:type="character" w:customStyle="1" w:styleId="40">
    <w:name w:val="見出し 4 (文字)"/>
    <w:basedOn w:val="a0"/>
    <w:link w:val="4"/>
    <w:uiPriority w:val="9"/>
    <w:semiHidden/>
    <w:rsid w:val="0018263D"/>
    <w:rPr>
      <w:b/>
      <w:bCs/>
    </w:rPr>
  </w:style>
  <w:style w:type="character" w:customStyle="1" w:styleId="UnresolvedMention2">
    <w:name w:val="Unresolved Mention2"/>
    <w:basedOn w:val="a0"/>
    <w:uiPriority w:val="99"/>
    <w:semiHidden/>
    <w:unhideWhenUsed/>
    <w:rsid w:val="00684E41"/>
    <w:rPr>
      <w:color w:val="605E5C"/>
      <w:shd w:val="clear" w:color="auto" w:fill="E1DFDD"/>
    </w:rPr>
  </w:style>
  <w:style w:type="character" w:customStyle="1" w:styleId="30">
    <w:name w:val="未解決のメンション3"/>
    <w:basedOn w:val="a0"/>
    <w:uiPriority w:val="99"/>
    <w:semiHidden/>
    <w:unhideWhenUsed/>
    <w:rsid w:val="00BA4639"/>
    <w:rPr>
      <w:color w:val="605E5C"/>
      <w:shd w:val="clear" w:color="auto" w:fill="E1DFDD"/>
    </w:rPr>
  </w:style>
  <w:style w:type="character" w:styleId="af9">
    <w:name w:val="Unresolved Mention"/>
    <w:basedOn w:val="a0"/>
    <w:uiPriority w:val="99"/>
    <w:semiHidden/>
    <w:unhideWhenUsed/>
    <w:rsid w:val="0030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614">
      <w:bodyDiv w:val="1"/>
      <w:marLeft w:val="0"/>
      <w:marRight w:val="0"/>
      <w:marTop w:val="0"/>
      <w:marBottom w:val="0"/>
      <w:divBdr>
        <w:top w:val="none" w:sz="0" w:space="0" w:color="auto"/>
        <w:left w:val="none" w:sz="0" w:space="0" w:color="auto"/>
        <w:bottom w:val="none" w:sz="0" w:space="0" w:color="auto"/>
        <w:right w:val="none" w:sz="0" w:space="0" w:color="auto"/>
      </w:divBdr>
    </w:div>
    <w:div w:id="141393377">
      <w:bodyDiv w:val="1"/>
      <w:marLeft w:val="0"/>
      <w:marRight w:val="0"/>
      <w:marTop w:val="0"/>
      <w:marBottom w:val="0"/>
      <w:divBdr>
        <w:top w:val="none" w:sz="0" w:space="0" w:color="auto"/>
        <w:left w:val="none" w:sz="0" w:space="0" w:color="auto"/>
        <w:bottom w:val="none" w:sz="0" w:space="0" w:color="auto"/>
        <w:right w:val="none" w:sz="0" w:space="0" w:color="auto"/>
      </w:divBdr>
    </w:div>
    <w:div w:id="204176157">
      <w:bodyDiv w:val="1"/>
      <w:marLeft w:val="0"/>
      <w:marRight w:val="0"/>
      <w:marTop w:val="0"/>
      <w:marBottom w:val="0"/>
      <w:divBdr>
        <w:top w:val="none" w:sz="0" w:space="0" w:color="auto"/>
        <w:left w:val="none" w:sz="0" w:space="0" w:color="auto"/>
        <w:bottom w:val="none" w:sz="0" w:space="0" w:color="auto"/>
        <w:right w:val="none" w:sz="0" w:space="0" w:color="auto"/>
      </w:divBdr>
    </w:div>
    <w:div w:id="222837468">
      <w:bodyDiv w:val="1"/>
      <w:marLeft w:val="0"/>
      <w:marRight w:val="0"/>
      <w:marTop w:val="0"/>
      <w:marBottom w:val="0"/>
      <w:divBdr>
        <w:top w:val="none" w:sz="0" w:space="0" w:color="auto"/>
        <w:left w:val="none" w:sz="0" w:space="0" w:color="auto"/>
        <w:bottom w:val="none" w:sz="0" w:space="0" w:color="auto"/>
        <w:right w:val="none" w:sz="0" w:space="0" w:color="auto"/>
      </w:divBdr>
    </w:div>
    <w:div w:id="275404612">
      <w:bodyDiv w:val="1"/>
      <w:marLeft w:val="0"/>
      <w:marRight w:val="0"/>
      <w:marTop w:val="0"/>
      <w:marBottom w:val="0"/>
      <w:divBdr>
        <w:top w:val="none" w:sz="0" w:space="0" w:color="auto"/>
        <w:left w:val="none" w:sz="0" w:space="0" w:color="auto"/>
        <w:bottom w:val="none" w:sz="0" w:space="0" w:color="auto"/>
        <w:right w:val="none" w:sz="0" w:space="0" w:color="auto"/>
      </w:divBdr>
    </w:div>
    <w:div w:id="281771699">
      <w:bodyDiv w:val="1"/>
      <w:marLeft w:val="0"/>
      <w:marRight w:val="0"/>
      <w:marTop w:val="0"/>
      <w:marBottom w:val="0"/>
      <w:divBdr>
        <w:top w:val="none" w:sz="0" w:space="0" w:color="auto"/>
        <w:left w:val="none" w:sz="0" w:space="0" w:color="auto"/>
        <w:bottom w:val="none" w:sz="0" w:space="0" w:color="auto"/>
        <w:right w:val="none" w:sz="0" w:space="0" w:color="auto"/>
      </w:divBdr>
    </w:div>
    <w:div w:id="352803476">
      <w:bodyDiv w:val="1"/>
      <w:marLeft w:val="0"/>
      <w:marRight w:val="0"/>
      <w:marTop w:val="0"/>
      <w:marBottom w:val="0"/>
      <w:divBdr>
        <w:top w:val="none" w:sz="0" w:space="0" w:color="auto"/>
        <w:left w:val="none" w:sz="0" w:space="0" w:color="auto"/>
        <w:bottom w:val="none" w:sz="0" w:space="0" w:color="auto"/>
        <w:right w:val="none" w:sz="0" w:space="0" w:color="auto"/>
      </w:divBdr>
    </w:div>
    <w:div w:id="376513778">
      <w:bodyDiv w:val="1"/>
      <w:marLeft w:val="0"/>
      <w:marRight w:val="0"/>
      <w:marTop w:val="0"/>
      <w:marBottom w:val="0"/>
      <w:divBdr>
        <w:top w:val="none" w:sz="0" w:space="0" w:color="auto"/>
        <w:left w:val="none" w:sz="0" w:space="0" w:color="auto"/>
        <w:bottom w:val="none" w:sz="0" w:space="0" w:color="auto"/>
        <w:right w:val="none" w:sz="0" w:space="0" w:color="auto"/>
      </w:divBdr>
    </w:div>
    <w:div w:id="392117153">
      <w:bodyDiv w:val="1"/>
      <w:marLeft w:val="0"/>
      <w:marRight w:val="0"/>
      <w:marTop w:val="0"/>
      <w:marBottom w:val="0"/>
      <w:divBdr>
        <w:top w:val="none" w:sz="0" w:space="0" w:color="auto"/>
        <w:left w:val="none" w:sz="0" w:space="0" w:color="auto"/>
        <w:bottom w:val="none" w:sz="0" w:space="0" w:color="auto"/>
        <w:right w:val="none" w:sz="0" w:space="0" w:color="auto"/>
      </w:divBdr>
    </w:div>
    <w:div w:id="440226740">
      <w:bodyDiv w:val="1"/>
      <w:marLeft w:val="0"/>
      <w:marRight w:val="0"/>
      <w:marTop w:val="0"/>
      <w:marBottom w:val="0"/>
      <w:divBdr>
        <w:top w:val="none" w:sz="0" w:space="0" w:color="auto"/>
        <w:left w:val="none" w:sz="0" w:space="0" w:color="auto"/>
        <w:bottom w:val="none" w:sz="0" w:space="0" w:color="auto"/>
        <w:right w:val="none" w:sz="0" w:space="0" w:color="auto"/>
      </w:divBdr>
    </w:div>
    <w:div w:id="702946077">
      <w:bodyDiv w:val="1"/>
      <w:marLeft w:val="0"/>
      <w:marRight w:val="0"/>
      <w:marTop w:val="0"/>
      <w:marBottom w:val="0"/>
      <w:divBdr>
        <w:top w:val="none" w:sz="0" w:space="0" w:color="auto"/>
        <w:left w:val="none" w:sz="0" w:space="0" w:color="auto"/>
        <w:bottom w:val="none" w:sz="0" w:space="0" w:color="auto"/>
        <w:right w:val="none" w:sz="0" w:space="0" w:color="auto"/>
      </w:divBdr>
    </w:div>
    <w:div w:id="754329224">
      <w:bodyDiv w:val="1"/>
      <w:marLeft w:val="0"/>
      <w:marRight w:val="0"/>
      <w:marTop w:val="0"/>
      <w:marBottom w:val="0"/>
      <w:divBdr>
        <w:top w:val="none" w:sz="0" w:space="0" w:color="auto"/>
        <w:left w:val="none" w:sz="0" w:space="0" w:color="auto"/>
        <w:bottom w:val="none" w:sz="0" w:space="0" w:color="auto"/>
        <w:right w:val="none" w:sz="0" w:space="0" w:color="auto"/>
      </w:divBdr>
    </w:div>
    <w:div w:id="814184707">
      <w:bodyDiv w:val="1"/>
      <w:marLeft w:val="0"/>
      <w:marRight w:val="0"/>
      <w:marTop w:val="0"/>
      <w:marBottom w:val="0"/>
      <w:divBdr>
        <w:top w:val="none" w:sz="0" w:space="0" w:color="auto"/>
        <w:left w:val="none" w:sz="0" w:space="0" w:color="auto"/>
        <w:bottom w:val="none" w:sz="0" w:space="0" w:color="auto"/>
        <w:right w:val="none" w:sz="0" w:space="0" w:color="auto"/>
      </w:divBdr>
    </w:div>
    <w:div w:id="986326398">
      <w:bodyDiv w:val="1"/>
      <w:marLeft w:val="0"/>
      <w:marRight w:val="0"/>
      <w:marTop w:val="0"/>
      <w:marBottom w:val="0"/>
      <w:divBdr>
        <w:top w:val="none" w:sz="0" w:space="0" w:color="auto"/>
        <w:left w:val="none" w:sz="0" w:space="0" w:color="auto"/>
        <w:bottom w:val="none" w:sz="0" w:space="0" w:color="auto"/>
        <w:right w:val="none" w:sz="0" w:space="0" w:color="auto"/>
      </w:divBdr>
    </w:div>
    <w:div w:id="1265042164">
      <w:bodyDiv w:val="1"/>
      <w:marLeft w:val="0"/>
      <w:marRight w:val="0"/>
      <w:marTop w:val="0"/>
      <w:marBottom w:val="0"/>
      <w:divBdr>
        <w:top w:val="none" w:sz="0" w:space="0" w:color="auto"/>
        <w:left w:val="none" w:sz="0" w:space="0" w:color="auto"/>
        <w:bottom w:val="none" w:sz="0" w:space="0" w:color="auto"/>
        <w:right w:val="none" w:sz="0" w:space="0" w:color="auto"/>
      </w:divBdr>
    </w:div>
    <w:div w:id="1420832986">
      <w:bodyDiv w:val="1"/>
      <w:marLeft w:val="0"/>
      <w:marRight w:val="0"/>
      <w:marTop w:val="0"/>
      <w:marBottom w:val="0"/>
      <w:divBdr>
        <w:top w:val="none" w:sz="0" w:space="0" w:color="auto"/>
        <w:left w:val="none" w:sz="0" w:space="0" w:color="auto"/>
        <w:bottom w:val="none" w:sz="0" w:space="0" w:color="auto"/>
        <w:right w:val="none" w:sz="0" w:space="0" w:color="auto"/>
      </w:divBdr>
    </w:div>
    <w:div w:id="1624651398">
      <w:bodyDiv w:val="1"/>
      <w:marLeft w:val="0"/>
      <w:marRight w:val="0"/>
      <w:marTop w:val="0"/>
      <w:marBottom w:val="0"/>
      <w:divBdr>
        <w:top w:val="none" w:sz="0" w:space="0" w:color="auto"/>
        <w:left w:val="none" w:sz="0" w:space="0" w:color="auto"/>
        <w:bottom w:val="none" w:sz="0" w:space="0" w:color="auto"/>
        <w:right w:val="none" w:sz="0" w:space="0" w:color="auto"/>
      </w:divBdr>
    </w:div>
    <w:div w:id="1743793112">
      <w:bodyDiv w:val="1"/>
      <w:marLeft w:val="0"/>
      <w:marRight w:val="0"/>
      <w:marTop w:val="0"/>
      <w:marBottom w:val="0"/>
      <w:divBdr>
        <w:top w:val="none" w:sz="0" w:space="0" w:color="auto"/>
        <w:left w:val="none" w:sz="0" w:space="0" w:color="auto"/>
        <w:bottom w:val="none" w:sz="0" w:space="0" w:color="auto"/>
        <w:right w:val="none" w:sz="0" w:space="0" w:color="auto"/>
      </w:divBdr>
    </w:div>
    <w:div w:id="1746607859">
      <w:bodyDiv w:val="1"/>
      <w:marLeft w:val="0"/>
      <w:marRight w:val="0"/>
      <w:marTop w:val="0"/>
      <w:marBottom w:val="0"/>
      <w:divBdr>
        <w:top w:val="none" w:sz="0" w:space="0" w:color="auto"/>
        <w:left w:val="none" w:sz="0" w:space="0" w:color="auto"/>
        <w:bottom w:val="none" w:sz="0" w:space="0" w:color="auto"/>
        <w:right w:val="none" w:sz="0" w:space="0" w:color="auto"/>
      </w:divBdr>
    </w:div>
    <w:div w:id="1797213627">
      <w:bodyDiv w:val="1"/>
      <w:marLeft w:val="0"/>
      <w:marRight w:val="0"/>
      <w:marTop w:val="0"/>
      <w:marBottom w:val="0"/>
      <w:divBdr>
        <w:top w:val="none" w:sz="0" w:space="0" w:color="auto"/>
        <w:left w:val="none" w:sz="0" w:space="0" w:color="auto"/>
        <w:bottom w:val="none" w:sz="0" w:space="0" w:color="auto"/>
        <w:right w:val="none" w:sz="0" w:space="0" w:color="auto"/>
      </w:divBdr>
    </w:div>
    <w:div w:id="1859387510">
      <w:bodyDiv w:val="1"/>
      <w:marLeft w:val="0"/>
      <w:marRight w:val="0"/>
      <w:marTop w:val="0"/>
      <w:marBottom w:val="0"/>
      <w:divBdr>
        <w:top w:val="none" w:sz="0" w:space="0" w:color="auto"/>
        <w:left w:val="none" w:sz="0" w:space="0" w:color="auto"/>
        <w:bottom w:val="none" w:sz="0" w:space="0" w:color="auto"/>
        <w:right w:val="none" w:sz="0" w:space="0" w:color="auto"/>
      </w:divBdr>
    </w:div>
    <w:div w:id="1937789505">
      <w:bodyDiv w:val="1"/>
      <w:marLeft w:val="0"/>
      <w:marRight w:val="0"/>
      <w:marTop w:val="0"/>
      <w:marBottom w:val="0"/>
      <w:divBdr>
        <w:top w:val="none" w:sz="0" w:space="0" w:color="auto"/>
        <w:left w:val="none" w:sz="0" w:space="0" w:color="auto"/>
        <w:bottom w:val="none" w:sz="0" w:space="0" w:color="auto"/>
        <w:right w:val="none" w:sz="0" w:space="0" w:color="auto"/>
      </w:divBdr>
    </w:div>
    <w:div w:id="1941797720">
      <w:bodyDiv w:val="1"/>
      <w:marLeft w:val="0"/>
      <w:marRight w:val="0"/>
      <w:marTop w:val="0"/>
      <w:marBottom w:val="0"/>
      <w:divBdr>
        <w:top w:val="none" w:sz="0" w:space="0" w:color="auto"/>
        <w:left w:val="none" w:sz="0" w:space="0" w:color="auto"/>
        <w:bottom w:val="none" w:sz="0" w:space="0" w:color="auto"/>
        <w:right w:val="none" w:sz="0" w:space="0" w:color="auto"/>
      </w:divBdr>
    </w:div>
    <w:div w:id="2016833966">
      <w:bodyDiv w:val="1"/>
      <w:marLeft w:val="0"/>
      <w:marRight w:val="0"/>
      <w:marTop w:val="0"/>
      <w:marBottom w:val="0"/>
      <w:divBdr>
        <w:top w:val="none" w:sz="0" w:space="0" w:color="auto"/>
        <w:left w:val="none" w:sz="0" w:space="0" w:color="auto"/>
        <w:bottom w:val="none" w:sz="0" w:space="0" w:color="auto"/>
        <w:right w:val="none" w:sz="0" w:space="0" w:color="auto"/>
      </w:divBdr>
    </w:div>
    <w:div w:id="2039964242">
      <w:bodyDiv w:val="1"/>
      <w:marLeft w:val="0"/>
      <w:marRight w:val="0"/>
      <w:marTop w:val="0"/>
      <w:marBottom w:val="0"/>
      <w:divBdr>
        <w:top w:val="none" w:sz="0" w:space="0" w:color="auto"/>
        <w:left w:val="none" w:sz="0" w:space="0" w:color="auto"/>
        <w:bottom w:val="none" w:sz="0" w:space="0" w:color="auto"/>
        <w:right w:val="none" w:sz="0" w:space="0" w:color="auto"/>
      </w:divBdr>
    </w:div>
    <w:div w:id="2048723095">
      <w:bodyDiv w:val="1"/>
      <w:marLeft w:val="0"/>
      <w:marRight w:val="0"/>
      <w:marTop w:val="0"/>
      <w:marBottom w:val="0"/>
      <w:divBdr>
        <w:top w:val="none" w:sz="0" w:space="0" w:color="auto"/>
        <w:left w:val="none" w:sz="0" w:space="0" w:color="auto"/>
        <w:bottom w:val="none" w:sz="0" w:space="0" w:color="auto"/>
        <w:right w:val="none" w:sz="0" w:space="0" w:color="auto"/>
      </w:divBdr>
    </w:div>
    <w:div w:id="209134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21" Type="http://schemas.openxmlformats.org/officeDocument/2006/relationships/webSettings" Target="webSettings.xml"/><Relationship Id="rId34"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image" Target="media/image4.png"/><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BE284-EA68-4FA7-ACD4-F6701E963B09}">
  <ds:schemaRefs>
    <ds:schemaRef ds:uri="http://schemas.openxmlformats.org/officeDocument/2006/bibliography"/>
  </ds:schemaRefs>
</ds:datastoreItem>
</file>

<file path=customXml/itemProps10.xml><?xml version="1.0" encoding="utf-8"?>
<ds:datastoreItem xmlns:ds="http://schemas.openxmlformats.org/officeDocument/2006/customXml" ds:itemID="{4FEB91B0-53F7-4C8D-AFBD-77E0BEA527AE}">
  <ds:schemaRefs>
    <ds:schemaRef ds:uri="http://schemas.openxmlformats.org/officeDocument/2006/bibliography"/>
  </ds:schemaRefs>
</ds:datastoreItem>
</file>

<file path=customXml/itemProps11.xml><?xml version="1.0" encoding="utf-8"?>
<ds:datastoreItem xmlns:ds="http://schemas.openxmlformats.org/officeDocument/2006/customXml" ds:itemID="{2CD932AB-9EFD-443E-8145-5A0E909FFC7C}">
  <ds:schemaRefs>
    <ds:schemaRef ds:uri="http://schemas.openxmlformats.org/officeDocument/2006/bibliography"/>
  </ds:schemaRefs>
</ds:datastoreItem>
</file>

<file path=customXml/itemProps12.xml><?xml version="1.0" encoding="utf-8"?>
<ds:datastoreItem xmlns:ds="http://schemas.openxmlformats.org/officeDocument/2006/customXml" ds:itemID="{9D708AD4-A7BC-429C-8B57-6792240DEE55}">
  <ds:schemaRefs>
    <ds:schemaRef ds:uri="http://schemas.openxmlformats.org/officeDocument/2006/bibliography"/>
  </ds:schemaRefs>
</ds:datastoreItem>
</file>

<file path=customXml/itemProps13.xml><?xml version="1.0" encoding="utf-8"?>
<ds:datastoreItem xmlns:ds="http://schemas.openxmlformats.org/officeDocument/2006/customXml" ds:itemID="{8398A6DC-67FA-4204-BAB7-4E75C40433BC}">
  <ds:schemaRefs>
    <ds:schemaRef ds:uri="http://schemas.openxmlformats.org/officeDocument/2006/bibliography"/>
  </ds:schemaRefs>
</ds:datastoreItem>
</file>

<file path=customXml/itemProps14.xml><?xml version="1.0" encoding="utf-8"?>
<ds:datastoreItem xmlns:ds="http://schemas.openxmlformats.org/officeDocument/2006/customXml" ds:itemID="{321B7356-9A4D-4F6A-973C-20C5A6B5B774}">
  <ds:schemaRefs>
    <ds:schemaRef ds:uri="http://schemas.openxmlformats.org/officeDocument/2006/bibliography"/>
  </ds:schemaRefs>
</ds:datastoreItem>
</file>

<file path=customXml/itemProps15.xml><?xml version="1.0" encoding="utf-8"?>
<ds:datastoreItem xmlns:ds="http://schemas.openxmlformats.org/officeDocument/2006/customXml" ds:itemID="{A89F1FBF-4EAC-4BE4-B0BF-480AD6B7567A}">
  <ds:schemaRefs>
    <ds:schemaRef ds:uri="http://schemas.openxmlformats.org/officeDocument/2006/bibliography"/>
  </ds:schemaRefs>
</ds:datastoreItem>
</file>

<file path=customXml/itemProps16.xml><?xml version="1.0" encoding="utf-8"?>
<ds:datastoreItem xmlns:ds="http://schemas.openxmlformats.org/officeDocument/2006/customXml" ds:itemID="{CDC2BCA0-F675-4CA0-9CF6-0974BE977DEC}">
  <ds:schemaRefs>
    <ds:schemaRef ds:uri="http://schemas.openxmlformats.org/officeDocument/2006/bibliography"/>
  </ds:schemaRefs>
</ds:datastoreItem>
</file>

<file path=customXml/itemProps17.xml><?xml version="1.0" encoding="utf-8"?>
<ds:datastoreItem xmlns:ds="http://schemas.openxmlformats.org/officeDocument/2006/customXml" ds:itemID="{A1CC6BE8-BE73-4225-ADEB-93C50DD8126C}">
  <ds:schemaRefs>
    <ds:schemaRef ds:uri="http://schemas.openxmlformats.org/officeDocument/2006/bibliography"/>
  </ds:schemaRefs>
</ds:datastoreItem>
</file>

<file path=customXml/itemProps2.xml><?xml version="1.0" encoding="utf-8"?>
<ds:datastoreItem xmlns:ds="http://schemas.openxmlformats.org/officeDocument/2006/customXml" ds:itemID="{1D95BA76-A1F9-48F2-AFAB-2A8FC3181310}">
  <ds:schemaRefs>
    <ds:schemaRef ds:uri="http://schemas.openxmlformats.org/officeDocument/2006/bibliography"/>
  </ds:schemaRefs>
</ds:datastoreItem>
</file>

<file path=customXml/itemProps3.xml><?xml version="1.0" encoding="utf-8"?>
<ds:datastoreItem xmlns:ds="http://schemas.openxmlformats.org/officeDocument/2006/customXml" ds:itemID="{6B145DB9-B421-4E30-893F-6AA83DB1636C}">
  <ds:schemaRefs>
    <ds:schemaRef ds:uri="http://schemas.openxmlformats.org/officeDocument/2006/bibliography"/>
  </ds:schemaRefs>
</ds:datastoreItem>
</file>

<file path=customXml/itemProps4.xml><?xml version="1.0" encoding="utf-8"?>
<ds:datastoreItem xmlns:ds="http://schemas.openxmlformats.org/officeDocument/2006/customXml" ds:itemID="{630B0253-C8BA-4595-9374-DEA5FE929BA8}">
  <ds:schemaRefs>
    <ds:schemaRef ds:uri="http://schemas.openxmlformats.org/officeDocument/2006/bibliography"/>
  </ds:schemaRefs>
</ds:datastoreItem>
</file>

<file path=customXml/itemProps5.xml><?xml version="1.0" encoding="utf-8"?>
<ds:datastoreItem xmlns:ds="http://schemas.openxmlformats.org/officeDocument/2006/customXml" ds:itemID="{4ED4E034-6758-4954-8B3B-079EEAAC6061}">
  <ds:schemaRefs>
    <ds:schemaRef ds:uri="http://schemas.openxmlformats.org/officeDocument/2006/bibliography"/>
  </ds:schemaRefs>
</ds:datastoreItem>
</file>

<file path=customXml/itemProps6.xml><?xml version="1.0" encoding="utf-8"?>
<ds:datastoreItem xmlns:ds="http://schemas.openxmlformats.org/officeDocument/2006/customXml" ds:itemID="{7AB3065D-B1D9-4FA8-97F9-CDCEF8D3D758}">
  <ds:schemaRefs>
    <ds:schemaRef ds:uri="http://schemas.openxmlformats.org/officeDocument/2006/bibliography"/>
  </ds:schemaRefs>
</ds:datastoreItem>
</file>

<file path=customXml/itemProps7.xml><?xml version="1.0" encoding="utf-8"?>
<ds:datastoreItem xmlns:ds="http://schemas.openxmlformats.org/officeDocument/2006/customXml" ds:itemID="{6B041362-DEA5-41D8-AF56-13E5D30626A4}">
  <ds:schemaRefs>
    <ds:schemaRef ds:uri="http://schemas.openxmlformats.org/officeDocument/2006/bibliography"/>
  </ds:schemaRefs>
</ds:datastoreItem>
</file>

<file path=customXml/itemProps8.xml><?xml version="1.0" encoding="utf-8"?>
<ds:datastoreItem xmlns:ds="http://schemas.openxmlformats.org/officeDocument/2006/customXml" ds:itemID="{991A8C28-1B3E-474A-A959-88AA1271B277}">
  <ds:schemaRefs>
    <ds:schemaRef ds:uri="http://schemas.openxmlformats.org/officeDocument/2006/bibliography"/>
  </ds:schemaRefs>
</ds:datastoreItem>
</file>

<file path=customXml/itemProps9.xml><?xml version="1.0" encoding="utf-8"?>
<ds:datastoreItem xmlns:ds="http://schemas.openxmlformats.org/officeDocument/2006/customXml" ds:itemID="{5F9D47E1-97BB-46E8-A679-B4298208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37</Pages>
  <Words>6580</Words>
  <Characters>37506</Characters>
  <Application>Microsoft Office Word</Application>
  <DocSecurity>0</DocSecurity>
  <Lines>312</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Blessy Saju</dc:creator>
  <cp:lastModifiedBy>S. Ochiai</cp:lastModifiedBy>
  <cp:revision>11</cp:revision>
  <cp:lastPrinted>2020-09-20T08:32:00Z</cp:lastPrinted>
  <dcterms:created xsi:type="dcterms:W3CDTF">2020-10-06T00:17:00Z</dcterms:created>
  <dcterms:modified xsi:type="dcterms:W3CDTF">2020-11-03T11:31:00Z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http://www.zotero.org/styles/horticulture-research</vt:lpwstr>
  </property>
  <property fmtid="{D5CDD505-2E9C-101B-9397-08002B2CF9AE}" pid="13" name="Mendeley Recent Style Name 5_1">
    <vt:lpwstr>Horticulture Research</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http://www.zotero.org/styles/journal-of-plant-nutrition-and-soil-science</vt:lpwstr>
  </property>
  <property fmtid="{D5CDD505-2E9C-101B-9397-08002B2CF9AE}" pid="17" name="Mendeley Recent Style Name 7_1">
    <vt:lpwstr>Journal of Plant Nutrition and Soil Science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UniqueFileID">
    <vt:lpwstr>qdy9XGFzLzXe</vt:lpwstr>
  </property>
</Properties>
</file>