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="-289" w:tblpY="423"/>
        <w:tblW w:w="9901" w:type="dxa"/>
        <w:tblLayout w:type="fixed"/>
        <w:tblLook w:val="04A0" w:firstRow="1" w:lastRow="0" w:firstColumn="1" w:lastColumn="0" w:noHBand="0" w:noVBand="1"/>
      </w:tblPr>
      <w:tblGrid>
        <w:gridCol w:w="2371"/>
        <w:gridCol w:w="2019"/>
        <w:gridCol w:w="1842"/>
        <w:gridCol w:w="1701"/>
        <w:gridCol w:w="1968"/>
      </w:tblGrid>
      <w:tr w:rsidR="00F72D68" w14:paraId="7D889821" w14:textId="77777777" w:rsidTr="004861B7">
        <w:trPr>
          <w:trHeight w:val="558"/>
        </w:trPr>
        <w:tc>
          <w:tcPr>
            <w:tcW w:w="9901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F77446B" w14:textId="68E13526" w:rsidR="00B14C11" w:rsidRPr="004D490E" w:rsidRDefault="00000000" w:rsidP="001D1788">
            <w:pPr>
              <w:rPr>
                <w:sz w:val="24"/>
                <w:szCs w:val="24"/>
              </w:rPr>
            </w:pPr>
            <w:r w:rsidRPr="004D490E">
              <w:rPr>
                <w:b/>
                <w:sz w:val="24"/>
                <w:szCs w:val="24"/>
              </w:rPr>
              <w:t xml:space="preserve">Supplemental </w:t>
            </w:r>
            <w:r>
              <w:rPr>
                <w:b/>
                <w:sz w:val="24"/>
                <w:szCs w:val="24"/>
              </w:rPr>
              <w:t>T</w:t>
            </w:r>
            <w:r w:rsidRPr="004D490E">
              <w:rPr>
                <w:b/>
                <w:sz w:val="24"/>
                <w:szCs w:val="24"/>
              </w:rPr>
              <w:t xml:space="preserve">able 2. </w:t>
            </w:r>
            <w:bookmarkStart w:id="0" w:name="_Hlk114762608"/>
            <w:r w:rsidRPr="004D490E">
              <w:rPr>
                <w:sz w:val="24"/>
                <w:szCs w:val="24"/>
              </w:rPr>
              <w:t xml:space="preserve">Comparison of operative or non-operative </w:t>
            </w:r>
            <w:r w:rsidR="008F4A2F" w:rsidRPr="008F4A2F">
              <w:rPr>
                <w:sz w:val="24"/>
                <w:szCs w:val="24"/>
              </w:rPr>
              <w:t xml:space="preserve">patients </w:t>
            </w:r>
            <w:r w:rsidR="00DF72F1">
              <w:rPr>
                <w:sz w:val="24"/>
                <w:szCs w:val="24"/>
              </w:rPr>
              <w:t>in</w:t>
            </w:r>
            <w:r w:rsidR="008F4A2F" w:rsidRPr="008F4A2F">
              <w:rPr>
                <w:sz w:val="24"/>
                <w:szCs w:val="24"/>
              </w:rPr>
              <w:t xml:space="preserve"> </w:t>
            </w:r>
            <w:r w:rsidR="00DF72F1">
              <w:rPr>
                <w:sz w:val="24"/>
                <w:szCs w:val="24"/>
              </w:rPr>
              <w:t xml:space="preserve">the </w:t>
            </w:r>
            <w:r w:rsidR="008F4A2F" w:rsidRPr="008F4A2F">
              <w:rPr>
                <w:sz w:val="24"/>
                <w:szCs w:val="24"/>
              </w:rPr>
              <w:t>localized and diffuse OPLL</w:t>
            </w:r>
            <w:bookmarkEnd w:id="0"/>
            <w:r w:rsidR="00DF72F1">
              <w:rPr>
                <w:sz w:val="24"/>
                <w:szCs w:val="24"/>
              </w:rPr>
              <w:t xml:space="preserve"> groups</w:t>
            </w:r>
          </w:p>
        </w:tc>
      </w:tr>
      <w:tr w:rsidR="00F72D68" w14:paraId="206A5E3F" w14:textId="77777777" w:rsidTr="009F3AA4">
        <w:trPr>
          <w:trHeight w:val="405"/>
        </w:trPr>
        <w:tc>
          <w:tcPr>
            <w:tcW w:w="2371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7C413354" w14:textId="77777777" w:rsidR="009F3AA4" w:rsidRPr="004D490E" w:rsidRDefault="00000000" w:rsidP="001D1788">
            <w:pPr>
              <w:spacing w:line="0" w:lineRule="atLeast"/>
              <w:rPr>
                <w:b/>
                <w:sz w:val="24"/>
                <w:szCs w:val="24"/>
              </w:rPr>
            </w:pPr>
            <w:r w:rsidRPr="004D490E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2019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439FD6A4" w14:textId="77777777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rFonts w:eastAsiaTheme="minorEastAsia"/>
                <w:b/>
                <w:szCs w:val="24"/>
              </w:rPr>
            </w:pPr>
            <w:r w:rsidRPr="004D490E">
              <w:rPr>
                <w:rFonts w:eastAsiaTheme="minorEastAsia"/>
                <w:b/>
                <w:szCs w:val="24"/>
              </w:rPr>
              <w:t>Operative localized OPLL</w:t>
            </w:r>
          </w:p>
          <w:p w14:paraId="7E4530F3" w14:textId="65FA2CB0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(n=26)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1801D90F" w14:textId="2E26ACFF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Non</w:t>
            </w:r>
            <w:r w:rsidR="00316C78" w:rsidRPr="004D490E">
              <w:rPr>
                <w:b/>
                <w:szCs w:val="24"/>
              </w:rPr>
              <w:t>-</w:t>
            </w:r>
            <w:r w:rsidRPr="004D490E">
              <w:rPr>
                <w:b/>
                <w:szCs w:val="24"/>
              </w:rPr>
              <w:t>operative</w:t>
            </w:r>
          </w:p>
          <w:p w14:paraId="19F0CC33" w14:textId="77777777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localized</w:t>
            </w:r>
            <w:r w:rsidRPr="004D490E">
              <w:rPr>
                <w:rFonts w:eastAsiaTheme="minorEastAsia"/>
                <w:b/>
                <w:szCs w:val="24"/>
              </w:rPr>
              <w:t xml:space="preserve"> </w:t>
            </w:r>
            <w:r w:rsidRPr="004D490E">
              <w:rPr>
                <w:b/>
                <w:szCs w:val="24"/>
              </w:rPr>
              <w:t>OPLL</w:t>
            </w:r>
          </w:p>
          <w:p w14:paraId="5A5DB4C2" w14:textId="45D67966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(n=13)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56987D49" w14:textId="77777777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rFonts w:eastAsiaTheme="minorEastAsia"/>
                <w:b/>
                <w:szCs w:val="24"/>
              </w:rPr>
            </w:pPr>
            <w:r w:rsidRPr="004D490E">
              <w:rPr>
                <w:rFonts w:eastAsiaTheme="minorEastAsia"/>
                <w:b/>
                <w:szCs w:val="24"/>
              </w:rPr>
              <w:t>Operative diffuse OPLL</w:t>
            </w:r>
          </w:p>
          <w:p w14:paraId="2D38CF07" w14:textId="3B03D661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(n=</w:t>
            </w:r>
            <w:r w:rsidR="00EA1227" w:rsidRPr="004D490E">
              <w:rPr>
                <w:b/>
                <w:szCs w:val="24"/>
              </w:rPr>
              <w:t>26</w:t>
            </w:r>
            <w:r w:rsidRPr="004D490E">
              <w:rPr>
                <w:b/>
                <w:szCs w:val="24"/>
              </w:rPr>
              <w:t>)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</w:tcPr>
          <w:p w14:paraId="67BEB139" w14:textId="2ED23114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Non</w:t>
            </w:r>
            <w:r w:rsidR="00316C78" w:rsidRPr="004D490E">
              <w:rPr>
                <w:b/>
                <w:szCs w:val="24"/>
              </w:rPr>
              <w:t>-</w:t>
            </w:r>
            <w:r w:rsidRPr="004D490E">
              <w:rPr>
                <w:b/>
                <w:szCs w:val="24"/>
              </w:rPr>
              <w:t>operative</w:t>
            </w:r>
          </w:p>
          <w:p w14:paraId="19A1C09C" w14:textId="04707EAD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diffuse</w:t>
            </w:r>
            <w:r w:rsidRPr="004D490E">
              <w:rPr>
                <w:rFonts w:eastAsiaTheme="minorEastAsia"/>
                <w:b/>
                <w:szCs w:val="24"/>
              </w:rPr>
              <w:t xml:space="preserve"> </w:t>
            </w:r>
            <w:r w:rsidRPr="004D490E">
              <w:rPr>
                <w:b/>
                <w:szCs w:val="24"/>
              </w:rPr>
              <w:t>OPLL</w:t>
            </w:r>
          </w:p>
          <w:p w14:paraId="57EC5449" w14:textId="7D69436C" w:rsidR="009F3AA4" w:rsidRPr="004D490E" w:rsidRDefault="00000000" w:rsidP="009F3AA4">
            <w:pPr>
              <w:pStyle w:val="Web"/>
              <w:spacing w:before="0" w:beforeAutospacing="0" w:after="0" w:afterAutospacing="0"/>
              <w:jc w:val="center"/>
              <w:rPr>
                <w:b/>
                <w:szCs w:val="24"/>
              </w:rPr>
            </w:pPr>
            <w:r w:rsidRPr="004D490E">
              <w:rPr>
                <w:b/>
                <w:szCs w:val="24"/>
              </w:rPr>
              <w:t>(n=</w:t>
            </w:r>
            <w:r w:rsidR="00EA1227" w:rsidRPr="004D490E">
              <w:rPr>
                <w:b/>
                <w:szCs w:val="24"/>
              </w:rPr>
              <w:t>27</w:t>
            </w:r>
            <w:r w:rsidRPr="004D490E">
              <w:rPr>
                <w:b/>
                <w:szCs w:val="24"/>
              </w:rPr>
              <w:t>)</w:t>
            </w:r>
          </w:p>
        </w:tc>
      </w:tr>
      <w:tr w:rsidR="00F72D68" w14:paraId="04897859" w14:textId="77777777" w:rsidTr="004D672A">
        <w:trPr>
          <w:trHeight w:val="225"/>
        </w:trPr>
        <w:tc>
          <w:tcPr>
            <w:tcW w:w="2371" w:type="dxa"/>
            <w:tcBorders>
              <w:top w:val="single" w:sz="12" w:space="0" w:color="auto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vAlign w:val="center"/>
          </w:tcPr>
          <w:p w14:paraId="2BAE55AE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Age (years)</w:t>
            </w:r>
          </w:p>
        </w:tc>
        <w:tc>
          <w:tcPr>
            <w:tcW w:w="20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A19AFED" w14:textId="3D33738B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68 (47</w:t>
            </w:r>
            <w:r w:rsidR="002C2673" w:rsidRPr="004D490E">
              <w:rPr>
                <w:rFonts w:eastAsia="ＭＳ 明朝"/>
                <w:szCs w:val="24"/>
              </w:rPr>
              <w:t>－</w:t>
            </w:r>
            <w:r w:rsidRPr="004D490E">
              <w:rPr>
                <w:rFonts w:eastAsiaTheme="minorEastAsia"/>
                <w:szCs w:val="24"/>
                <w:lang w:eastAsia="ja-JP"/>
              </w:rPr>
              <w:t>81)</w:t>
            </w:r>
          </w:p>
        </w:tc>
        <w:tc>
          <w:tcPr>
            <w:tcW w:w="184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67F0E63" w14:textId="11B9B8F0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68 (42</w:t>
            </w:r>
            <w:r w:rsidR="002C2673" w:rsidRPr="004D490E">
              <w:rPr>
                <w:rFonts w:eastAsia="ＭＳ 明朝"/>
                <w:szCs w:val="24"/>
              </w:rPr>
              <w:t>－</w:t>
            </w:r>
            <w:r w:rsidRPr="004D490E">
              <w:rPr>
                <w:rFonts w:eastAsiaTheme="minorEastAsia"/>
                <w:szCs w:val="24"/>
                <w:lang w:eastAsia="ja-JP"/>
              </w:rPr>
              <w:t>81)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F33F32" w14:textId="30A1F884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66 (45</w:t>
            </w:r>
            <w:r w:rsidR="002C2673" w:rsidRPr="004D490E">
              <w:rPr>
                <w:rFonts w:eastAsia="ＭＳ 明朝"/>
                <w:szCs w:val="24"/>
              </w:rPr>
              <w:t>－</w:t>
            </w:r>
            <w:r w:rsidRPr="004D490E">
              <w:rPr>
                <w:rFonts w:eastAsiaTheme="minorEastAsia"/>
                <w:szCs w:val="24"/>
                <w:lang w:eastAsia="ja-JP"/>
              </w:rPr>
              <w:t>81)</w:t>
            </w:r>
          </w:p>
        </w:tc>
        <w:tc>
          <w:tcPr>
            <w:tcW w:w="19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357A608" w14:textId="6A1EA1E9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69 (33</w:t>
            </w:r>
            <w:r w:rsidR="002C2673" w:rsidRPr="004D490E">
              <w:rPr>
                <w:rFonts w:eastAsia="ＭＳ 明朝"/>
                <w:szCs w:val="24"/>
              </w:rPr>
              <w:t>－</w:t>
            </w:r>
            <w:r w:rsidRPr="004D490E">
              <w:rPr>
                <w:rFonts w:eastAsiaTheme="minorEastAsia"/>
                <w:szCs w:val="24"/>
                <w:lang w:eastAsia="ja-JP"/>
              </w:rPr>
              <w:t>81)</w:t>
            </w:r>
          </w:p>
        </w:tc>
      </w:tr>
      <w:tr w:rsidR="00F72D68" w14:paraId="5F06269C" w14:textId="77777777" w:rsidTr="004D672A">
        <w:trPr>
          <w:trHeight w:val="28"/>
        </w:trPr>
        <w:tc>
          <w:tcPr>
            <w:tcW w:w="23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DA9020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BMI (kg/m</w:t>
            </w:r>
            <w:r w:rsidRPr="004D490E">
              <w:rPr>
                <w:szCs w:val="24"/>
                <w:vertAlign w:val="superscript"/>
              </w:rPr>
              <w:t>2</w:t>
            </w:r>
            <w:r w:rsidRPr="004D490E">
              <w:rPr>
                <w:szCs w:val="24"/>
              </w:rPr>
              <w:t>)</w:t>
            </w:r>
          </w:p>
        </w:tc>
        <w:tc>
          <w:tcPr>
            <w:tcW w:w="20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D7F264" w14:textId="684AA258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 xml:space="preserve">26.4 </w:t>
            </w:r>
            <w:r w:rsidRPr="004D490E">
              <w:rPr>
                <w:szCs w:val="24"/>
              </w:rPr>
              <w:t>± 5.1</w:t>
            </w:r>
          </w:p>
        </w:tc>
        <w:tc>
          <w:tcPr>
            <w:tcW w:w="184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7ACD34" w14:textId="308F80D9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 xml:space="preserve">25.1 </w:t>
            </w:r>
            <w:r w:rsidRPr="004D490E">
              <w:rPr>
                <w:szCs w:val="24"/>
              </w:rPr>
              <w:t>± 3.2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7508C64" w14:textId="723FDC1F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 xml:space="preserve">28.1 </w:t>
            </w:r>
            <w:r w:rsidRPr="004D490E">
              <w:rPr>
                <w:szCs w:val="24"/>
              </w:rPr>
              <w:t>± 5.1</w:t>
            </w:r>
          </w:p>
        </w:tc>
        <w:tc>
          <w:tcPr>
            <w:tcW w:w="19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1F2CCA" w14:textId="05F9F052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2</w:t>
            </w:r>
            <w:r w:rsidR="00151712" w:rsidRPr="004D490E">
              <w:rPr>
                <w:rFonts w:eastAsiaTheme="minorEastAsia"/>
                <w:szCs w:val="24"/>
                <w:lang w:eastAsia="ja-JP"/>
              </w:rPr>
              <w:t>8.2</w:t>
            </w:r>
            <w:r w:rsidRPr="004D490E">
              <w:rPr>
                <w:rFonts w:eastAsiaTheme="minorEastAsia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 xml:space="preserve">± </w:t>
            </w:r>
            <w:r w:rsidR="00151712" w:rsidRPr="004D490E">
              <w:rPr>
                <w:szCs w:val="24"/>
              </w:rPr>
              <w:t>6.5</w:t>
            </w:r>
          </w:p>
        </w:tc>
      </w:tr>
      <w:tr w:rsidR="00F72D68" w14:paraId="4F1795EC" w14:textId="77777777" w:rsidTr="004D672A">
        <w:trPr>
          <w:trHeight w:val="28"/>
        </w:trPr>
        <w:tc>
          <w:tcPr>
            <w:tcW w:w="237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A0417CD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Male (%)</w:t>
            </w:r>
          </w:p>
        </w:tc>
        <w:tc>
          <w:tcPr>
            <w:tcW w:w="201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A11C0E1" w14:textId="146E8819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88.5</w:t>
            </w:r>
          </w:p>
        </w:tc>
        <w:tc>
          <w:tcPr>
            <w:tcW w:w="184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21546C" w14:textId="1A37A49C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61.5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47EB477" w14:textId="2B7AAD5A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27.0</w:t>
            </w:r>
          </w:p>
        </w:tc>
        <w:tc>
          <w:tcPr>
            <w:tcW w:w="19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7B0A785" w14:textId="43E5FBC4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18.5</w:t>
            </w:r>
          </w:p>
        </w:tc>
      </w:tr>
      <w:tr w:rsidR="00F72D68" w14:paraId="7BCD0CFD" w14:textId="77777777" w:rsidTr="009F3AA4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6DF5B45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Comorbidity (%):</w:t>
            </w:r>
          </w:p>
        </w:tc>
        <w:tc>
          <w:tcPr>
            <w:tcW w:w="20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BD4C6B" w14:textId="77777777" w:rsidR="00EA1227" w:rsidRPr="004D490E" w:rsidRDefault="00EA1227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29835B" w14:textId="77777777" w:rsidR="00EA1227" w:rsidRPr="004D490E" w:rsidRDefault="00EA1227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01918D" w14:textId="77777777" w:rsidR="00EA1227" w:rsidRPr="004D490E" w:rsidRDefault="00EA1227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1A115C5" w14:textId="7BDE0F65" w:rsidR="00EA1227" w:rsidRPr="004D490E" w:rsidRDefault="00EA1227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</w:p>
        </w:tc>
      </w:tr>
      <w:tr w:rsidR="00F72D68" w14:paraId="0C9B67D9" w14:textId="77777777" w:rsidTr="004D672A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60CC0FF" w14:textId="6BE4D25A" w:rsidR="00316C78" w:rsidRPr="004D490E" w:rsidRDefault="00000000" w:rsidP="00EA1227">
            <w:pPr>
              <w:pStyle w:val="Web"/>
              <w:spacing w:before="0" w:beforeAutospacing="0" w:after="0" w:afterAutospacing="0" w:line="0" w:lineRule="atLeast"/>
              <w:ind w:firstLineChars="100" w:firstLine="240"/>
              <w:rPr>
                <w:szCs w:val="24"/>
              </w:rPr>
            </w:pPr>
            <w:r w:rsidRPr="004D490E">
              <w:rPr>
                <w:szCs w:val="24"/>
              </w:rPr>
              <w:t>Dyslipidemia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4CD2D" w14:textId="2EB1162B" w:rsidR="00316C78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84.6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2FAF" w14:textId="1B2FB0BB" w:rsidR="00316C78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76.9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1421BA0" w14:textId="3856EF0B" w:rsidR="00316C78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65.4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02A94CD" w14:textId="6349996D" w:rsidR="00316C78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63.0</w:t>
            </w:r>
          </w:p>
        </w:tc>
      </w:tr>
      <w:tr w:rsidR="00F72D68" w14:paraId="3ED63DF9" w14:textId="77777777" w:rsidTr="004D672A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47851BB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ind w:firstLineChars="100" w:firstLine="240"/>
              <w:rPr>
                <w:szCs w:val="24"/>
              </w:rPr>
            </w:pPr>
            <w:r w:rsidRPr="004D490E">
              <w:rPr>
                <w:szCs w:val="24"/>
              </w:rPr>
              <w:t>Hypertension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42450" w14:textId="3364760F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57.7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1DF70" w14:textId="0CEEB773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szCs w:val="24"/>
                <w:lang w:eastAsia="ja-JP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61.5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EA730E3" w14:textId="09146174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57.7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4F5A560" w14:textId="5B683CF2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szCs w:val="24"/>
                <w:lang w:eastAsia="ja-JP"/>
              </w:rPr>
              <w:t>6</w:t>
            </w:r>
            <w:r w:rsidR="007030BF" w:rsidRPr="004D490E">
              <w:rPr>
                <w:rFonts w:eastAsiaTheme="minorEastAsia"/>
                <w:szCs w:val="24"/>
                <w:lang w:eastAsia="ja-JP"/>
              </w:rPr>
              <w:t>3.0</w:t>
            </w:r>
          </w:p>
        </w:tc>
      </w:tr>
      <w:tr w:rsidR="00F72D68" w14:paraId="3B4A4211" w14:textId="77777777" w:rsidTr="004D672A">
        <w:trPr>
          <w:trHeight w:val="201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C145B17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ind w:firstLine="240"/>
              <w:rPr>
                <w:szCs w:val="24"/>
              </w:rPr>
            </w:pPr>
            <w:r w:rsidRPr="004D490E">
              <w:rPr>
                <w:szCs w:val="24"/>
              </w:rPr>
              <w:t>Diabetes mellitus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4ED4" w14:textId="3115F410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30.8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8142C" w14:textId="63F51148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15.4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FEA5675" w14:textId="6D15B38E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38.5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4AD13F" w14:textId="484720A0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37.0</w:t>
            </w:r>
          </w:p>
        </w:tc>
      </w:tr>
      <w:tr w:rsidR="00F72D68" w14:paraId="7D951287" w14:textId="77777777" w:rsidTr="007558FD">
        <w:trPr>
          <w:trHeight w:val="201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D1CE594" w14:textId="315AF7D5" w:rsidR="007558FD" w:rsidRPr="004D490E" w:rsidRDefault="00000000" w:rsidP="00EA1227">
            <w:pPr>
              <w:pStyle w:val="Web"/>
              <w:spacing w:before="0" w:beforeAutospacing="0" w:after="0" w:afterAutospacing="0" w:line="0" w:lineRule="atLeast"/>
              <w:ind w:firstLine="240"/>
              <w:rPr>
                <w:szCs w:val="24"/>
              </w:rPr>
            </w:pPr>
            <w:r w:rsidRPr="004D490E">
              <w:rPr>
                <w:szCs w:val="24"/>
              </w:rPr>
              <w:t>Hyperuricemia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043FF" w14:textId="08DCA273" w:rsidR="007558FD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szCs w:val="24"/>
              </w:rPr>
              <w:t>11.5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D5067" w14:textId="457FB521" w:rsidR="007558FD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szCs w:val="24"/>
              </w:rPr>
              <w:t>15.4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1E22CD4" w14:textId="4EE44622" w:rsidR="007558FD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szCs w:val="24"/>
              </w:rPr>
              <w:t>19.2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7CDE7756" w14:textId="4717D803" w:rsidR="007558FD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szCs w:val="24"/>
              </w:rPr>
              <w:t>3.7</w:t>
            </w:r>
          </w:p>
        </w:tc>
      </w:tr>
      <w:tr w:rsidR="00F72D68" w14:paraId="72F37B72" w14:textId="77777777" w:rsidTr="007558FD">
        <w:trPr>
          <w:trHeight w:val="135"/>
        </w:trPr>
        <w:tc>
          <w:tcPr>
            <w:tcW w:w="237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09171A2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T-Cho (mg/dL)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11D35" w14:textId="1D67D1CC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183.8 </w:t>
            </w:r>
            <w:r w:rsidRPr="004D490E">
              <w:rPr>
                <w:szCs w:val="24"/>
              </w:rPr>
              <w:t>± 37.8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A4D6D" w14:textId="1334FEB7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194.2 </w:t>
            </w:r>
            <w:r w:rsidRPr="004D490E">
              <w:rPr>
                <w:szCs w:val="24"/>
              </w:rPr>
              <w:t>± 23.0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23DE19" w14:textId="731C631B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186.6 </w:t>
            </w:r>
            <w:r w:rsidRPr="004D490E">
              <w:rPr>
                <w:szCs w:val="24"/>
              </w:rPr>
              <w:t>± 30.1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C919E7" w14:textId="2312FE98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202.6 </w:t>
            </w:r>
            <w:r w:rsidRPr="004D490E">
              <w:rPr>
                <w:szCs w:val="24"/>
              </w:rPr>
              <w:t>±</w:t>
            </w:r>
            <w:r w:rsidR="007558FD" w:rsidRPr="004D490E">
              <w:rPr>
                <w:rFonts w:eastAsia="ＭＳ 明朝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>42.1</w:t>
            </w:r>
          </w:p>
        </w:tc>
      </w:tr>
      <w:tr w:rsidR="00F72D68" w14:paraId="448825B8" w14:textId="77777777" w:rsidTr="00FE78ED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1D3BE07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TG (mg/dL)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DBE87" w14:textId="08BA98BF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165.8 </w:t>
            </w:r>
            <w:r w:rsidRPr="004D490E">
              <w:rPr>
                <w:szCs w:val="24"/>
              </w:rPr>
              <w:t>± 83.2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30C6B" w14:textId="7A8ABEB7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153.0 </w:t>
            </w:r>
            <w:r w:rsidRPr="004D490E">
              <w:rPr>
                <w:szCs w:val="24"/>
              </w:rPr>
              <w:t>± 64.7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C3C6E2" w14:textId="78B6ADC3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149.3</w:t>
            </w:r>
            <w:r w:rsidR="007558FD"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>± 69.5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33071BD" w14:textId="2FE14CAF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1</w:t>
            </w:r>
            <w:r w:rsidR="00151712" w:rsidRPr="004D490E">
              <w:rPr>
                <w:rFonts w:eastAsiaTheme="minorEastAsia"/>
                <w:color w:val="000000"/>
                <w:szCs w:val="24"/>
                <w:lang w:eastAsia="ja-JP"/>
              </w:rPr>
              <w:t>49.8</w:t>
            </w: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 xml:space="preserve">± </w:t>
            </w:r>
            <w:r w:rsidR="00151712" w:rsidRPr="004D490E">
              <w:rPr>
                <w:szCs w:val="24"/>
              </w:rPr>
              <w:t>101.8</w:t>
            </w:r>
          </w:p>
        </w:tc>
      </w:tr>
      <w:tr w:rsidR="00F72D68" w14:paraId="453E3134" w14:textId="77777777" w:rsidTr="00FE78ED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1BD751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HDL-C (mg/dL)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FFF3D" w14:textId="12E470AF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48.8 </w:t>
            </w:r>
            <w:r w:rsidRPr="004D490E">
              <w:rPr>
                <w:szCs w:val="24"/>
              </w:rPr>
              <w:t>± 12.5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A593" w14:textId="323C8A93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56.2 </w:t>
            </w:r>
            <w:r w:rsidRPr="004D490E">
              <w:rPr>
                <w:szCs w:val="24"/>
              </w:rPr>
              <w:t>± 10.9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497677" w14:textId="5D9D11BA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58.1 </w:t>
            </w:r>
            <w:r w:rsidRPr="004D490E">
              <w:rPr>
                <w:szCs w:val="24"/>
              </w:rPr>
              <w:t>± 12.3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CCFA6C8" w14:textId="0B934A21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61.6 </w:t>
            </w:r>
            <w:r w:rsidRPr="004D490E">
              <w:rPr>
                <w:szCs w:val="24"/>
              </w:rPr>
              <w:t>± 17.2</w:t>
            </w:r>
          </w:p>
        </w:tc>
      </w:tr>
      <w:tr w:rsidR="00F72D68" w14:paraId="67F2193B" w14:textId="77777777" w:rsidTr="00FE78ED">
        <w:trPr>
          <w:trHeight w:val="135"/>
        </w:trPr>
        <w:tc>
          <w:tcPr>
            <w:tcW w:w="2371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7DF27D1E" w14:textId="77777777" w:rsidR="00EA1227" w:rsidRPr="004D490E" w:rsidRDefault="00000000" w:rsidP="00EA1227">
            <w:pPr>
              <w:pStyle w:val="Web"/>
              <w:spacing w:before="0" w:beforeAutospacing="0" w:after="0" w:afterAutospacing="0" w:line="0" w:lineRule="atLeast"/>
              <w:rPr>
                <w:szCs w:val="24"/>
              </w:rPr>
            </w:pPr>
            <w:r w:rsidRPr="004D490E">
              <w:rPr>
                <w:szCs w:val="24"/>
              </w:rPr>
              <w:t>LDL-C (mg/dL)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6D0F2" w14:textId="775FE970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107.4 </w:t>
            </w:r>
            <w:r w:rsidRPr="004D490E">
              <w:rPr>
                <w:szCs w:val="24"/>
              </w:rPr>
              <w:t>± 33.5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AC73B" w14:textId="444236C1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rFonts w:eastAsiaTheme="minorEastAsia"/>
                <w:color w:val="000000"/>
                <w:szCs w:val="24"/>
                <w:lang w:eastAsia="ja-JP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114.0 </w:t>
            </w:r>
            <w:r w:rsidRPr="004D490E">
              <w:rPr>
                <w:szCs w:val="24"/>
              </w:rPr>
              <w:t>± 20.3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3EA6DE82" w14:textId="06E73B10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1</w:t>
            </w:r>
            <w:r w:rsidR="00151712" w:rsidRPr="004D490E">
              <w:rPr>
                <w:rFonts w:eastAsiaTheme="minorEastAsia"/>
                <w:color w:val="000000"/>
                <w:szCs w:val="24"/>
                <w:lang w:eastAsia="ja-JP"/>
              </w:rPr>
              <w:t>03.3</w:t>
            </w: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>± 2</w:t>
            </w:r>
            <w:r w:rsidR="00151712" w:rsidRPr="004D490E">
              <w:rPr>
                <w:szCs w:val="24"/>
              </w:rPr>
              <w:t>3.5</w:t>
            </w:r>
          </w:p>
        </w:tc>
        <w:tc>
          <w:tcPr>
            <w:tcW w:w="1968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B39EAD1" w14:textId="558BC1A4" w:rsidR="00EA1227" w:rsidRPr="004D490E" w:rsidRDefault="00000000" w:rsidP="007558FD">
            <w:pPr>
              <w:pStyle w:val="Web"/>
              <w:spacing w:before="0" w:beforeAutospacing="0" w:after="0" w:afterAutospacing="0" w:line="0" w:lineRule="atLeast"/>
              <w:jc w:val="center"/>
              <w:rPr>
                <w:szCs w:val="24"/>
              </w:rPr>
            </w:pP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>114.</w:t>
            </w:r>
            <w:r w:rsidR="007030BF" w:rsidRPr="004D490E">
              <w:rPr>
                <w:rFonts w:eastAsiaTheme="minorEastAsia"/>
                <w:color w:val="000000"/>
                <w:szCs w:val="24"/>
                <w:lang w:eastAsia="ja-JP"/>
              </w:rPr>
              <w:t>6</w:t>
            </w:r>
            <w:r w:rsidRPr="004D490E">
              <w:rPr>
                <w:rFonts w:eastAsiaTheme="minorEastAsia"/>
                <w:color w:val="000000"/>
                <w:szCs w:val="24"/>
                <w:lang w:eastAsia="ja-JP"/>
              </w:rPr>
              <w:t xml:space="preserve"> </w:t>
            </w:r>
            <w:r w:rsidRPr="004D490E">
              <w:rPr>
                <w:szCs w:val="24"/>
              </w:rPr>
              <w:t xml:space="preserve">± </w:t>
            </w:r>
            <w:r w:rsidR="007030BF" w:rsidRPr="004D490E">
              <w:rPr>
                <w:szCs w:val="24"/>
              </w:rPr>
              <w:t>34.6</w:t>
            </w:r>
          </w:p>
        </w:tc>
      </w:tr>
      <w:tr w:rsidR="00F72D68" w14:paraId="02D31412" w14:textId="77777777" w:rsidTr="003241EF">
        <w:trPr>
          <w:trHeight w:val="860"/>
        </w:trPr>
        <w:tc>
          <w:tcPr>
            <w:tcW w:w="9901" w:type="dxa"/>
            <w:gridSpan w:val="5"/>
            <w:tcBorders>
              <w:top w:val="single" w:sz="12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14:paraId="628D4C86" w14:textId="3C0A40C9" w:rsidR="00B14C11" w:rsidRPr="004D490E" w:rsidRDefault="00000000" w:rsidP="00EA1227">
            <w:pPr>
              <w:spacing w:line="0" w:lineRule="atLeast"/>
              <w:rPr>
                <w:sz w:val="24"/>
                <w:szCs w:val="24"/>
              </w:rPr>
            </w:pPr>
            <w:r w:rsidRPr="004D490E">
              <w:rPr>
                <w:sz w:val="24"/>
                <w:szCs w:val="24"/>
              </w:rPr>
              <w:t>Data are shown as mean ± standard deviation for normally distributed variables, as median (minimum</w:t>
            </w:r>
            <w:r w:rsidR="002C2673" w:rsidRPr="004D490E">
              <w:rPr>
                <w:sz w:val="24"/>
                <w:szCs w:val="24"/>
              </w:rPr>
              <w:t>–</w:t>
            </w:r>
            <w:r w:rsidRPr="004D490E">
              <w:rPr>
                <w:sz w:val="24"/>
                <w:szCs w:val="24"/>
              </w:rPr>
              <w:t>maximum) for non-normally distributed variables, and as</w:t>
            </w:r>
            <w:r w:rsidRPr="004D490E">
              <w:rPr>
                <w:rFonts w:eastAsiaTheme="minorEastAsia"/>
                <w:sz w:val="24"/>
                <w:szCs w:val="24"/>
                <w:lang w:eastAsia="ja-JP"/>
              </w:rPr>
              <w:t xml:space="preserve"> </w:t>
            </w:r>
            <w:r w:rsidRPr="004D490E">
              <w:rPr>
                <w:sz w:val="24"/>
                <w:szCs w:val="24"/>
              </w:rPr>
              <w:t>percentages for categorical variables.</w:t>
            </w:r>
          </w:p>
          <w:p w14:paraId="61BD8ECA" w14:textId="77777777" w:rsidR="00B14C11" w:rsidRPr="004D490E" w:rsidRDefault="00B14C11" w:rsidP="00EA1227">
            <w:pPr>
              <w:spacing w:line="0" w:lineRule="atLeast"/>
              <w:rPr>
                <w:sz w:val="24"/>
                <w:szCs w:val="24"/>
              </w:rPr>
            </w:pPr>
          </w:p>
          <w:p w14:paraId="401BBA9E" w14:textId="130BBE9D" w:rsidR="00B14C11" w:rsidRPr="004D490E" w:rsidRDefault="00000000" w:rsidP="00EA1227">
            <w:pPr>
              <w:spacing w:line="0" w:lineRule="atLeast"/>
              <w:rPr>
                <w:sz w:val="24"/>
                <w:szCs w:val="24"/>
              </w:rPr>
            </w:pPr>
            <w:r w:rsidRPr="004D490E">
              <w:rPr>
                <w:sz w:val="24"/>
                <w:szCs w:val="24"/>
              </w:rPr>
              <w:t>BMI, body mass index; T-Cho, total cholesterol; TG, triglycerides; HDL-C, high-density lipoprotein cholesterol; LDL-C, low-density lipoprotein cholesterol; OPLL, ossification of the posterior longitudinal ligament.</w:t>
            </w:r>
          </w:p>
        </w:tc>
      </w:tr>
    </w:tbl>
    <w:p w14:paraId="0FEBBADF" w14:textId="34F2C1C9" w:rsidR="00B82BE9" w:rsidRDefault="00B82BE9" w:rsidP="001D1788"/>
    <w:sectPr w:rsidR="00B82B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88"/>
    <w:rsid w:val="0015095F"/>
    <w:rsid w:val="001516A9"/>
    <w:rsid w:val="00151712"/>
    <w:rsid w:val="00152A4C"/>
    <w:rsid w:val="001A6B5C"/>
    <w:rsid w:val="001D1788"/>
    <w:rsid w:val="00231DE4"/>
    <w:rsid w:val="0026386C"/>
    <w:rsid w:val="002C2673"/>
    <w:rsid w:val="00316C78"/>
    <w:rsid w:val="00371A3E"/>
    <w:rsid w:val="0049206C"/>
    <w:rsid w:val="004D490E"/>
    <w:rsid w:val="00527DA6"/>
    <w:rsid w:val="005A08EB"/>
    <w:rsid w:val="006773D8"/>
    <w:rsid w:val="00682002"/>
    <w:rsid w:val="007030BF"/>
    <w:rsid w:val="007558FD"/>
    <w:rsid w:val="0081772D"/>
    <w:rsid w:val="00832D70"/>
    <w:rsid w:val="008B184F"/>
    <w:rsid w:val="008F4A2F"/>
    <w:rsid w:val="009674E6"/>
    <w:rsid w:val="009E1F9B"/>
    <w:rsid w:val="009F3AA4"/>
    <w:rsid w:val="00A631B5"/>
    <w:rsid w:val="00AB5014"/>
    <w:rsid w:val="00B14C11"/>
    <w:rsid w:val="00B3577F"/>
    <w:rsid w:val="00B82BE9"/>
    <w:rsid w:val="00BB4BAB"/>
    <w:rsid w:val="00CE2073"/>
    <w:rsid w:val="00D41E4A"/>
    <w:rsid w:val="00D86610"/>
    <w:rsid w:val="00DF72F1"/>
    <w:rsid w:val="00E23F93"/>
    <w:rsid w:val="00EA1227"/>
    <w:rsid w:val="00EB23D7"/>
    <w:rsid w:val="00F11CA4"/>
    <w:rsid w:val="00F72D68"/>
    <w:rsid w:val="00FC5E7B"/>
    <w:rsid w:val="00FE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B90AA4"/>
  <w15:chartTrackingRefBased/>
  <w15:docId w15:val="{CF171489-8360-4735-99B5-AFE6F992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788"/>
    <w:rPr>
      <w:rFonts w:ascii="Times New Roman" w:eastAsia="Times New Roman" w:hAnsi="Times New Roman" w:cs="Times New Roman"/>
      <w:kern w:val="0"/>
      <w:sz w:val="3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1788"/>
    <w:rPr>
      <w:rFonts w:ascii="Century" w:eastAsia="Century" w:hAnsi="Century" w:cs="Century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qFormat/>
    <w:rsid w:val="001D1788"/>
    <w:pPr>
      <w:spacing w:before="100" w:beforeAutospacing="1" w:after="100" w:afterAutospacing="1"/>
    </w:pPr>
    <w:rPr>
      <w:sz w:val="24"/>
    </w:rPr>
  </w:style>
  <w:style w:type="paragraph" w:styleId="a4">
    <w:name w:val="Revision"/>
    <w:hidden/>
    <w:uiPriority w:val="99"/>
    <w:semiHidden/>
    <w:rsid w:val="001A6B5C"/>
    <w:rPr>
      <w:rFonts w:ascii="Times New Roman" w:eastAsia="Times New Roman" w:hAnsi="Times New Roman" w:cs="Times New Roman"/>
      <w:kern w:val="0"/>
      <w:sz w:val="36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FE24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242B"/>
    <w:rPr>
      <w:rFonts w:ascii="Times New Roman" w:eastAsia="Times New Roman" w:hAnsi="Times New Roman" w:cs="Times New Roman"/>
      <w:kern w:val="0"/>
      <w:sz w:val="36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FE24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242B"/>
    <w:rPr>
      <w:rFonts w:ascii="Times New Roman" w:eastAsia="Times New Roman" w:hAnsi="Times New Roman" w:cs="Times New Roman"/>
      <w:kern w:val="0"/>
      <w:sz w:val="36"/>
      <w:szCs w:val="20"/>
      <w:lang w:eastAsia="en-US"/>
    </w:rPr>
  </w:style>
  <w:style w:type="character" w:styleId="a9">
    <w:name w:val="annotation reference"/>
    <w:basedOn w:val="a0"/>
    <w:unhideWhenUsed/>
    <w:rsid w:val="00B3577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3577F"/>
    <w:rPr>
      <w:sz w:val="20"/>
    </w:rPr>
  </w:style>
  <w:style w:type="character" w:customStyle="1" w:styleId="ab">
    <w:name w:val="コメント文字列 (文字)"/>
    <w:basedOn w:val="a0"/>
    <w:link w:val="aa"/>
    <w:uiPriority w:val="99"/>
    <w:rsid w:val="00B3577F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577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3577F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0C6DB-E8A0-4609-8003-C7DEB905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遠藤 努</dc:creator>
  <cp:lastModifiedBy>Endo Tsutomu</cp:lastModifiedBy>
  <cp:revision>13</cp:revision>
  <dcterms:created xsi:type="dcterms:W3CDTF">2023-04-03T13:44:00Z</dcterms:created>
  <dcterms:modified xsi:type="dcterms:W3CDTF">2023-04-12T08:44:00Z</dcterms:modified>
</cp:coreProperties>
</file>