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0633" w14:textId="5EBFB812" w:rsidR="00640466" w:rsidRPr="00640466" w:rsidRDefault="00640466">
      <w:pPr>
        <w:rPr>
          <w:rFonts w:ascii="Arial" w:hAnsi="Arial" w:cs="Arial"/>
        </w:rPr>
      </w:pPr>
      <w:r w:rsidRPr="00640466">
        <w:rPr>
          <w:rFonts w:ascii="Arial" w:hAnsi="Arial" w:cs="Arial"/>
        </w:rPr>
        <w:t>Supplementary table 2: Therapies received following axitinib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900"/>
        <w:gridCol w:w="1900"/>
        <w:gridCol w:w="1900"/>
        <w:gridCol w:w="1900"/>
        <w:gridCol w:w="1900"/>
        <w:gridCol w:w="1901"/>
      </w:tblGrid>
      <w:tr w:rsidR="00795F28" w:rsidRPr="00640466" w14:paraId="23E2A1E9" w14:textId="77777777" w:rsidTr="00952867">
        <w:trPr>
          <w:trHeight w:val="360"/>
        </w:trPr>
        <w:tc>
          <w:tcPr>
            <w:tcW w:w="2547" w:type="dxa"/>
            <w:noWrap/>
            <w:vAlign w:val="center"/>
            <w:hideMark/>
          </w:tcPr>
          <w:p w14:paraId="3D93462C" w14:textId="77777777" w:rsidR="00795F28" w:rsidRPr="00952867" w:rsidRDefault="00795F28" w:rsidP="0095286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952867">
              <w:rPr>
                <w:rFonts w:ascii="Arial" w:hAnsi="Arial" w:cs="Arial"/>
                <w:b/>
                <w:bCs/>
                <w:szCs w:val="21"/>
              </w:rPr>
              <w:t>Following axitinib</w:t>
            </w:r>
          </w:p>
        </w:tc>
        <w:tc>
          <w:tcPr>
            <w:tcW w:w="1900" w:type="dxa"/>
            <w:noWrap/>
            <w:vAlign w:val="center"/>
            <w:hideMark/>
          </w:tcPr>
          <w:p w14:paraId="55F7E6A4" w14:textId="77777777" w:rsidR="00795F28" w:rsidRPr="00952867" w:rsidRDefault="00795F28" w:rsidP="00952867">
            <w:pPr>
              <w:jc w:val="center"/>
              <w:rPr>
                <w:rFonts w:ascii="Arial" w:hAnsi="Arial" w:cs="Arial"/>
                <w:szCs w:val="21"/>
              </w:rPr>
            </w:pPr>
            <w:r w:rsidRPr="00952867">
              <w:rPr>
                <w:rFonts w:ascii="Arial" w:hAnsi="Arial" w:cs="Arial"/>
                <w:szCs w:val="21"/>
              </w:rPr>
              <w:t>Dialysis (n=16)</w:t>
            </w:r>
          </w:p>
        </w:tc>
        <w:tc>
          <w:tcPr>
            <w:tcW w:w="1900" w:type="dxa"/>
            <w:noWrap/>
            <w:vAlign w:val="center"/>
            <w:hideMark/>
          </w:tcPr>
          <w:p w14:paraId="2258078F" w14:textId="59558EF9" w:rsidR="00795F28" w:rsidRPr="00952867" w:rsidRDefault="00245656" w:rsidP="00952867">
            <w:pPr>
              <w:jc w:val="center"/>
              <w:rPr>
                <w:rFonts w:ascii="Arial" w:hAnsi="Arial" w:cs="Arial"/>
                <w:szCs w:val="21"/>
              </w:rPr>
            </w:pPr>
            <w:r w:rsidRPr="00952867">
              <w:rPr>
                <w:rFonts w:ascii="Arial" w:hAnsi="Arial" w:cs="Arial"/>
                <w:szCs w:val="21"/>
              </w:rPr>
              <w:t>eGFR</w:t>
            </w:r>
            <w:r w:rsidR="00F65E42">
              <w:rPr>
                <w:rFonts w:ascii="Arial" w:hAnsi="Arial" w:cs="Arial"/>
                <w:szCs w:val="21"/>
              </w:rPr>
              <w:t xml:space="preserve"> </w:t>
            </w:r>
            <w:r w:rsidRPr="00952867">
              <w:rPr>
                <w:rFonts w:ascii="Arial" w:hAnsi="Arial" w:cs="Arial"/>
                <w:szCs w:val="21"/>
              </w:rPr>
              <w:t>&lt;30 ml/min (n=45)</w:t>
            </w:r>
          </w:p>
        </w:tc>
        <w:tc>
          <w:tcPr>
            <w:tcW w:w="1900" w:type="dxa"/>
            <w:noWrap/>
            <w:vAlign w:val="center"/>
            <w:hideMark/>
          </w:tcPr>
          <w:p w14:paraId="2626B498" w14:textId="743967F1" w:rsidR="00795F28" w:rsidRPr="00952867" w:rsidRDefault="00245656" w:rsidP="00952867">
            <w:pPr>
              <w:jc w:val="center"/>
              <w:rPr>
                <w:rFonts w:ascii="Arial" w:hAnsi="Arial" w:cs="Arial"/>
                <w:szCs w:val="21"/>
              </w:rPr>
            </w:pPr>
            <w:r w:rsidRPr="00952867">
              <w:rPr>
                <w:rFonts w:ascii="Arial" w:hAnsi="Arial" w:cs="Arial"/>
                <w:szCs w:val="21"/>
              </w:rPr>
              <w:t>30 ml/min ≤</w:t>
            </w:r>
            <w:r w:rsidR="00F65E42">
              <w:rPr>
                <w:rFonts w:ascii="Arial" w:hAnsi="Arial" w:cs="Arial"/>
                <w:szCs w:val="21"/>
              </w:rPr>
              <w:t xml:space="preserve"> </w:t>
            </w:r>
            <w:r w:rsidRPr="00952867">
              <w:rPr>
                <w:rFonts w:ascii="Arial" w:hAnsi="Arial" w:cs="Arial"/>
                <w:szCs w:val="21"/>
              </w:rPr>
              <w:t>eGFR &lt;45 ml/min (n=130)</w:t>
            </w:r>
          </w:p>
        </w:tc>
        <w:tc>
          <w:tcPr>
            <w:tcW w:w="1900" w:type="dxa"/>
            <w:noWrap/>
            <w:vAlign w:val="center"/>
            <w:hideMark/>
          </w:tcPr>
          <w:p w14:paraId="35EAF52D" w14:textId="2935137D" w:rsidR="00795F28" w:rsidRPr="00952867" w:rsidRDefault="00245656" w:rsidP="00952867">
            <w:pPr>
              <w:jc w:val="center"/>
              <w:rPr>
                <w:rFonts w:ascii="Arial" w:hAnsi="Arial" w:cs="Arial"/>
                <w:szCs w:val="21"/>
              </w:rPr>
            </w:pPr>
            <w:r w:rsidRPr="00952867">
              <w:rPr>
                <w:rFonts w:ascii="Arial" w:hAnsi="Arial" w:cs="Arial"/>
                <w:szCs w:val="21"/>
              </w:rPr>
              <w:t>45 ml/min ≤</w:t>
            </w:r>
            <w:r w:rsidR="00F65E42">
              <w:rPr>
                <w:rFonts w:ascii="Arial" w:hAnsi="Arial" w:cs="Arial"/>
                <w:szCs w:val="21"/>
              </w:rPr>
              <w:t xml:space="preserve"> </w:t>
            </w:r>
            <w:r w:rsidRPr="00952867">
              <w:rPr>
                <w:rFonts w:ascii="Arial" w:hAnsi="Arial" w:cs="Arial"/>
                <w:szCs w:val="21"/>
              </w:rPr>
              <w:t>eGFR &lt;60 ml/min (n=153)</w:t>
            </w:r>
          </w:p>
        </w:tc>
        <w:tc>
          <w:tcPr>
            <w:tcW w:w="1900" w:type="dxa"/>
            <w:noWrap/>
            <w:vAlign w:val="center"/>
            <w:hideMark/>
          </w:tcPr>
          <w:p w14:paraId="11CC7D8B" w14:textId="3067739D" w:rsidR="00795F28" w:rsidRPr="00952867" w:rsidRDefault="00F65E42" w:rsidP="00952867">
            <w:pPr>
              <w:jc w:val="center"/>
              <w:rPr>
                <w:rFonts w:ascii="Arial" w:hAnsi="Arial" w:cs="Arial"/>
                <w:szCs w:val="21"/>
              </w:rPr>
            </w:pPr>
            <w:r w:rsidRPr="00F65E42">
              <w:rPr>
                <w:rFonts w:ascii="Arial" w:hAnsi="Arial" w:cs="Arial"/>
                <w:szCs w:val="21"/>
              </w:rPr>
              <w:t>60 ml/min ≤ eGFR (n=133)</w:t>
            </w:r>
          </w:p>
        </w:tc>
        <w:tc>
          <w:tcPr>
            <w:tcW w:w="1901" w:type="dxa"/>
            <w:noWrap/>
            <w:vAlign w:val="center"/>
            <w:hideMark/>
          </w:tcPr>
          <w:p w14:paraId="6CF8E7D4" w14:textId="77777777" w:rsidR="00795F28" w:rsidRPr="00952867" w:rsidRDefault="00795F28" w:rsidP="0095286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952867">
              <w:rPr>
                <w:rFonts w:ascii="Arial" w:hAnsi="Arial" w:cs="Arial"/>
                <w:b/>
                <w:bCs/>
                <w:szCs w:val="21"/>
              </w:rPr>
              <w:t>All (n=477)</w:t>
            </w:r>
          </w:p>
        </w:tc>
      </w:tr>
      <w:tr w:rsidR="002765F6" w:rsidRPr="00640466" w14:paraId="22736443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486A1EB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Nivolumab</w:t>
            </w:r>
          </w:p>
        </w:tc>
        <w:tc>
          <w:tcPr>
            <w:tcW w:w="1900" w:type="dxa"/>
            <w:noWrap/>
            <w:hideMark/>
          </w:tcPr>
          <w:p w14:paraId="2A293FBA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(40.0%)</w:t>
            </w:r>
          </w:p>
        </w:tc>
        <w:tc>
          <w:tcPr>
            <w:tcW w:w="1900" w:type="dxa"/>
            <w:noWrap/>
            <w:hideMark/>
          </w:tcPr>
          <w:p w14:paraId="0B7E95F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10 (47.6%)</w:t>
            </w:r>
          </w:p>
        </w:tc>
        <w:tc>
          <w:tcPr>
            <w:tcW w:w="1900" w:type="dxa"/>
            <w:noWrap/>
            <w:hideMark/>
          </w:tcPr>
          <w:p w14:paraId="124C04F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27 (43.5%)</w:t>
            </w:r>
          </w:p>
        </w:tc>
        <w:tc>
          <w:tcPr>
            <w:tcW w:w="1900" w:type="dxa"/>
            <w:noWrap/>
            <w:hideMark/>
          </w:tcPr>
          <w:p w14:paraId="09664DB9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41 (47.7%)</w:t>
            </w:r>
          </w:p>
        </w:tc>
        <w:tc>
          <w:tcPr>
            <w:tcW w:w="1900" w:type="dxa"/>
            <w:noWrap/>
            <w:hideMark/>
          </w:tcPr>
          <w:p w14:paraId="34C0603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33 (44.0%)</w:t>
            </w:r>
          </w:p>
        </w:tc>
        <w:tc>
          <w:tcPr>
            <w:tcW w:w="1901" w:type="dxa"/>
            <w:noWrap/>
            <w:hideMark/>
          </w:tcPr>
          <w:p w14:paraId="5337E5B0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113 (45.4%)</w:t>
            </w:r>
          </w:p>
        </w:tc>
      </w:tr>
      <w:tr w:rsidR="002765F6" w:rsidRPr="00640466" w14:paraId="6B55BB2A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3FDA113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Sunitinib</w:t>
            </w:r>
          </w:p>
        </w:tc>
        <w:tc>
          <w:tcPr>
            <w:tcW w:w="1900" w:type="dxa"/>
            <w:noWrap/>
            <w:hideMark/>
          </w:tcPr>
          <w:p w14:paraId="2BD351A2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0 (0%)</w:t>
            </w:r>
          </w:p>
        </w:tc>
        <w:tc>
          <w:tcPr>
            <w:tcW w:w="1900" w:type="dxa"/>
            <w:noWrap/>
            <w:hideMark/>
          </w:tcPr>
          <w:p w14:paraId="64EF87D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(9.5%)</w:t>
            </w:r>
          </w:p>
        </w:tc>
        <w:tc>
          <w:tcPr>
            <w:tcW w:w="1900" w:type="dxa"/>
            <w:noWrap/>
            <w:hideMark/>
          </w:tcPr>
          <w:p w14:paraId="543B5B0F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9 (14.5%)</w:t>
            </w:r>
          </w:p>
        </w:tc>
        <w:tc>
          <w:tcPr>
            <w:tcW w:w="1900" w:type="dxa"/>
            <w:noWrap/>
            <w:hideMark/>
          </w:tcPr>
          <w:p w14:paraId="0421366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10 (11.6%)</w:t>
            </w:r>
          </w:p>
        </w:tc>
        <w:tc>
          <w:tcPr>
            <w:tcW w:w="1900" w:type="dxa"/>
            <w:noWrap/>
            <w:hideMark/>
          </w:tcPr>
          <w:p w14:paraId="092FD83F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6 (8.0%)</w:t>
            </w:r>
          </w:p>
        </w:tc>
        <w:tc>
          <w:tcPr>
            <w:tcW w:w="1901" w:type="dxa"/>
            <w:noWrap/>
            <w:hideMark/>
          </w:tcPr>
          <w:p w14:paraId="0B87946C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27 (10.8%)</w:t>
            </w:r>
          </w:p>
        </w:tc>
      </w:tr>
      <w:tr w:rsidR="002765F6" w:rsidRPr="00640466" w14:paraId="28FDFBD9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52FA227B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Pazopanib</w:t>
            </w:r>
          </w:p>
        </w:tc>
        <w:tc>
          <w:tcPr>
            <w:tcW w:w="1900" w:type="dxa"/>
            <w:noWrap/>
            <w:hideMark/>
          </w:tcPr>
          <w:p w14:paraId="6109BBFF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0 (0%)</w:t>
            </w:r>
          </w:p>
        </w:tc>
        <w:tc>
          <w:tcPr>
            <w:tcW w:w="1900" w:type="dxa"/>
            <w:noWrap/>
            <w:hideMark/>
          </w:tcPr>
          <w:p w14:paraId="4D7E146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 (19.0%)</w:t>
            </w:r>
          </w:p>
        </w:tc>
        <w:tc>
          <w:tcPr>
            <w:tcW w:w="1900" w:type="dxa"/>
            <w:noWrap/>
            <w:hideMark/>
          </w:tcPr>
          <w:p w14:paraId="78E0B8E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10 (16.1%)</w:t>
            </w:r>
          </w:p>
        </w:tc>
        <w:tc>
          <w:tcPr>
            <w:tcW w:w="1900" w:type="dxa"/>
            <w:noWrap/>
            <w:hideMark/>
          </w:tcPr>
          <w:p w14:paraId="60229D2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13 (15.1%)</w:t>
            </w:r>
          </w:p>
        </w:tc>
        <w:tc>
          <w:tcPr>
            <w:tcW w:w="1900" w:type="dxa"/>
            <w:noWrap/>
            <w:hideMark/>
          </w:tcPr>
          <w:p w14:paraId="2AF3F18E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15 (20.0%)</w:t>
            </w:r>
          </w:p>
        </w:tc>
        <w:tc>
          <w:tcPr>
            <w:tcW w:w="1901" w:type="dxa"/>
            <w:noWrap/>
            <w:hideMark/>
          </w:tcPr>
          <w:p w14:paraId="6B86AF3F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42 (16.9%)</w:t>
            </w:r>
          </w:p>
        </w:tc>
      </w:tr>
      <w:tr w:rsidR="002765F6" w:rsidRPr="00640466" w14:paraId="1162AE0E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32B38654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Sorafenib</w:t>
            </w:r>
          </w:p>
        </w:tc>
        <w:tc>
          <w:tcPr>
            <w:tcW w:w="1900" w:type="dxa"/>
            <w:noWrap/>
            <w:hideMark/>
          </w:tcPr>
          <w:p w14:paraId="2C351DD5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 (20.0%)</w:t>
            </w:r>
          </w:p>
        </w:tc>
        <w:tc>
          <w:tcPr>
            <w:tcW w:w="1900" w:type="dxa"/>
            <w:noWrap/>
            <w:hideMark/>
          </w:tcPr>
          <w:p w14:paraId="0CC63BA4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0 (0%)</w:t>
            </w:r>
          </w:p>
        </w:tc>
        <w:tc>
          <w:tcPr>
            <w:tcW w:w="1900" w:type="dxa"/>
            <w:noWrap/>
            <w:hideMark/>
          </w:tcPr>
          <w:p w14:paraId="2BEAAC1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(3.2%)</w:t>
            </w:r>
          </w:p>
        </w:tc>
        <w:tc>
          <w:tcPr>
            <w:tcW w:w="1900" w:type="dxa"/>
            <w:noWrap/>
            <w:hideMark/>
          </w:tcPr>
          <w:p w14:paraId="64D8B9F5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5 (5.8%)</w:t>
            </w:r>
          </w:p>
        </w:tc>
        <w:tc>
          <w:tcPr>
            <w:tcW w:w="1900" w:type="dxa"/>
            <w:noWrap/>
            <w:hideMark/>
          </w:tcPr>
          <w:p w14:paraId="6962D06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 (5.3%)</w:t>
            </w:r>
          </w:p>
        </w:tc>
        <w:tc>
          <w:tcPr>
            <w:tcW w:w="1901" w:type="dxa"/>
            <w:noWrap/>
            <w:hideMark/>
          </w:tcPr>
          <w:p w14:paraId="0EE20EE9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12 (4.8%)</w:t>
            </w:r>
          </w:p>
        </w:tc>
      </w:tr>
      <w:tr w:rsidR="002765F6" w:rsidRPr="00640466" w14:paraId="32A82973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11BC0569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Everolimus</w:t>
            </w:r>
          </w:p>
        </w:tc>
        <w:tc>
          <w:tcPr>
            <w:tcW w:w="1900" w:type="dxa"/>
            <w:noWrap/>
            <w:hideMark/>
          </w:tcPr>
          <w:p w14:paraId="75285B1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0 (0%)</w:t>
            </w:r>
          </w:p>
        </w:tc>
        <w:tc>
          <w:tcPr>
            <w:tcW w:w="1900" w:type="dxa"/>
            <w:noWrap/>
            <w:hideMark/>
          </w:tcPr>
          <w:p w14:paraId="283A97C9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(9.5%)</w:t>
            </w:r>
          </w:p>
        </w:tc>
        <w:tc>
          <w:tcPr>
            <w:tcW w:w="1900" w:type="dxa"/>
            <w:noWrap/>
            <w:hideMark/>
          </w:tcPr>
          <w:p w14:paraId="6ADDB03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8 (12.9%)</w:t>
            </w:r>
          </w:p>
        </w:tc>
        <w:tc>
          <w:tcPr>
            <w:tcW w:w="1900" w:type="dxa"/>
            <w:noWrap/>
            <w:hideMark/>
          </w:tcPr>
          <w:p w14:paraId="55BD2E2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7 (8.1%)</w:t>
            </w:r>
          </w:p>
        </w:tc>
        <w:tc>
          <w:tcPr>
            <w:tcW w:w="1900" w:type="dxa"/>
            <w:noWrap/>
            <w:hideMark/>
          </w:tcPr>
          <w:p w14:paraId="55A06CCD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8 (10.7%)</w:t>
            </w:r>
          </w:p>
        </w:tc>
        <w:tc>
          <w:tcPr>
            <w:tcW w:w="1901" w:type="dxa"/>
            <w:noWrap/>
            <w:hideMark/>
          </w:tcPr>
          <w:p w14:paraId="067ADE20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25 (10.0%)</w:t>
            </w:r>
          </w:p>
        </w:tc>
      </w:tr>
      <w:tr w:rsidR="002765F6" w:rsidRPr="00640466" w14:paraId="09353454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784AE09D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Temsirolimus</w:t>
            </w:r>
          </w:p>
        </w:tc>
        <w:tc>
          <w:tcPr>
            <w:tcW w:w="1900" w:type="dxa"/>
            <w:noWrap/>
            <w:hideMark/>
          </w:tcPr>
          <w:p w14:paraId="6B97DDF2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 (20.0%)</w:t>
            </w:r>
          </w:p>
        </w:tc>
        <w:tc>
          <w:tcPr>
            <w:tcW w:w="1900" w:type="dxa"/>
            <w:noWrap/>
            <w:hideMark/>
          </w:tcPr>
          <w:p w14:paraId="3C2A70F2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(9.5%)</w:t>
            </w:r>
          </w:p>
        </w:tc>
        <w:tc>
          <w:tcPr>
            <w:tcW w:w="1900" w:type="dxa"/>
            <w:noWrap/>
            <w:hideMark/>
          </w:tcPr>
          <w:p w14:paraId="433BBA46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2 (3.2%)</w:t>
            </w:r>
          </w:p>
        </w:tc>
        <w:tc>
          <w:tcPr>
            <w:tcW w:w="1900" w:type="dxa"/>
            <w:noWrap/>
            <w:hideMark/>
          </w:tcPr>
          <w:p w14:paraId="6565D868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 (4.7%)</w:t>
            </w:r>
          </w:p>
        </w:tc>
        <w:tc>
          <w:tcPr>
            <w:tcW w:w="1900" w:type="dxa"/>
            <w:noWrap/>
            <w:hideMark/>
          </w:tcPr>
          <w:p w14:paraId="0F2C0AD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 (5.3%)</w:t>
            </w:r>
          </w:p>
        </w:tc>
        <w:tc>
          <w:tcPr>
            <w:tcW w:w="1901" w:type="dxa"/>
            <w:noWrap/>
            <w:hideMark/>
          </w:tcPr>
          <w:p w14:paraId="27A893A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13 (5.2%)</w:t>
            </w:r>
          </w:p>
        </w:tc>
      </w:tr>
      <w:tr w:rsidR="002765F6" w:rsidRPr="00640466" w14:paraId="6A2EA0F0" w14:textId="77777777" w:rsidTr="00640466">
        <w:trPr>
          <w:trHeight w:val="360"/>
        </w:trPr>
        <w:tc>
          <w:tcPr>
            <w:tcW w:w="2547" w:type="dxa"/>
            <w:noWrap/>
            <w:hideMark/>
          </w:tcPr>
          <w:p w14:paraId="59253901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Other</w:t>
            </w:r>
          </w:p>
        </w:tc>
        <w:tc>
          <w:tcPr>
            <w:tcW w:w="1900" w:type="dxa"/>
            <w:noWrap/>
            <w:hideMark/>
          </w:tcPr>
          <w:p w14:paraId="0408C7F0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 (20.0%)</w:t>
            </w:r>
          </w:p>
        </w:tc>
        <w:tc>
          <w:tcPr>
            <w:tcW w:w="1900" w:type="dxa"/>
            <w:noWrap/>
            <w:hideMark/>
          </w:tcPr>
          <w:p w14:paraId="5FEAFD3B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 (4.8%)</w:t>
            </w:r>
          </w:p>
        </w:tc>
        <w:tc>
          <w:tcPr>
            <w:tcW w:w="1900" w:type="dxa"/>
            <w:noWrap/>
            <w:hideMark/>
          </w:tcPr>
          <w:p w14:paraId="55019F5E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4 (6.5%)</w:t>
            </w:r>
          </w:p>
        </w:tc>
        <w:tc>
          <w:tcPr>
            <w:tcW w:w="1900" w:type="dxa"/>
            <w:noWrap/>
            <w:hideMark/>
          </w:tcPr>
          <w:p w14:paraId="3A4BB84F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6 (7.0%)</w:t>
            </w:r>
          </w:p>
        </w:tc>
        <w:tc>
          <w:tcPr>
            <w:tcW w:w="1900" w:type="dxa"/>
            <w:noWrap/>
            <w:hideMark/>
          </w:tcPr>
          <w:p w14:paraId="05EA7C67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5 (6.7%)</w:t>
            </w:r>
          </w:p>
        </w:tc>
        <w:tc>
          <w:tcPr>
            <w:tcW w:w="1901" w:type="dxa"/>
            <w:noWrap/>
            <w:hideMark/>
          </w:tcPr>
          <w:p w14:paraId="0FB33CC2" w14:textId="77777777" w:rsidR="002765F6" w:rsidRPr="00640466" w:rsidRDefault="002765F6">
            <w:pPr>
              <w:rPr>
                <w:rFonts w:ascii="Arial" w:hAnsi="Arial" w:cs="Arial"/>
              </w:rPr>
            </w:pPr>
            <w:r w:rsidRPr="00640466">
              <w:rPr>
                <w:rFonts w:ascii="Arial" w:hAnsi="Arial" w:cs="Arial"/>
              </w:rPr>
              <w:t>17 (6.8%)</w:t>
            </w:r>
          </w:p>
        </w:tc>
      </w:tr>
    </w:tbl>
    <w:p w14:paraId="5BF82A81" w14:textId="3B054835" w:rsidR="00C75716" w:rsidRPr="00640466" w:rsidRDefault="00C75716">
      <w:pPr>
        <w:rPr>
          <w:rFonts w:ascii="Arial" w:hAnsi="Arial" w:cs="Arial"/>
        </w:rPr>
      </w:pPr>
    </w:p>
    <w:sectPr w:rsidR="00C75716" w:rsidRPr="00640466" w:rsidSect="002765F6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638E6" w14:textId="77777777" w:rsidR="00E63A2D" w:rsidRDefault="00E63A2D" w:rsidP="00795F28">
      <w:r>
        <w:separator/>
      </w:r>
    </w:p>
  </w:endnote>
  <w:endnote w:type="continuationSeparator" w:id="0">
    <w:p w14:paraId="7D9C63C3" w14:textId="77777777" w:rsidR="00E63A2D" w:rsidRDefault="00E63A2D" w:rsidP="0079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33E95" w14:textId="77777777" w:rsidR="00E63A2D" w:rsidRDefault="00E63A2D" w:rsidP="00795F28">
      <w:r>
        <w:separator/>
      </w:r>
    </w:p>
  </w:footnote>
  <w:footnote w:type="continuationSeparator" w:id="0">
    <w:p w14:paraId="7B13C58D" w14:textId="77777777" w:rsidR="00E63A2D" w:rsidRDefault="00E63A2D" w:rsidP="00795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39"/>
    <w:rsid w:val="00245656"/>
    <w:rsid w:val="002765F6"/>
    <w:rsid w:val="00287978"/>
    <w:rsid w:val="002A213A"/>
    <w:rsid w:val="002B65CB"/>
    <w:rsid w:val="006315B3"/>
    <w:rsid w:val="00640466"/>
    <w:rsid w:val="00795F28"/>
    <w:rsid w:val="00820239"/>
    <w:rsid w:val="008B36B1"/>
    <w:rsid w:val="00952867"/>
    <w:rsid w:val="00C75716"/>
    <w:rsid w:val="00E63A2D"/>
    <w:rsid w:val="00F6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623A"/>
  <w15:chartTrackingRefBased/>
  <w15:docId w15:val="{8419F5AD-A7A1-4A94-9BC5-8464ED85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5F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5F28"/>
  </w:style>
  <w:style w:type="paragraph" w:styleId="a6">
    <w:name w:val="footer"/>
    <w:basedOn w:val="a"/>
    <w:link w:val="a7"/>
    <w:uiPriority w:val="99"/>
    <w:unhideWhenUsed/>
    <w:rsid w:val="00795F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5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607</Characters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2022-11-23T13:14:00Z</dcterms:created>
  <dcterms:modified xsi:type="dcterms:W3CDTF">2023-08-01T07:52:00Z</dcterms:modified>
</cp:coreProperties>
</file>