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FE4F9" w14:textId="77777777" w:rsidR="008D1033" w:rsidRDefault="008D1033">
      <w:pPr>
        <w:widowControl/>
        <w:jc w:val="left"/>
      </w:pPr>
    </w:p>
    <w:p w14:paraId="472D054C" w14:textId="77777777" w:rsidR="008D1033" w:rsidRDefault="008D1033">
      <w:pPr>
        <w:widowControl/>
        <w:jc w:val="left"/>
      </w:pPr>
    </w:p>
    <w:p w14:paraId="5B3858E8" w14:textId="1AD3E45A" w:rsidR="008D1033" w:rsidRDefault="00CC072E" w:rsidP="00CC072E">
      <w:pPr>
        <w:widowControl/>
        <w:jc w:val="center"/>
      </w:pPr>
      <w:r>
        <w:rPr>
          <w:noProof/>
        </w:rPr>
        <w:drawing>
          <wp:inline distT="0" distB="0" distL="0" distR="0" wp14:anchorId="1DB24802" wp14:editId="07C77ADA">
            <wp:extent cx="3621024" cy="1414272"/>
            <wp:effectExtent l="0" t="0" r="0" b="0"/>
            <wp:docPr id="19986118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11875" name="図 199861187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B16BB" w14:textId="3ED3FFDE" w:rsidR="008D1033" w:rsidRDefault="008D1033">
      <w:pPr>
        <w:widowControl/>
        <w:jc w:val="left"/>
      </w:pPr>
    </w:p>
    <w:p w14:paraId="660BABE8" w14:textId="68CECF53" w:rsidR="008D1033" w:rsidRDefault="008D1033">
      <w:pPr>
        <w:widowControl/>
        <w:jc w:val="left"/>
      </w:pPr>
    </w:p>
    <w:p w14:paraId="60F4A081" w14:textId="23BE70A6" w:rsidR="008D1033" w:rsidRDefault="008D1033">
      <w:pPr>
        <w:widowControl/>
        <w:jc w:val="left"/>
      </w:pPr>
    </w:p>
    <w:p w14:paraId="5BF4467A" w14:textId="45409CAC" w:rsidR="008D1033" w:rsidRDefault="008D1033">
      <w:pPr>
        <w:widowControl/>
        <w:jc w:val="left"/>
      </w:pPr>
    </w:p>
    <w:p w14:paraId="5AC750F8" w14:textId="2B7A15CF" w:rsidR="008D1033" w:rsidRDefault="008D1033">
      <w:pPr>
        <w:widowControl/>
        <w:jc w:val="left"/>
      </w:pPr>
    </w:p>
    <w:p w14:paraId="05A36644" w14:textId="63FEEEE3" w:rsidR="008D1033" w:rsidRPr="00BF4ED6" w:rsidRDefault="008D1033" w:rsidP="00BF4ED6">
      <w:pPr>
        <w:widowControl/>
        <w:rPr>
          <w:rFonts w:ascii="Century" w:hAnsi="Century"/>
        </w:rPr>
      </w:pPr>
      <w:r w:rsidRPr="00BF4ED6">
        <w:rPr>
          <w:rFonts w:ascii="Century" w:hAnsi="Century"/>
        </w:rPr>
        <w:t>Supplemental Fig. 1.</w:t>
      </w:r>
      <w:r w:rsidR="00865E3D" w:rsidRPr="00BF4ED6">
        <w:rPr>
          <w:rFonts w:ascii="Century" w:hAnsi="Century"/>
        </w:rPr>
        <w:t xml:space="preserve"> Neuron-enriched culture from spinal cord of fetal rats. Representative images</w:t>
      </w:r>
      <w:r w:rsidR="00427E28" w:rsidRPr="00BF4ED6">
        <w:rPr>
          <w:rFonts w:ascii="Century" w:hAnsi="Century"/>
        </w:rPr>
        <w:t xml:space="preserve"> of</w:t>
      </w:r>
      <w:r w:rsidR="00865E3D" w:rsidRPr="00BF4ED6">
        <w:rPr>
          <w:rFonts w:ascii="Century" w:hAnsi="Century"/>
        </w:rPr>
        <w:t xml:space="preserve"> </w:t>
      </w:r>
      <w:r w:rsidR="00427E28" w:rsidRPr="00BF4ED6">
        <w:rPr>
          <w:rFonts w:ascii="Century" w:hAnsi="Century"/>
        </w:rPr>
        <w:t xml:space="preserve">immunofluorescent staining </w:t>
      </w:r>
      <w:r w:rsidR="00865E3D" w:rsidRPr="00BF4ED6">
        <w:rPr>
          <w:rFonts w:ascii="Century" w:hAnsi="Century"/>
        </w:rPr>
        <w:t>for CBS (green), GFAP (red) and MPA2 (white)</w:t>
      </w:r>
      <w:r w:rsidR="00427E28" w:rsidRPr="00BF4ED6">
        <w:rPr>
          <w:rFonts w:ascii="Century" w:hAnsi="Century"/>
        </w:rPr>
        <w:t xml:space="preserve">. </w:t>
      </w:r>
      <w:bookmarkStart w:id="0" w:name="_Hlk67645553"/>
      <w:r w:rsidR="00427E28" w:rsidRPr="00BF4ED6">
        <w:rPr>
          <w:rFonts w:ascii="Century" w:hAnsi="Century"/>
        </w:rPr>
        <w:t xml:space="preserve">Scale bar indicates 50 </w:t>
      </w:r>
      <w:proofErr w:type="spellStart"/>
      <w:r w:rsidR="00427E28" w:rsidRPr="00BF4ED6">
        <w:rPr>
          <w:rFonts w:ascii="Century" w:eastAsiaTheme="minorHAnsi" w:hAnsi="Century"/>
        </w:rPr>
        <w:t>μ</w:t>
      </w:r>
      <w:r w:rsidR="00427E28" w:rsidRPr="00BF4ED6">
        <w:rPr>
          <w:rFonts w:ascii="Century" w:hAnsi="Century"/>
        </w:rPr>
        <w:t>m</w:t>
      </w:r>
      <w:proofErr w:type="spellEnd"/>
      <w:r w:rsidR="00427E28" w:rsidRPr="00BF4ED6">
        <w:rPr>
          <w:rFonts w:ascii="Century" w:hAnsi="Century"/>
        </w:rPr>
        <w:t>.</w:t>
      </w:r>
      <w:bookmarkEnd w:id="0"/>
      <w:r w:rsidR="00D73C57" w:rsidRPr="00BF4ED6">
        <w:rPr>
          <w:rFonts w:ascii="Century" w:hAnsi="Century"/>
        </w:rPr>
        <w:t xml:space="preserve"> The cells isolated from spinal cord of </w:t>
      </w:r>
      <w:r w:rsidR="00D73C57" w:rsidRPr="00BF4ED6">
        <w:rPr>
          <w:rFonts w:ascii="Century" w:hAnsi="Century" w:cs="Times New Roman"/>
        </w:rPr>
        <w:t>embryonic day 16 rats</w:t>
      </w:r>
      <w:r w:rsidR="00D73C57" w:rsidRPr="00BF4ED6">
        <w:rPr>
          <w:rFonts w:ascii="Century" w:hAnsi="Century"/>
        </w:rPr>
        <w:t xml:space="preserve"> were seeded at a density of 5 × 10</w:t>
      </w:r>
      <w:r w:rsidR="00D73C57" w:rsidRPr="00BF4ED6">
        <w:rPr>
          <w:rFonts w:ascii="Century" w:hAnsi="Century"/>
          <w:vertAlign w:val="superscript"/>
        </w:rPr>
        <w:t xml:space="preserve">4 </w:t>
      </w:r>
      <w:r w:rsidR="00D73C57" w:rsidRPr="00BF4ED6">
        <w:rPr>
          <w:rFonts w:ascii="Century" w:hAnsi="Century"/>
        </w:rPr>
        <w:t>cells/cm</w:t>
      </w:r>
      <w:r w:rsidR="00D73C57" w:rsidRPr="00BF4ED6">
        <w:rPr>
          <w:rFonts w:ascii="Century" w:hAnsi="Century"/>
          <w:vertAlign w:val="superscript"/>
        </w:rPr>
        <w:t>2</w:t>
      </w:r>
      <w:r w:rsidR="00D73C57" w:rsidRPr="00BF4ED6">
        <w:rPr>
          <w:rFonts w:ascii="Century" w:hAnsi="Century"/>
        </w:rPr>
        <w:t xml:space="preserve">. </w:t>
      </w:r>
      <w:proofErr w:type="spellStart"/>
      <w:r w:rsidR="00D73C57" w:rsidRPr="00BF4ED6">
        <w:rPr>
          <w:rFonts w:ascii="Century" w:hAnsi="Century"/>
        </w:rPr>
        <w:t>AraC</w:t>
      </w:r>
      <w:proofErr w:type="spellEnd"/>
      <w:r w:rsidR="00D73C57" w:rsidRPr="00BF4ED6">
        <w:rPr>
          <w:rFonts w:ascii="Century" w:hAnsi="Century"/>
        </w:rPr>
        <w:t xml:space="preserve"> (1 </w:t>
      </w:r>
      <w:proofErr w:type="spellStart"/>
      <w:r w:rsidR="00D73C57" w:rsidRPr="00BF4ED6">
        <w:rPr>
          <w:rFonts w:ascii="Century" w:hAnsi="Century"/>
        </w:rPr>
        <w:t>μM</w:t>
      </w:r>
      <w:proofErr w:type="spellEnd"/>
      <w:r w:rsidR="00D73C57" w:rsidRPr="00BF4ED6">
        <w:rPr>
          <w:rFonts w:ascii="Century" w:hAnsi="Century"/>
        </w:rPr>
        <w:t xml:space="preserve">) was added 2 days after seeding to inhibit proliferation of non-neuronal cells, and then cells were further cultured for 5 days in the presence of </w:t>
      </w:r>
      <w:proofErr w:type="spellStart"/>
      <w:r w:rsidR="00D73C57" w:rsidRPr="00BF4ED6">
        <w:rPr>
          <w:rFonts w:ascii="Century" w:hAnsi="Century"/>
        </w:rPr>
        <w:t>AraC</w:t>
      </w:r>
      <w:proofErr w:type="spellEnd"/>
      <w:r w:rsidR="00D73C57" w:rsidRPr="00BF4ED6">
        <w:rPr>
          <w:rFonts w:ascii="Century" w:hAnsi="Century"/>
        </w:rPr>
        <w:t>.</w:t>
      </w:r>
    </w:p>
    <w:p w14:paraId="03932C57" w14:textId="4018C60B" w:rsidR="008D1033" w:rsidRDefault="008D1033">
      <w:pPr>
        <w:widowControl/>
        <w:jc w:val="left"/>
      </w:pPr>
    </w:p>
    <w:p w14:paraId="117275EE" w14:textId="6F22EE72" w:rsidR="008D1033" w:rsidRDefault="008D1033">
      <w:pPr>
        <w:widowControl/>
        <w:jc w:val="left"/>
      </w:pPr>
    </w:p>
    <w:p w14:paraId="6A8ED021" w14:textId="77777777" w:rsidR="008D1033" w:rsidRDefault="008D1033">
      <w:pPr>
        <w:widowControl/>
        <w:jc w:val="left"/>
      </w:pPr>
    </w:p>
    <w:p w14:paraId="7AF502B3" w14:textId="6594B106" w:rsidR="008D1033" w:rsidRDefault="008D1033">
      <w:pPr>
        <w:widowControl/>
        <w:jc w:val="left"/>
      </w:pPr>
      <w:r>
        <w:br w:type="page"/>
      </w:r>
    </w:p>
    <w:p w14:paraId="7504A297" w14:textId="77777777" w:rsidR="008D1033" w:rsidRDefault="008D1033">
      <w:pPr>
        <w:widowControl/>
        <w:jc w:val="left"/>
      </w:pPr>
    </w:p>
    <w:p w14:paraId="62EF0FD3" w14:textId="77777777" w:rsidR="004B32B0" w:rsidRDefault="004B32B0"/>
    <w:p w14:paraId="3987C254" w14:textId="177BB526" w:rsidR="009709EA" w:rsidRDefault="00A20A97" w:rsidP="00A20A97">
      <w:pPr>
        <w:jc w:val="center"/>
      </w:pPr>
      <w:r>
        <w:rPr>
          <w:noProof/>
        </w:rPr>
        <w:drawing>
          <wp:inline distT="0" distB="0" distL="0" distR="0" wp14:anchorId="3AE2098D" wp14:editId="5185DCFD">
            <wp:extent cx="4236720" cy="3072384"/>
            <wp:effectExtent l="0" t="0" r="0" b="0"/>
            <wp:docPr id="45882466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24669" name="図 4588246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307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6DD53" w14:textId="1CD5A4E7" w:rsidR="009709EA" w:rsidRDefault="009709EA"/>
    <w:p w14:paraId="7AC012C0" w14:textId="77777777" w:rsidR="00A20A97" w:rsidRDefault="00A20A97"/>
    <w:p w14:paraId="4B23ED09" w14:textId="3C49582C" w:rsidR="009709EA" w:rsidRDefault="009709EA"/>
    <w:p w14:paraId="64C86B05" w14:textId="77BE9340" w:rsidR="009709EA" w:rsidRDefault="009709EA"/>
    <w:p w14:paraId="652408CA" w14:textId="3272280B" w:rsidR="009709EA" w:rsidRDefault="009709EA"/>
    <w:p w14:paraId="6076EEBC" w14:textId="62CFEEC9" w:rsidR="009709EA" w:rsidRPr="00BF4ED6" w:rsidRDefault="009709EA">
      <w:pPr>
        <w:rPr>
          <w:rFonts w:ascii="Century" w:hAnsi="Century"/>
        </w:rPr>
      </w:pPr>
      <w:r w:rsidRPr="00BF4ED6">
        <w:rPr>
          <w:rFonts w:ascii="Century" w:hAnsi="Century"/>
        </w:rPr>
        <w:t xml:space="preserve">Supplemental Fig. </w:t>
      </w:r>
      <w:r w:rsidR="008D1033" w:rsidRPr="00BF4ED6">
        <w:rPr>
          <w:rFonts w:ascii="Century" w:hAnsi="Century"/>
        </w:rPr>
        <w:t>2</w:t>
      </w:r>
      <w:r w:rsidRPr="00BF4ED6">
        <w:rPr>
          <w:rFonts w:ascii="Century" w:hAnsi="Century"/>
        </w:rPr>
        <w:t xml:space="preserve">.  Effect of EGF on CBS expression in astrocyte-enrich culture. Representative western blots of CBS (65 </w:t>
      </w:r>
      <w:proofErr w:type="spellStart"/>
      <w:r w:rsidRPr="00BF4ED6">
        <w:rPr>
          <w:rFonts w:ascii="Century" w:hAnsi="Century"/>
        </w:rPr>
        <w:t>kDa</w:t>
      </w:r>
      <w:proofErr w:type="spellEnd"/>
      <w:r w:rsidRPr="00BF4ED6">
        <w:rPr>
          <w:rFonts w:ascii="Century" w:hAnsi="Century"/>
        </w:rPr>
        <w:t xml:space="preserve">) and GAPDH (37 </w:t>
      </w:r>
      <w:proofErr w:type="spellStart"/>
      <w:r w:rsidRPr="00BF4ED6">
        <w:rPr>
          <w:rFonts w:ascii="Century" w:hAnsi="Century"/>
        </w:rPr>
        <w:t>kDa</w:t>
      </w:r>
      <w:proofErr w:type="spellEnd"/>
      <w:r w:rsidRPr="00BF4ED6">
        <w:rPr>
          <w:rFonts w:ascii="Century" w:hAnsi="Century"/>
        </w:rPr>
        <w:t xml:space="preserve">). Astrocytes were treated with EGF (30 ng/ml) for 4 days. </w:t>
      </w:r>
      <w:r w:rsidR="00D54C0D" w:rsidRPr="00BF4ED6">
        <w:rPr>
          <w:rFonts w:ascii="Century" w:hAnsi="Century"/>
        </w:rPr>
        <w:t xml:space="preserve">There was little or no expression of CBS in astrocyte-enriched culture regardless of whether or not EGF was treated. </w:t>
      </w:r>
      <w:r w:rsidR="00AA7345" w:rsidRPr="00BF4ED6">
        <w:rPr>
          <w:rFonts w:ascii="Century" w:hAnsi="Century"/>
        </w:rPr>
        <w:t xml:space="preserve">Spinal cord (SC) cell culture showed a clear band of CBS. </w:t>
      </w:r>
      <w:r w:rsidR="002E3E41" w:rsidRPr="00BF4ED6">
        <w:rPr>
          <w:rFonts w:ascii="Century" w:hAnsi="Century"/>
        </w:rPr>
        <w:t xml:space="preserve">Astrocyte-enriched culture </w:t>
      </w:r>
      <w:r w:rsidR="00DE756D" w:rsidRPr="00BF4ED6">
        <w:rPr>
          <w:rFonts w:ascii="Century" w:hAnsi="Century"/>
        </w:rPr>
        <w:t>was</w:t>
      </w:r>
      <w:r w:rsidR="002E3E41" w:rsidRPr="00BF4ED6">
        <w:rPr>
          <w:rFonts w:ascii="Century" w:hAnsi="Century"/>
        </w:rPr>
        <w:t xml:space="preserve"> obtained from postnatal day 0-3 rats as previously described (Miyamoto </w:t>
      </w:r>
      <w:r w:rsidR="002E3E41" w:rsidRPr="00100C72">
        <w:rPr>
          <w:rFonts w:ascii="Century" w:hAnsi="Century"/>
          <w:i/>
          <w:iCs/>
        </w:rPr>
        <w:t>et al</w:t>
      </w:r>
      <w:r w:rsidR="002E3E41" w:rsidRPr="00BF4ED6">
        <w:rPr>
          <w:rFonts w:ascii="Century" w:hAnsi="Century"/>
        </w:rPr>
        <w:t xml:space="preserve">. 2015). </w:t>
      </w:r>
      <w:r w:rsidR="00DE756D" w:rsidRPr="00BF4ED6">
        <w:rPr>
          <w:rFonts w:ascii="Century" w:hAnsi="Century"/>
        </w:rPr>
        <w:t>After reaching confluence, isolated spinal cord cell culture was vigorously shaken overnight to obtain the astrocyte-enrich</w:t>
      </w:r>
      <w:r w:rsidR="00D843B6" w:rsidRPr="00BF4ED6">
        <w:rPr>
          <w:rFonts w:ascii="Century" w:hAnsi="Century"/>
        </w:rPr>
        <w:t>ed</w:t>
      </w:r>
      <w:r w:rsidR="00DE756D" w:rsidRPr="00BF4ED6">
        <w:rPr>
          <w:rFonts w:ascii="Century" w:hAnsi="Century"/>
        </w:rPr>
        <w:t xml:space="preserve"> culture.</w:t>
      </w:r>
    </w:p>
    <w:sectPr w:rsidR="009709EA" w:rsidRPr="00BF4E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F0F6B" w14:textId="77777777" w:rsidR="0080287A" w:rsidRDefault="0080287A" w:rsidP="008D1033">
      <w:r>
        <w:separator/>
      </w:r>
    </w:p>
  </w:endnote>
  <w:endnote w:type="continuationSeparator" w:id="0">
    <w:p w14:paraId="6E9A8DF0" w14:textId="77777777" w:rsidR="0080287A" w:rsidRDefault="0080287A" w:rsidP="008D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EA462" w14:textId="77777777" w:rsidR="0080287A" w:rsidRDefault="0080287A" w:rsidP="008D1033">
      <w:r>
        <w:separator/>
      </w:r>
    </w:p>
  </w:footnote>
  <w:footnote w:type="continuationSeparator" w:id="0">
    <w:p w14:paraId="31B06177" w14:textId="77777777" w:rsidR="0080287A" w:rsidRDefault="0080287A" w:rsidP="008D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EA"/>
    <w:rsid w:val="00040FB0"/>
    <w:rsid w:val="00054E20"/>
    <w:rsid w:val="00100C72"/>
    <w:rsid w:val="0026022D"/>
    <w:rsid w:val="002E3E41"/>
    <w:rsid w:val="00385D54"/>
    <w:rsid w:val="004065A9"/>
    <w:rsid w:val="00427E28"/>
    <w:rsid w:val="0049066F"/>
    <w:rsid w:val="004B32B0"/>
    <w:rsid w:val="004E0568"/>
    <w:rsid w:val="0080287A"/>
    <w:rsid w:val="00865E3D"/>
    <w:rsid w:val="008D1033"/>
    <w:rsid w:val="00907EA6"/>
    <w:rsid w:val="009709EA"/>
    <w:rsid w:val="00A20A97"/>
    <w:rsid w:val="00A71208"/>
    <w:rsid w:val="00AA7345"/>
    <w:rsid w:val="00BF4ED6"/>
    <w:rsid w:val="00C0735E"/>
    <w:rsid w:val="00C73CE3"/>
    <w:rsid w:val="00CC072E"/>
    <w:rsid w:val="00D54C0D"/>
    <w:rsid w:val="00D73C57"/>
    <w:rsid w:val="00D843B6"/>
    <w:rsid w:val="00DE756D"/>
    <w:rsid w:val="00DF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72B9B3"/>
  <w15:chartTrackingRefBased/>
  <w15:docId w15:val="{DB09FB8C-907F-4F66-A96A-541451A9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0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1033"/>
  </w:style>
  <w:style w:type="paragraph" w:styleId="a5">
    <w:name w:val="footer"/>
    <w:basedOn w:val="a"/>
    <w:link w:val="a6"/>
    <w:uiPriority w:val="99"/>
    <w:unhideWhenUsed/>
    <w:rsid w:val="008D10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乙黒　兼一</dc:creator>
  <cp:keywords/>
  <dc:description/>
  <cp:lastModifiedBy>遼太 江口</cp:lastModifiedBy>
  <cp:revision>11</cp:revision>
  <dcterms:created xsi:type="dcterms:W3CDTF">2021-03-25T04:49:00Z</dcterms:created>
  <dcterms:modified xsi:type="dcterms:W3CDTF">2025-01-07T01:02:00Z</dcterms:modified>
</cp:coreProperties>
</file>