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9EF1" w14:textId="2B799DA4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bookmarkStart w:id="0" w:name="_Hlk182470447"/>
      <w:r w:rsidRPr="00DF6ABA">
        <w:rPr>
          <w:rFonts w:ascii="Times New Roman" w:eastAsia="ＭＳ 明朝" w:hAnsi="Times New Roman"/>
          <w:bCs/>
          <w:sz w:val="24"/>
          <w:szCs w:val="24"/>
        </w:rPr>
        <w:t>Supplementary Material</w:t>
      </w:r>
    </w:p>
    <w:p w14:paraId="139C37DB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</w:p>
    <w:p w14:paraId="6B1777CA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>
        <w:rPr>
          <w:rFonts w:ascii="Times New Roman" w:eastAsia="ＭＳ 明朝" w:hAnsi="Times New Roman"/>
          <w:bCs/>
          <w:sz w:val="24"/>
          <w:szCs w:val="24"/>
        </w:rPr>
        <w:t>T</w:t>
      </w:r>
      <w:r w:rsidRPr="0052308A">
        <w:rPr>
          <w:rFonts w:ascii="Times New Roman" w:eastAsia="ＭＳ 明朝" w:hAnsi="Times New Roman"/>
          <w:bCs/>
          <w:sz w:val="24"/>
          <w:szCs w:val="24"/>
        </w:rPr>
        <w:t>itle:</w:t>
      </w:r>
    </w:p>
    <w:p w14:paraId="7E5B792A" w14:textId="58860A9A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/>
          <w:sz w:val="28"/>
          <w:szCs w:val="28"/>
        </w:rPr>
      </w:pPr>
      <w:r w:rsidRPr="00DF6ABA">
        <w:rPr>
          <w:rFonts w:ascii="Times New Roman" w:eastAsia="ＭＳ 明朝" w:hAnsi="Times New Roman"/>
          <w:b/>
          <w:sz w:val="28"/>
          <w:szCs w:val="28"/>
        </w:rPr>
        <w:t>Multi-Laboratory Validation of JFRL Staining for Bone Histology Across Animal Species and Bone Implant Materials</w:t>
      </w:r>
    </w:p>
    <w:p w14:paraId="164438F8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</w:p>
    <w:p w14:paraId="524A4D8C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52308A">
        <w:rPr>
          <w:rFonts w:ascii="Times New Roman" w:eastAsia="ＭＳ 明朝" w:hAnsi="Times New Roman"/>
          <w:bCs/>
          <w:sz w:val="24"/>
          <w:szCs w:val="24"/>
        </w:rPr>
        <w:t>Journal name:</w:t>
      </w:r>
    </w:p>
    <w:p w14:paraId="078DCA55" w14:textId="2951AD02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DF6ABA">
        <w:rPr>
          <w:rFonts w:ascii="Times New Roman" w:eastAsia="ＭＳ 明朝" w:hAnsi="Times New Roman"/>
          <w:bCs/>
          <w:sz w:val="24"/>
          <w:szCs w:val="24"/>
        </w:rPr>
        <w:t>Microscopy and Microanalysis</w:t>
      </w:r>
    </w:p>
    <w:p w14:paraId="6597C384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</w:p>
    <w:p w14:paraId="0A349857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52308A">
        <w:rPr>
          <w:rFonts w:ascii="Times New Roman" w:eastAsia="ＭＳ 明朝" w:hAnsi="Times New Roman"/>
          <w:bCs/>
          <w:sz w:val="24"/>
          <w:szCs w:val="24"/>
        </w:rPr>
        <w:t xml:space="preserve">Authors: </w:t>
      </w:r>
    </w:p>
    <w:p w14:paraId="1EC4FEF9" w14:textId="3D66F141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Erika Tsuji, Kanako Sumi, Natsuko Tsuzuki, Daisuke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Kondoh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, Masashi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Tsujio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, Marina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Hosotani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, Takashi Namba, Shoichi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Wakitani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, Osamu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Ichii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>, Ko Nakanishi, Teppei Nakamura</w:t>
      </w:r>
    </w:p>
    <w:p w14:paraId="0676673C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</w:p>
    <w:p w14:paraId="076314EF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>
        <w:rPr>
          <w:rFonts w:ascii="Times New Roman" w:eastAsia="ＭＳ 明朝" w:hAnsi="Times New Roman"/>
          <w:bCs/>
          <w:sz w:val="24"/>
          <w:szCs w:val="24"/>
        </w:rPr>
        <w:t>C</w:t>
      </w:r>
      <w:r w:rsidRPr="0052308A">
        <w:rPr>
          <w:rFonts w:ascii="Times New Roman" w:eastAsia="ＭＳ 明朝" w:hAnsi="Times New Roman"/>
          <w:bCs/>
          <w:sz w:val="24"/>
          <w:szCs w:val="24"/>
        </w:rPr>
        <w:t>orresponding author:</w:t>
      </w:r>
    </w:p>
    <w:p w14:paraId="7F26C7C6" w14:textId="77777777" w:rsidR="00DF6ABA" w:rsidRPr="0052308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52308A">
        <w:rPr>
          <w:rFonts w:ascii="Times New Roman" w:eastAsia="ＭＳ 明朝" w:hAnsi="Times New Roman"/>
          <w:bCs/>
          <w:sz w:val="24"/>
          <w:szCs w:val="24"/>
        </w:rPr>
        <w:t xml:space="preserve">Teppei Nakamura, D.V.M., </w:t>
      </w:r>
      <w:proofErr w:type="spellStart"/>
      <w:proofErr w:type="gramStart"/>
      <w:r w:rsidRPr="0052308A">
        <w:rPr>
          <w:rFonts w:ascii="Times New Roman" w:eastAsia="ＭＳ 明朝" w:hAnsi="Times New Roman"/>
          <w:bCs/>
          <w:sz w:val="24"/>
          <w:szCs w:val="24"/>
        </w:rPr>
        <w:t>Ph.D</w:t>
      </w:r>
      <w:proofErr w:type="spellEnd"/>
      <w:proofErr w:type="gramEnd"/>
    </w:p>
    <w:p w14:paraId="0DCAE48E" w14:textId="13A4D1B7" w:rsidR="00DF6ABA" w:rsidRPr="0052308A" w:rsidRDefault="00967F01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967F01">
        <w:rPr>
          <w:rFonts w:ascii="Times New Roman" w:eastAsia="ＭＳ 明朝" w:hAnsi="Times New Roman"/>
          <w:bCs/>
          <w:sz w:val="24"/>
          <w:szCs w:val="24"/>
        </w:rPr>
        <w:t>Department of Biological Safety Research, Chitose Laboratory, Japan Food Research Laboratories, Bunkyo 2-3, Chitose, Hokkaido 066-0052, Japan</w:t>
      </w:r>
    </w:p>
    <w:p w14:paraId="3BAEC52C" w14:textId="002D1136" w:rsidR="00DF6AB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52308A">
        <w:rPr>
          <w:rFonts w:ascii="Times New Roman" w:eastAsia="ＭＳ 明朝" w:hAnsi="Times New Roman"/>
          <w:bCs/>
          <w:sz w:val="24"/>
          <w:szCs w:val="24"/>
        </w:rPr>
        <w:t xml:space="preserve">E-mail: </w:t>
      </w:r>
      <w:hyperlink r:id="rId7" w:history="1">
        <w:r w:rsidRPr="00422C1C">
          <w:rPr>
            <w:rStyle w:val="a9"/>
            <w:rFonts w:ascii="Times New Roman" w:eastAsia="ＭＳ 明朝" w:hAnsi="Times New Roman"/>
            <w:bCs/>
            <w:sz w:val="24"/>
            <w:szCs w:val="24"/>
          </w:rPr>
          <w:t>nakamurate@vetmed.hokudai.ac.jp</w:t>
        </w:r>
      </w:hyperlink>
    </w:p>
    <w:p w14:paraId="229D4458" w14:textId="77777777" w:rsidR="00DF6ABA" w:rsidRDefault="00DF6ABA">
      <w:pPr>
        <w:widowControl/>
        <w:jc w:val="left"/>
        <w:rPr>
          <w:rFonts w:ascii="Times New Roman" w:eastAsia="ＭＳ 明朝" w:hAnsi="Times New Roman"/>
          <w:bCs/>
          <w:sz w:val="24"/>
          <w:szCs w:val="24"/>
        </w:rPr>
      </w:pPr>
      <w:r>
        <w:rPr>
          <w:rFonts w:ascii="Times New Roman" w:eastAsia="ＭＳ 明朝" w:hAnsi="Times New Roman"/>
          <w:bCs/>
          <w:sz w:val="24"/>
          <w:szCs w:val="24"/>
        </w:rPr>
        <w:br w:type="page"/>
      </w:r>
    </w:p>
    <w:p w14:paraId="05D0173D" w14:textId="443FC510" w:rsidR="009E1BE1" w:rsidRDefault="00967F01" w:rsidP="00967F01">
      <w:pPr>
        <w:widowControl/>
        <w:spacing w:line="36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967F01">
        <w:rPr>
          <w:rFonts w:ascii="Times New Roman" w:eastAsia="ＭＳ 明朝" w:hAnsi="Times New Roman"/>
          <w:b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3CA46BEB" wp14:editId="5D77D36C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6038850" cy="2588895"/>
            <wp:effectExtent l="0" t="0" r="0" b="1905"/>
            <wp:wrapTight wrapText="bothSides">
              <wp:wrapPolygon edited="0">
                <wp:start x="0" y="0"/>
                <wp:lineTo x="0" y="21457"/>
                <wp:lineTo x="21532" y="21457"/>
                <wp:lineTo x="21532" y="0"/>
                <wp:lineTo x="0" y="0"/>
              </wp:wrapPolygon>
            </wp:wrapTight>
            <wp:docPr id="95015548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00B" w:rsidRPr="00967F01">
        <w:rPr>
          <w:rFonts w:ascii="Times New Roman" w:eastAsia="ＭＳ 明朝" w:hAnsi="Times New Roman"/>
          <w:b/>
          <w:sz w:val="24"/>
          <w:szCs w:val="24"/>
        </w:rPr>
        <w:t xml:space="preserve">Supplemental </w:t>
      </w:r>
      <w:r w:rsidR="00DF6ABA" w:rsidRPr="00967F01">
        <w:rPr>
          <w:rFonts w:ascii="Times New Roman" w:eastAsia="ＭＳ 明朝" w:hAnsi="Times New Roman"/>
          <w:b/>
          <w:sz w:val="24"/>
          <w:szCs w:val="24"/>
        </w:rPr>
        <w:t xml:space="preserve">Figure 1. Comparison of bone staining using Yoshiki's method, </w:t>
      </w:r>
      <w:proofErr w:type="spellStart"/>
      <w:r w:rsidR="00DF6ABA" w:rsidRPr="00967F01">
        <w:rPr>
          <w:rFonts w:ascii="Times New Roman" w:eastAsia="ＭＳ 明朝" w:hAnsi="Times New Roman"/>
          <w:b/>
          <w:sz w:val="24"/>
          <w:szCs w:val="24"/>
        </w:rPr>
        <w:t>Ralis</w:t>
      </w:r>
      <w:proofErr w:type="spellEnd"/>
      <w:r w:rsidR="00DF6ABA" w:rsidRPr="00967F01">
        <w:rPr>
          <w:rFonts w:ascii="Times New Roman" w:eastAsia="ＭＳ 明朝" w:hAnsi="Times New Roman"/>
          <w:b/>
          <w:sz w:val="24"/>
          <w:szCs w:val="24"/>
        </w:rPr>
        <w:t xml:space="preserve"> </w:t>
      </w:r>
      <w:proofErr w:type="spellStart"/>
      <w:r w:rsidR="00DF6ABA" w:rsidRPr="00967F01">
        <w:rPr>
          <w:rFonts w:ascii="Times New Roman" w:eastAsia="ＭＳ 明朝" w:hAnsi="Times New Roman"/>
          <w:b/>
          <w:sz w:val="24"/>
          <w:szCs w:val="24"/>
        </w:rPr>
        <w:t>tetrachrome</w:t>
      </w:r>
      <w:proofErr w:type="spellEnd"/>
      <w:r w:rsidR="00DF6ABA" w:rsidRPr="00967F01">
        <w:rPr>
          <w:rFonts w:ascii="Times New Roman" w:eastAsia="ＭＳ 明朝" w:hAnsi="Times New Roman"/>
          <w:b/>
          <w:sz w:val="24"/>
          <w:szCs w:val="24"/>
        </w:rPr>
        <w:t>, Safranin O/Fast green staining, and JFRL staining.</w:t>
      </w:r>
      <w:r w:rsidR="00DF6ABA" w:rsidRPr="00DF6ABA">
        <w:rPr>
          <w:rFonts w:ascii="Times New Roman" w:eastAsia="ＭＳ 明朝" w:hAnsi="Times New Roman"/>
          <w:bCs/>
          <w:sz w:val="24"/>
          <w:szCs w:val="24"/>
        </w:rPr>
        <w:t xml:space="preserve"> </w:t>
      </w:r>
    </w:p>
    <w:p w14:paraId="37BD320E" w14:textId="404DFFC9" w:rsidR="00DF6ABA" w:rsidRDefault="00DF6ABA" w:rsidP="00967F01">
      <w:pPr>
        <w:widowControl/>
        <w:spacing w:line="36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Bone samples were decalcified </w:t>
      </w:r>
      <w:r w:rsidR="009E1BE1">
        <w:rPr>
          <w:rFonts w:ascii="Times New Roman" w:eastAsia="ＭＳ 明朝" w:hAnsi="Times New Roman" w:hint="eastAsia"/>
          <w:bCs/>
          <w:sz w:val="24"/>
          <w:szCs w:val="24"/>
        </w:rPr>
        <w:t>using</w:t>
      </w:r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 EDTA (chelator) or K-CX (inorganic acid). While chelator decalcification allows distinction between osteoid and mineralized bone, inorganic acid decalcification </w:t>
      </w:r>
      <w:r w:rsidR="009E1BE1">
        <w:rPr>
          <w:rFonts w:ascii="Times New Roman" w:eastAsia="ＭＳ 明朝" w:hAnsi="Times New Roman" w:hint="eastAsia"/>
          <w:bCs/>
          <w:sz w:val="24"/>
          <w:szCs w:val="24"/>
        </w:rPr>
        <w:t>does</w:t>
      </w:r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 not permit differentiation in Yoshiki's method and </w:t>
      </w:r>
      <w:r w:rsidR="009E1BE1">
        <w:rPr>
          <w:rFonts w:ascii="Times New Roman" w:eastAsia="ＭＳ 明朝" w:hAnsi="Times New Roman" w:hint="eastAsia"/>
          <w:bCs/>
          <w:sz w:val="24"/>
          <w:szCs w:val="24"/>
        </w:rPr>
        <w:t xml:space="preserve">the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Ralis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tetrachrome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. Although Safranin O/Fast green staining distinguished bone and hyaline cartilages, fibrocartilage showed various colors depending on the decalcification method. In contrast, JFRL staining clearly distinguishes </w:t>
      </w:r>
      <w:r w:rsidR="009E1BE1">
        <w:rPr>
          <w:rFonts w:ascii="Times New Roman" w:eastAsia="ＭＳ 明朝" w:hAnsi="Times New Roman" w:hint="eastAsia"/>
          <w:bCs/>
          <w:sz w:val="24"/>
          <w:szCs w:val="24"/>
        </w:rPr>
        <w:t xml:space="preserve">the </w:t>
      </w:r>
      <w:r w:rsidRPr="00DF6ABA">
        <w:rPr>
          <w:rFonts w:ascii="Times New Roman" w:eastAsia="ＭＳ 明朝" w:hAnsi="Times New Roman"/>
          <w:bCs/>
          <w:sz w:val="24"/>
          <w:szCs w:val="24"/>
        </w:rPr>
        <w:t xml:space="preserve">bone elements regardless of the decalcification method used. Fc: fibrocartilage, HC: hyaline cartilage, MB: mineralized bone, </w:t>
      </w:r>
      <w:proofErr w:type="spellStart"/>
      <w:r w:rsidRPr="00DF6ABA">
        <w:rPr>
          <w:rFonts w:ascii="Times New Roman" w:eastAsia="ＭＳ 明朝" w:hAnsi="Times New Roman"/>
          <w:bCs/>
          <w:sz w:val="24"/>
          <w:szCs w:val="24"/>
        </w:rPr>
        <w:t>Os</w:t>
      </w:r>
      <w:proofErr w:type="spellEnd"/>
      <w:r w:rsidRPr="00DF6ABA">
        <w:rPr>
          <w:rFonts w:ascii="Times New Roman" w:eastAsia="ＭＳ 明朝" w:hAnsi="Times New Roman"/>
          <w:bCs/>
          <w:sz w:val="24"/>
          <w:szCs w:val="24"/>
        </w:rPr>
        <w:t>: osteoid.</w:t>
      </w:r>
    </w:p>
    <w:p w14:paraId="59E9BECD" w14:textId="77777777" w:rsidR="00DF6ABA" w:rsidRPr="00DF6ABA" w:rsidRDefault="00DF6ABA" w:rsidP="00DF6ABA">
      <w:pPr>
        <w:widowControl/>
        <w:spacing w:line="480" w:lineRule="auto"/>
        <w:jc w:val="left"/>
        <w:rPr>
          <w:rFonts w:ascii="Times New Roman" w:eastAsia="ＭＳ 明朝" w:hAnsi="Times New Roman"/>
          <w:bCs/>
          <w:sz w:val="24"/>
          <w:szCs w:val="24"/>
        </w:rPr>
      </w:pPr>
    </w:p>
    <w:p w14:paraId="51DBD9CB" w14:textId="77777777" w:rsidR="00DF6ABA" w:rsidRPr="00DF6ABA" w:rsidRDefault="00DF6ABA" w:rsidP="00DF6ABA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DF6ABA" w:rsidRPr="00DF6ABA" w:rsidSect="00967F01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84E4978" w14:textId="25E79665" w:rsidR="00CB0D45" w:rsidRPr="004031BA" w:rsidRDefault="00CB0D45" w:rsidP="00967F0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194900454"/>
      <w:r w:rsidRPr="004031BA"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Supplemental </w:t>
      </w:r>
      <w:bookmarkEnd w:id="1"/>
      <w:r w:rsidRPr="004031BA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Pr="004031BA">
        <w:rPr>
          <w:rFonts w:ascii="Times New Roman" w:hAnsi="Times New Roman" w:hint="eastAsia"/>
          <w:b/>
          <w:bCs/>
          <w:sz w:val="24"/>
          <w:szCs w:val="24"/>
        </w:rPr>
        <w:t>1</w:t>
      </w:r>
      <w:bookmarkEnd w:id="0"/>
      <w:r w:rsidRPr="004031BA">
        <w:rPr>
          <w:rFonts w:ascii="Times New Roman" w:hAnsi="Times New Roman" w:hint="eastAsia"/>
          <w:b/>
          <w:bCs/>
          <w:sz w:val="24"/>
          <w:szCs w:val="24"/>
        </w:rPr>
        <w:t>.</w:t>
      </w:r>
      <w:r w:rsidRPr="004031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31BA">
        <w:rPr>
          <w:rFonts w:ascii="Times New Roman" w:hAnsi="Times New Roman" w:hint="eastAsia"/>
          <w:b/>
          <w:bCs/>
          <w:sz w:val="24"/>
          <w:szCs w:val="24"/>
        </w:rPr>
        <w:t>R</w:t>
      </w:r>
      <w:r w:rsidRPr="004031BA">
        <w:rPr>
          <w:rFonts w:ascii="Times New Roman" w:hAnsi="Times New Roman"/>
          <w:b/>
          <w:bCs/>
          <w:sz w:val="24"/>
          <w:szCs w:val="24"/>
        </w:rPr>
        <w:t>eagents used in the int</w:t>
      </w:r>
      <w:r w:rsidRPr="004031BA">
        <w:rPr>
          <w:rFonts w:ascii="Times New Roman" w:hAnsi="Times New Roman" w:hint="eastAsia"/>
          <w:b/>
          <w:bCs/>
          <w:sz w:val="24"/>
          <w:szCs w:val="24"/>
        </w:rPr>
        <w:t>ra</w:t>
      </w:r>
      <w:r w:rsidRPr="004031BA">
        <w:rPr>
          <w:rFonts w:ascii="Times New Roman" w:hAnsi="Times New Roman"/>
          <w:b/>
          <w:bCs/>
          <w:sz w:val="24"/>
          <w:szCs w:val="24"/>
        </w:rPr>
        <w:t>-</w:t>
      </w:r>
      <w:r w:rsidRPr="004031BA">
        <w:rPr>
          <w:rFonts w:ascii="Times New Roman" w:hAnsi="Times New Roman" w:hint="eastAsia"/>
          <w:b/>
          <w:bCs/>
          <w:sz w:val="24"/>
          <w:szCs w:val="24"/>
        </w:rPr>
        <w:t>laboratory study</w:t>
      </w: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2"/>
        <w:gridCol w:w="2885"/>
        <w:gridCol w:w="2363"/>
        <w:gridCol w:w="2888"/>
        <w:gridCol w:w="2592"/>
      </w:tblGrid>
      <w:tr w:rsidR="00CB0D45" w14:paraId="0C711C3E" w14:textId="77777777" w:rsidTr="00B872F2">
        <w:trPr>
          <w:jc w:val="center"/>
        </w:trPr>
        <w:tc>
          <w:tcPr>
            <w:tcW w:w="2410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549F2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Alcian blue 8GX</w:t>
            </w:r>
          </w:p>
        </w:tc>
        <w:tc>
          <w:tcPr>
            <w:tcW w:w="3119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2C272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Weigert's iron hematoxylin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A8115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Orange G</w:t>
            </w:r>
          </w:p>
        </w:tc>
        <w:tc>
          <w:tcPr>
            <w:tcW w:w="3122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6CB3C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Light green SF, yellowish</w:t>
            </w:r>
          </w:p>
        </w:tc>
        <w:tc>
          <w:tcPr>
            <w:tcW w:w="2800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9703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Sirius Red</w:t>
            </w:r>
          </w:p>
        </w:tc>
      </w:tr>
      <w:tr w:rsidR="00CB0D45" w14:paraId="39523665" w14:textId="77777777" w:rsidTr="00B872F2">
        <w:trPr>
          <w:jc w:val="center"/>
        </w:trPr>
        <w:tc>
          <w:tcPr>
            <w:tcW w:w="2410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53B4E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RTU (40852, Muto)</w:t>
            </w:r>
          </w:p>
        </w:tc>
        <w:tc>
          <w:tcPr>
            <w:tcW w:w="3119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115CC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RTU (40342, 40352, Muto)</w:t>
            </w:r>
          </w:p>
        </w:tc>
        <w:tc>
          <w:tcPr>
            <w:tcW w:w="2551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139F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RTU (40232, Muto)</w:t>
            </w:r>
          </w:p>
        </w:tc>
        <w:tc>
          <w:tcPr>
            <w:tcW w:w="3122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36C71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RTU (40131, Muto)</w:t>
            </w:r>
          </w:p>
        </w:tc>
        <w:tc>
          <w:tcPr>
            <w:tcW w:w="2800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3EEEF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RTU (33061, Muto)</w:t>
            </w:r>
          </w:p>
        </w:tc>
      </w:tr>
      <w:tr w:rsidR="00CB0D45" w14:paraId="259C488C" w14:textId="77777777" w:rsidTr="00B872F2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8601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A8884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F39D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5A8B3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Powder (L5382, Sigma)</w:t>
            </w:r>
          </w:p>
        </w:tc>
        <w:tc>
          <w:tcPr>
            <w:tcW w:w="280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ACA0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 xml:space="preserve">Powder </w:t>
            </w:r>
            <w:r w:rsidRPr="004031BA">
              <w:rPr>
                <w:rFonts w:ascii="Times New Roman" w:hAnsi="Times New Roman"/>
                <w:sz w:val="24"/>
                <w:szCs w:val="24"/>
              </w:rPr>
              <w:br/>
              <w:t>(365548, Sigma)</w:t>
            </w:r>
          </w:p>
        </w:tc>
      </w:tr>
      <w:tr w:rsidR="00CB0D45" w14:paraId="25F4D87C" w14:textId="77777777" w:rsidTr="00B872F2">
        <w:trPr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7F534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6BDA2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BF80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06E90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Powder (</w:t>
            </w:r>
            <w:r w:rsidRPr="004031BA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124-04632, </w:t>
            </w:r>
            <w:r w:rsidRPr="004031BA">
              <w:rPr>
                <w:rFonts w:ascii="Times New Roman" w:hAnsi="Times New Roman"/>
                <w:sz w:val="24"/>
                <w:szCs w:val="24"/>
              </w:rPr>
              <w:t>W</w:t>
            </w:r>
            <w:r w:rsidRPr="004031BA">
              <w:rPr>
                <w:rFonts w:ascii="Times New Roman" w:hAnsi="Times New Roman" w:hint="eastAsia"/>
                <w:sz w:val="24"/>
                <w:szCs w:val="24"/>
              </w:rPr>
              <w:t>ako</w:t>
            </w:r>
            <w:r w:rsidRPr="004031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54B7" w14:textId="77777777" w:rsidR="00CB0D45" w:rsidRPr="004031BA" w:rsidRDefault="00CB0D45" w:rsidP="00967F0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1BA">
              <w:rPr>
                <w:rFonts w:ascii="Times New Roman" w:hAnsi="Times New Roman"/>
                <w:sz w:val="24"/>
                <w:szCs w:val="24"/>
              </w:rPr>
              <w:t>Powder (D3273, TCI)</w:t>
            </w:r>
          </w:p>
        </w:tc>
      </w:tr>
    </w:tbl>
    <w:p w14:paraId="3D21C505" w14:textId="77777777" w:rsidR="00CB0D45" w:rsidRPr="004031BA" w:rsidRDefault="00CB0D45" w:rsidP="00967F01">
      <w:pPr>
        <w:spacing w:line="360" w:lineRule="auto"/>
        <w:rPr>
          <w:rFonts w:ascii="Times New Roman" w:hAnsi="Times New Roman"/>
          <w:sz w:val="24"/>
          <w:szCs w:val="24"/>
        </w:rPr>
      </w:pPr>
      <w:r w:rsidRPr="004031BA">
        <w:rPr>
          <w:rFonts w:ascii="Times New Roman" w:hAnsi="Times New Roman"/>
          <w:sz w:val="24"/>
          <w:szCs w:val="24"/>
        </w:rPr>
        <w:t xml:space="preserve">RTU: ready-to-use, Muto: Muto Pure Chemicals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Tokyo, Japan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Sigma: Sigma-Aldrich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MO, USA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Wako: Fujifilm Wako Pure Chemical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Osaka, Japan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TCI: Tokyo Chemical Industry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Tokyo, Japan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>.</w:t>
      </w:r>
    </w:p>
    <w:p w14:paraId="53901E97" w14:textId="77777777" w:rsidR="00CB0D45" w:rsidRPr="004031BA" w:rsidRDefault="00CB0D45" w:rsidP="00CB0D45">
      <w:pPr>
        <w:spacing w:line="480" w:lineRule="auto"/>
        <w:rPr>
          <w:rFonts w:ascii="Times New Roman" w:hAnsi="Times New Roman"/>
          <w:sz w:val="24"/>
          <w:szCs w:val="24"/>
        </w:rPr>
      </w:pPr>
      <w:r w:rsidRPr="004031BA">
        <w:rPr>
          <w:rFonts w:ascii="Times New Roman" w:hAnsi="Times New Roman"/>
          <w:sz w:val="24"/>
          <w:szCs w:val="24"/>
        </w:rPr>
        <w:br w:type="page"/>
      </w:r>
    </w:p>
    <w:p w14:paraId="5AF27586" w14:textId="77777777" w:rsidR="00CB0D45" w:rsidRPr="004031BA" w:rsidRDefault="00CB0D45" w:rsidP="00967F0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31BA"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Supplemental </w:t>
      </w:r>
      <w:r w:rsidRPr="004031BA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Pr="004031BA">
        <w:rPr>
          <w:rFonts w:ascii="Times New Roman" w:hAnsi="Times New Roman" w:hint="eastAsia"/>
          <w:b/>
          <w:bCs/>
          <w:sz w:val="24"/>
          <w:szCs w:val="24"/>
        </w:rPr>
        <w:t>2.</w:t>
      </w:r>
      <w:r w:rsidRPr="004031BA">
        <w:rPr>
          <w:rFonts w:ascii="Times New Roman" w:hAnsi="Times New Roman"/>
          <w:b/>
          <w:bCs/>
          <w:sz w:val="24"/>
          <w:szCs w:val="24"/>
        </w:rPr>
        <w:t xml:space="preserve"> Participating facilities and reagents used in the inter-</w:t>
      </w:r>
      <w:r w:rsidRPr="004031BA">
        <w:rPr>
          <w:rFonts w:ascii="Times New Roman" w:hAnsi="Times New Roman" w:hint="eastAsia"/>
          <w:b/>
          <w:bCs/>
          <w:sz w:val="24"/>
          <w:szCs w:val="24"/>
        </w:rPr>
        <w:t>laboratory study</w:t>
      </w: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1"/>
        <w:gridCol w:w="1969"/>
        <w:gridCol w:w="2620"/>
        <w:gridCol w:w="2230"/>
        <w:gridCol w:w="2618"/>
        <w:gridCol w:w="2072"/>
      </w:tblGrid>
      <w:tr w:rsidR="00CB0D45" w:rsidRPr="00967F01" w14:paraId="79AED2A0" w14:textId="77777777" w:rsidTr="002202B9">
        <w:trPr>
          <w:jc w:val="center"/>
        </w:trPr>
        <w:tc>
          <w:tcPr>
            <w:tcW w:w="1451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37A63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>Institution</w:t>
            </w:r>
          </w:p>
        </w:tc>
        <w:tc>
          <w:tcPr>
            <w:tcW w:w="1969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AE03D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>Alcian blue 8GX</w:t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4773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>Weigert's iron hematoxylin</w:t>
            </w:r>
          </w:p>
        </w:tc>
        <w:tc>
          <w:tcPr>
            <w:tcW w:w="2230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6BE9A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>Orange G</w:t>
            </w:r>
          </w:p>
        </w:tc>
        <w:tc>
          <w:tcPr>
            <w:tcW w:w="2618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AD9C9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>Light green SF, yellowish</w:t>
            </w:r>
          </w:p>
        </w:tc>
        <w:tc>
          <w:tcPr>
            <w:tcW w:w="2072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1C491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>Sirius Red</w:t>
            </w:r>
          </w:p>
        </w:tc>
      </w:tr>
      <w:tr w:rsidR="00CB0D45" w:rsidRPr="00967F01" w14:paraId="771839A6" w14:textId="77777777" w:rsidTr="002202B9">
        <w:trPr>
          <w:jc w:val="center"/>
        </w:trPr>
        <w:tc>
          <w:tcPr>
            <w:tcW w:w="1451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3502B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 w:hint="eastAsia"/>
                <w:sz w:val="22"/>
              </w:rPr>
              <w:t>Lab. A</w:t>
            </w:r>
          </w:p>
        </w:tc>
        <w:tc>
          <w:tcPr>
            <w:tcW w:w="1969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747D4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color w:val="333333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color w:val="333333"/>
                <w:sz w:val="22"/>
              </w:rPr>
              <w:br/>
              <w:t>(1A-288, Waldeck)</w:t>
            </w:r>
          </w:p>
        </w:tc>
        <w:tc>
          <w:tcPr>
            <w:tcW w:w="2620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716B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color w:val="333333"/>
                <w:sz w:val="22"/>
              </w:rPr>
              <w:t>Laboratory preparation</w:t>
            </w:r>
          </w:p>
        </w:tc>
        <w:tc>
          <w:tcPr>
            <w:tcW w:w="2230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B1B2B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</w:t>
            </w:r>
            <w:r w:rsidRPr="00967F01">
              <w:rPr>
                <w:rFonts w:ascii="Times New Roman" w:hAnsi="Times New Roman"/>
                <w:sz w:val="22"/>
              </w:rPr>
              <w:br/>
              <w:t>(40232, Muto)</w:t>
            </w:r>
          </w:p>
        </w:tc>
        <w:tc>
          <w:tcPr>
            <w:tcW w:w="261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E1FDA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 xml:space="preserve">(AC229770100, </w:t>
            </w:r>
            <w:proofErr w:type="spellStart"/>
            <w:r w:rsidRPr="00967F01">
              <w:rPr>
                <w:rFonts w:ascii="Times New Roman" w:hAnsi="Times New Roman"/>
                <w:sz w:val="22"/>
              </w:rPr>
              <w:t>Thermo</w:t>
            </w:r>
            <w:proofErr w:type="spellEnd"/>
            <w:r w:rsidRPr="00967F0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072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8E93A" w14:textId="77777777" w:rsidR="00CB0D45" w:rsidRPr="00967F01" w:rsidRDefault="00CB0D45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>(365548, Sigma)</w:t>
            </w:r>
          </w:p>
        </w:tc>
      </w:tr>
      <w:tr w:rsidR="002202B9" w:rsidRPr="00967F01" w14:paraId="0317FA19" w14:textId="77777777" w:rsidTr="002202B9">
        <w:trPr>
          <w:jc w:val="center"/>
        </w:trPr>
        <w:tc>
          <w:tcPr>
            <w:tcW w:w="1451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87E80" w14:textId="77777777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 w:hint="eastAsia"/>
                <w:sz w:val="22"/>
              </w:rPr>
              <w:t>Lab. B</w:t>
            </w:r>
          </w:p>
        </w:tc>
        <w:tc>
          <w:tcPr>
            <w:tcW w:w="1969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F599" w14:textId="6A36BC9C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</w:t>
            </w:r>
            <w:r w:rsidRPr="00967F01">
              <w:rPr>
                <w:rFonts w:ascii="Times New Roman" w:hAnsi="Times New Roman"/>
                <w:sz w:val="22"/>
              </w:rPr>
              <w:br/>
              <w:t>(40852, Muto)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FED96" w14:textId="50EEAC0D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</w:t>
            </w:r>
            <w:r w:rsidRPr="00967F01">
              <w:rPr>
                <w:rFonts w:ascii="Times New Roman" w:hAnsi="Times New Roman"/>
                <w:sz w:val="22"/>
              </w:rPr>
              <w:br/>
              <w:t>(40342, 40352, Muto)</w:t>
            </w:r>
          </w:p>
        </w:tc>
        <w:tc>
          <w:tcPr>
            <w:tcW w:w="223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A68D6" w14:textId="6F4B4078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</w:t>
            </w:r>
            <w:r w:rsidRPr="00967F01">
              <w:rPr>
                <w:rFonts w:ascii="Times New Roman" w:hAnsi="Times New Roman"/>
                <w:sz w:val="22"/>
              </w:rPr>
              <w:br/>
              <w:t>(40232, Muto)</w:t>
            </w:r>
          </w:p>
        </w:tc>
        <w:tc>
          <w:tcPr>
            <w:tcW w:w="2618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4AF4F" w14:textId="34F51BF4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</w:t>
            </w:r>
            <w:r w:rsidRPr="00967F01">
              <w:rPr>
                <w:rFonts w:ascii="Times New Roman" w:hAnsi="Times New Roman"/>
                <w:sz w:val="22"/>
              </w:rPr>
              <w:br/>
              <w:t>(40131, Muto)</w:t>
            </w:r>
          </w:p>
        </w:tc>
        <w:tc>
          <w:tcPr>
            <w:tcW w:w="2072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6542B" w14:textId="3A3E29E5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</w:t>
            </w:r>
            <w:r w:rsidRPr="00967F01">
              <w:rPr>
                <w:rFonts w:ascii="Times New Roman" w:hAnsi="Times New Roman"/>
                <w:sz w:val="22"/>
              </w:rPr>
              <w:br/>
              <w:t>(33061, Muto)</w:t>
            </w:r>
          </w:p>
        </w:tc>
      </w:tr>
      <w:tr w:rsidR="002202B9" w:rsidRPr="00967F01" w14:paraId="5DA33B9D" w14:textId="77777777" w:rsidTr="00967F01">
        <w:trPr>
          <w:jc w:val="center"/>
        </w:trPr>
        <w:tc>
          <w:tcPr>
            <w:tcW w:w="1451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249F4" w14:textId="77777777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 w:hint="eastAsia"/>
                <w:sz w:val="22"/>
              </w:rPr>
              <w:t>Lab. C</w:t>
            </w:r>
          </w:p>
        </w:tc>
        <w:tc>
          <w:tcPr>
            <w:tcW w:w="1969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BEA51" w14:textId="7DDA1040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>(A5268, Sigma)</w:t>
            </w:r>
          </w:p>
        </w:tc>
        <w:tc>
          <w:tcPr>
            <w:tcW w:w="262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8D348" w14:textId="31AE7431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(HWI-A-125, </w:t>
            </w:r>
            <w:r w:rsidRPr="00967F01">
              <w:rPr>
                <w:rFonts w:ascii="Times New Roman" w:hAnsi="Times New Roman"/>
                <w:sz w:val="22"/>
              </w:rPr>
              <w:br/>
              <w:t>HWI-B-125, SCY)</w:t>
            </w:r>
          </w:p>
        </w:tc>
        <w:tc>
          <w:tcPr>
            <w:tcW w:w="2230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E514A" w14:textId="0CAC48E8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RTU </w:t>
            </w:r>
            <w:r w:rsidRPr="00967F01">
              <w:rPr>
                <w:rFonts w:ascii="Times New Roman" w:hAnsi="Times New Roman"/>
                <w:sz w:val="22"/>
              </w:rPr>
              <w:br/>
              <w:t>(40232, Muto)</w:t>
            </w:r>
          </w:p>
        </w:tc>
        <w:tc>
          <w:tcPr>
            <w:tcW w:w="2618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5F72" w14:textId="48759C3C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>(</w:t>
            </w:r>
            <w:r w:rsidRPr="00967F01">
              <w:rPr>
                <w:rFonts w:ascii="Times New Roman" w:hAnsi="Times New Roman"/>
                <w:color w:val="333333"/>
                <w:sz w:val="22"/>
                <w:highlight w:val="white"/>
              </w:rPr>
              <w:t xml:space="preserve">124-04632, </w:t>
            </w:r>
            <w:r w:rsidRPr="00967F01">
              <w:rPr>
                <w:rFonts w:ascii="Times New Roman" w:hAnsi="Times New Roman"/>
                <w:sz w:val="22"/>
              </w:rPr>
              <w:t>W</w:t>
            </w:r>
            <w:r w:rsidRPr="00967F01">
              <w:rPr>
                <w:rFonts w:ascii="Times New Roman" w:hAnsi="Times New Roman" w:hint="eastAsia"/>
                <w:sz w:val="22"/>
              </w:rPr>
              <w:t>ako</w:t>
            </w:r>
            <w:r w:rsidRPr="00967F0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072" w:type="dxa"/>
            <w:tcBorders>
              <w:top w:val="nil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70E8" w14:textId="62F78D3A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Powder, </w:t>
            </w:r>
            <w:r w:rsidRPr="00967F01">
              <w:rPr>
                <w:rFonts w:ascii="Times New Roman" w:hAnsi="Times New Roman"/>
                <w:sz w:val="22"/>
              </w:rPr>
              <w:br/>
              <w:t>(D3273, TCI)</w:t>
            </w:r>
          </w:p>
        </w:tc>
      </w:tr>
      <w:tr w:rsidR="002202B9" w:rsidRPr="00967F01" w14:paraId="07D14EF2" w14:textId="77777777" w:rsidTr="00967F01">
        <w:trPr>
          <w:jc w:val="center"/>
        </w:trPr>
        <w:tc>
          <w:tcPr>
            <w:tcW w:w="1451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2CCE0" w14:textId="77777777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 w:hint="eastAsia"/>
                <w:sz w:val="22"/>
              </w:rPr>
              <w:t>Lab. D</w:t>
            </w:r>
          </w:p>
        </w:tc>
        <w:tc>
          <w:tcPr>
            <w:tcW w:w="1969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A9B38" w14:textId="4DF1C555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>(A3157, Sigma)</w:t>
            </w:r>
          </w:p>
        </w:tc>
        <w:tc>
          <w:tcPr>
            <w:tcW w:w="262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981F" w14:textId="4F2C30DC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color w:val="333333"/>
                <w:sz w:val="22"/>
              </w:rPr>
              <w:t>Laboratory preparation</w:t>
            </w:r>
          </w:p>
        </w:tc>
        <w:tc>
          <w:tcPr>
            <w:tcW w:w="2230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5C2DE" w14:textId="6D5B3FBC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>(150-01832, Wako)</w:t>
            </w:r>
          </w:p>
        </w:tc>
        <w:tc>
          <w:tcPr>
            <w:tcW w:w="2618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17DD1" w14:textId="35304C43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>(L5382, Sigma)</w:t>
            </w:r>
          </w:p>
        </w:tc>
        <w:tc>
          <w:tcPr>
            <w:tcW w:w="2072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7320" w14:textId="18EA777D" w:rsidR="002202B9" w:rsidRPr="00967F01" w:rsidRDefault="002202B9" w:rsidP="00967F01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967F01">
              <w:rPr>
                <w:rFonts w:ascii="Times New Roman" w:hAnsi="Times New Roman"/>
                <w:sz w:val="22"/>
              </w:rPr>
              <w:t xml:space="preserve">Powder </w:t>
            </w:r>
            <w:r w:rsidRPr="00967F01">
              <w:rPr>
                <w:rFonts w:ascii="Times New Roman" w:hAnsi="Times New Roman"/>
                <w:sz w:val="22"/>
              </w:rPr>
              <w:br/>
              <w:t>(365548, Sigma)</w:t>
            </w:r>
          </w:p>
        </w:tc>
      </w:tr>
    </w:tbl>
    <w:p w14:paraId="03CE55DC" w14:textId="77777777" w:rsidR="00CB0D45" w:rsidRPr="004031BA" w:rsidRDefault="00CB0D45" w:rsidP="00967F01">
      <w:pPr>
        <w:spacing w:line="360" w:lineRule="auto"/>
        <w:rPr>
          <w:rFonts w:ascii="Times New Roman" w:eastAsia="ＭＳ 明朝" w:hAnsi="Times New Roman"/>
          <w:b/>
          <w:sz w:val="24"/>
          <w:szCs w:val="24"/>
        </w:rPr>
      </w:pPr>
      <w:r w:rsidRPr="004031BA">
        <w:rPr>
          <w:rFonts w:ascii="Times New Roman" w:hAnsi="Times New Roman"/>
          <w:sz w:val="24"/>
          <w:szCs w:val="24"/>
        </w:rPr>
        <w:t xml:space="preserve">RTU: ready-to-use, Muto: Muto Pure Chemicals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Tokyo, Japan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Sigma: Sigma-Aldrich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MO, USA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SCY: </w:t>
      </w:r>
      <w:proofErr w:type="spellStart"/>
      <w:r w:rsidRPr="004031BA">
        <w:rPr>
          <w:rFonts w:ascii="Times New Roman" w:hAnsi="Times New Roman"/>
          <w:sz w:val="24"/>
          <w:szCs w:val="24"/>
        </w:rPr>
        <w:t>ScyTek</w:t>
      </w:r>
      <w:proofErr w:type="spellEnd"/>
      <w:r w:rsidRPr="004031BA">
        <w:rPr>
          <w:rFonts w:ascii="Times New Roman" w:hAnsi="Times New Roman"/>
          <w:sz w:val="24"/>
          <w:szCs w:val="24"/>
        </w:rPr>
        <w:t xml:space="preserve"> Laboratories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UT, USA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TCI: Tokyo Chemical Industry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Tokyo, Japan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31BA">
        <w:rPr>
          <w:rFonts w:ascii="Times New Roman" w:hAnsi="Times New Roman"/>
          <w:sz w:val="24"/>
          <w:szCs w:val="24"/>
        </w:rPr>
        <w:t>Thermo</w:t>
      </w:r>
      <w:proofErr w:type="spellEnd"/>
      <w:r w:rsidRPr="004031B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031BA">
        <w:rPr>
          <w:rFonts w:ascii="Times New Roman" w:hAnsi="Times New Roman"/>
          <w:sz w:val="24"/>
          <w:szCs w:val="24"/>
        </w:rPr>
        <w:t>Thermo</w:t>
      </w:r>
      <w:proofErr w:type="spellEnd"/>
      <w:r w:rsidRPr="004031BA">
        <w:rPr>
          <w:rFonts w:ascii="Times New Roman" w:hAnsi="Times New Roman"/>
          <w:sz w:val="24"/>
          <w:szCs w:val="24"/>
        </w:rPr>
        <w:t xml:space="preserve"> Fisher Scientific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MA, USA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Wako: Fujifilm Wako Pure Chemical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Osaka, Japan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 xml:space="preserve">, Waldeck: Waldeck GmbH </w:t>
      </w:r>
      <w:r w:rsidRPr="004031BA">
        <w:rPr>
          <w:rFonts w:ascii="Times New Roman" w:hAnsi="Times New Roman" w:hint="eastAsia"/>
          <w:sz w:val="24"/>
          <w:szCs w:val="24"/>
        </w:rPr>
        <w:t>(</w:t>
      </w:r>
      <w:r w:rsidRPr="004031BA">
        <w:rPr>
          <w:rFonts w:ascii="Times New Roman" w:hAnsi="Times New Roman"/>
          <w:sz w:val="24"/>
          <w:szCs w:val="24"/>
        </w:rPr>
        <w:t>Münster, Germany</w:t>
      </w:r>
      <w:r w:rsidRPr="004031BA">
        <w:rPr>
          <w:rFonts w:ascii="Times New Roman" w:hAnsi="Times New Roman" w:hint="eastAsia"/>
          <w:sz w:val="24"/>
          <w:szCs w:val="24"/>
        </w:rPr>
        <w:t>)</w:t>
      </w:r>
      <w:r w:rsidRPr="004031BA">
        <w:rPr>
          <w:rFonts w:ascii="Times New Roman" w:hAnsi="Times New Roman"/>
          <w:sz w:val="24"/>
          <w:szCs w:val="24"/>
        </w:rPr>
        <w:t>.</w:t>
      </w:r>
      <w:r w:rsidRPr="004031BA">
        <w:rPr>
          <w:rFonts w:ascii="Times New Roman" w:eastAsia="ＭＳ 明朝" w:hAnsi="Times New Roman"/>
          <w:b/>
          <w:sz w:val="24"/>
          <w:szCs w:val="24"/>
        </w:rPr>
        <w:br w:type="page"/>
      </w:r>
    </w:p>
    <w:p w14:paraId="1DC09863" w14:textId="77777777" w:rsidR="00CB0D45" w:rsidRPr="004031BA" w:rsidRDefault="00CB0D45" w:rsidP="00967F01">
      <w:pPr>
        <w:spacing w:line="360" w:lineRule="auto"/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4031BA">
        <w:rPr>
          <w:rFonts w:ascii="Times New Roman" w:eastAsia="ＭＳ 明朝" w:hAnsi="Times New Roman" w:hint="eastAsia"/>
          <w:b/>
          <w:sz w:val="24"/>
          <w:szCs w:val="24"/>
        </w:rPr>
        <w:lastRenderedPageBreak/>
        <w:t>S</w:t>
      </w:r>
      <w:r w:rsidRPr="004031BA">
        <w:rPr>
          <w:rFonts w:ascii="Times New Roman" w:eastAsia="ＭＳ 明朝" w:hAnsi="Times New Roman"/>
          <w:b/>
          <w:sz w:val="24"/>
          <w:szCs w:val="24"/>
        </w:rPr>
        <w:t xml:space="preserve">upplemental Table </w:t>
      </w:r>
      <w:r w:rsidRPr="004031BA">
        <w:rPr>
          <w:rFonts w:ascii="Times New Roman" w:eastAsia="ＭＳ 明朝" w:hAnsi="Times New Roman" w:hint="eastAsia"/>
          <w:b/>
          <w:sz w:val="24"/>
          <w:szCs w:val="24"/>
        </w:rPr>
        <w:t>3</w:t>
      </w:r>
      <w:r w:rsidRPr="004031BA">
        <w:rPr>
          <w:rFonts w:ascii="Times New Roman" w:eastAsia="ＭＳ 明朝" w:hAnsi="Times New Roman"/>
          <w:b/>
          <w:sz w:val="24"/>
          <w:szCs w:val="24"/>
        </w:rPr>
        <w:t xml:space="preserve">. </w:t>
      </w:r>
      <w:r w:rsidRPr="004031BA">
        <w:rPr>
          <w:rFonts w:ascii="Times New Roman" w:eastAsia="ＭＳ 明朝" w:hAnsi="Times New Roman" w:hint="eastAsia"/>
          <w:b/>
          <w:sz w:val="24"/>
          <w:szCs w:val="24"/>
        </w:rPr>
        <w:t xml:space="preserve">Updated </w:t>
      </w:r>
      <w:r w:rsidRPr="004031BA">
        <w:rPr>
          <w:rFonts w:ascii="Times New Roman" w:eastAsia="ＭＳ 明朝" w:hAnsi="Times New Roman"/>
          <w:b/>
          <w:sz w:val="24"/>
          <w:szCs w:val="24"/>
        </w:rPr>
        <w:t>Pro</w:t>
      </w:r>
      <w:r w:rsidRPr="004031BA">
        <w:rPr>
          <w:rFonts w:ascii="Times New Roman" w:eastAsia="ＭＳ 明朝" w:hAnsi="Times New Roman" w:hint="eastAsia"/>
          <w:b/>
          <w:sz w:val="24"/>
          <w:szCs w:val="24"/>
        </w:rPr>
        <w:t>tocol</w:t>
      </w:r>
      <w:r w:rsidRPr="004031BA">
        <w:rPr>
          <w:rFonts w:ascii="Times New Roman" w:eastAsia="ＭＳ 明朝" w:hAnsi="Times New Roman"/>
          <w:b/>
          <w:sz w:val="24"/>
          <w:szCs w:val="24"/>
        </w:rPr>
        <w:t xml:space="preserve"> of Join of the Five dyes Revealing </w:t>
      </w:r>
      <w:proofErr w:type="spellStart"/>
      <w:r w:rsidRPr="004031BA">
        <w:rPr>
          <w:rFonts w:ascii="Times New Roman" w:eastAsia="ＭＳ 明朝" w:hAnsi="Times New Roman"/>
          <w:b/>
          <w:sz w:val="24"/>
          <w:szCs w:val="24"/>
        </w:rPr>
        <w:t>coLlagenous</w:t>
      </w:r>
      <w:proofErr w:type="spellEnd"/>
      <w:r w:rsidRPr="004031BA">
        <w:rPr>
          <w:rFonts w:ascii="Times New Roman" w:eastAsia="ＭＳ 明朝" w:hAnsi="Times New Roman"/>
          <w:b/>
          <w:sz w:val="24"/>
          <w:szCs w:val="24"/>
        </w:rPr>
        <w:t xml:space="preserve"> tissue (JFRL) staining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5920"/>
        <w:gridCol w:w="4561"/>
      </w:tblGrid>
      <w:tr w:rsidR="00CB0D45" w14:paraId="574A9E82" w14:textId="77777777" w:rsidTr="00B872F2">
        <w:trPr>
          <w:trHeight w:val="454"/>
        </w:trPr>
        <w:tc>
          <w:tcPr>
            <w:tcW w:w="2560" w:type="dxa"/>
            <w:shd w:val="clear" w:color="auto" w:fill="D9D9D9" w:themeFill="background1" w:themeFillShade="D9"/>
          </w:tcPr>
          <w:p w14:paraId="00A2E20A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Process</w:t>
            </w:r>
          </w:p>
        </w:tc>
        <w:tc>
          <w:tcPr>
            <w:tcW w:w="6512" w:type="dxa"/>
            <w:shd w:val="clear" w:color="auto" w:fill="D9D9D9" w:themeFill="background1" w:themeFillShade="D9"/>
          </w:tcPr>
          <w:p w14:paraId="03C64578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Method</w:t>
            </w:r>
          </w:p>
        </w:tc>
        <w:tc>
          <w:tcPr>
            <w:tcW w:w="4930" w:type="dxa"/>
            <w:shd w:val="clear" w:color="auto" w:fill="D9D9D9" w:themeFill="background1" w:themeFillShade="D9"/>
          </w:tcPr>
          <w:p w14:paraId="6863CA09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Critical step and troubleshooting</w:t>
            </w:r>
          </w:p>
        </w:tc>
      </w:tr>
      <w:tr w:rsidR="00CB0D45" w14:paraId="502DAEF8" w14:textId="77777777" w:rsidTr="00B872F2">
        <w:trPr>
          <w:trHeight w:val="454"/>
        </w:trPr>
        <w:tc>
          <w:tcPr>
            <w:tcW w:w="2560" w:type="dxa"/>
            <w:tcBorders>
              <w:top w:val="nil"/>
              <w:bottom w:val="nil"/>
            </w:tcBorders>
          </w:tcPr>
          <w:p w14:paraId="64AFB6A5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D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eparaffinization</w:t>
            </w:r>
          </w:p>
        </w:tc>
        <w:tc>
          <w:tcPr>
            <w:tcW w:w="6512" w:type="dxa"/>
            <w:tcBorders>
              <w:top w:val="nil"/>
              <w:bottom w:val="nil"/>
            </w:tcBorders>
          </w:tcPr>
          <w:p w14:paraId="43FEB47A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R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outinely perform.</w:t>
            </w:r>
          </w:p>
        </w:tc>
        <w:tc>
          <w:tcPr>
            <w:tcW w:w="4930" w:type="dxa"/>
            <w:tcBorders>
              <w:top w:val="nil"/>
              <w:bottom w:val="nil"/>
            </w:tcBorders>
          </w:tcPr>
          <w:p w14:paraId="1D5E92AD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</w:p>
        </w:tc>
      </w:tr>
      <w:tr w:rsidR="00CB0D45" w14:paraId="0AD1A3EE" w14:textId="77777777" w:rsidTr="00B872F2">
        <w:trPr>
          <w:trHeight w:val="454"/>
        </w:trPr>
        <w:tc>
          <w:tcPr>
            <w:tcW w:w="2560" w:type="dxa"/>
            <w:tcBorders>
              <w:top w:val="nil"/>
              <w:bottom w:val="nil"/>
            </w:tcBorders>
          </w:tcPr>
          <w:p w14:paraId="039E3BCF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Cartilage staining 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br/>
              <w:t>(if necessary)</w:t>
            </w:r>
          </w:p>
        </w:tc>
        <w:tc>
          <w:tcPr>
            <w:tcW w:w="6512" w:type="dxa"/>
            <w:tcBorders>
              <w:top w:val="nil"/>
              <w:bottom w:val="nil"/>
            </w:tcBorders>
          </w:tcPr>
          <w:p w14:paraId="68693443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I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mmerse in 3% acetic acid.</w:t>
            </w:r>
          </w:p>
          <w:p w14:paraId="2706D3CB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Stain with 1% </w:t>
            </w:r>
            <w:r>
              <w:rPr>
                <w:rFonts w:ascii="Times New Roman" w:eastAsia="ＭＳ 明朝" w:hAnsi="Times New Roman" w:hint="eastAsia"/>
                <w:sz w:val="24"/>
                <w:szCs w:val="24"/>
              </w:rPr>
              <w:t>A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lcian blue solution (pH2.5) for </w:t>
            </w: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3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0 min at RT.</w:t>
            </w:r>
          </w:p>
          <w:p w14:paraId="4BF7EA56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Wash with 3% acetic acid.</w:t>
            </w:r>
          </w:p>
        </w:tc>
        <w:tc>
          <w:tcPr>
            <w:tcW w:w="4930" w:type="dxa"/>
            <w:tcBorders>
              <w:top w:val="nil"/>
              <w:bottom w:val="nil"/>
            </w:tcBorders>
          </w:tcPr>
          <w:p w14:paraId="00E5CC0C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</w:p>
        </w:tc>
      </w:tr>
      <w:tr w:rsidR="00CB0D45" w14:paraId="56B4B324" w14:textId="77777777" w:rsidTr="00B872F2">
        <w:trPr>
          <w:trHeight w:val="454"/>
        </w:trPr>
        <w:tc>
          <w:tcPr>
            <w:tcW w:w="2560" w:type="dxa"/>
            <w:tcBorders>
              <w:top w:val="nil"/>
              <w:bottom w:val="nil"/>
            </w:tcBorders>
          </w:tcPr>
          <w:p w14:paraId="278AA473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Nucleus staining</w:t>
            </w:r>
          </w:p>
        </w:tc>
        <w:tc>
          <w:tcPr>
            <w:tcW w:w="6512" w:type="dxa"/>
            <w:tcBorders>
              <w:top w:val="nil"/>
              <w:bottom w:val="nil"/>
            </w:tcBorders>
          </w:tcPr>
          <w:p w14:paraId="0CD39D98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Stain with Weigert's iron hematoxylin for 10 min at RT.</w:t>
            </w:r>
          </w:p>
          <w:p w14:paraId="2D5188D4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Wash with tap water.</w:t>
            </w:r>
          </w:p>
        </w:tc>
        <w:tc>
          <w:tcPr>
            <w:tcW w:w="4930" w:type="dxa"/>
            <w:tcBorders>
              <w:top w:val="nil"/>
              <w:bottom w:val="nil"/>
            </w:tcBorders>
          </w:tcPr>
          <w:p w14:paraId="2BFAFC7B" w14:textId="77777777" w:rsidR="00CB0D45" w:rsidRPr="004031BA" w:rsidRDefault="00CB0D45" w:rsidP="00967F01">
            <w:pPr>
              <w:pStyle w:val="a4"/>
              <w:numPr>
                <w:ilvl w:val="0"/>
                <w:numId w:val="2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Differentiation can be omitted.</w:t>
            </w:r>
          </w:p>
        </w:tc>
      </w:tr>
      <w:tr w:rsidR="00CB0D45" w14:paraId="2B9BD658" w14:textId="77777777" w:rsidTr="00B872F2">
        <w:trPr>
          <w:trHeight w:val="454"/>
        </w:trPr>
        <w:tc>
          <w:tcPr>
            <w:tcW w:w="2560" w:type="dxa"/>
            <w:tcBorders>
              <w:top w:val="nil"/>
              <w:bottom w:val="nil"/>
            </w:tcBorders>
          </w:tcPr>
          <w:p w14:paraId="6D4953F7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Red blood cell staining</w:t>
            </w:r>
          </w:p>
        </w:tc>
        <w:tc>
          <w:tcPr>
            <w:tcW w:w="6512" w:type="dxa"/>
            <w:tcBorders>
              <w:top w:val="nil"/>
              <w:bottom w:val="nil"/>
            </w:tcBorders>
          </w:tcPr>
          <w:p w14:paraId="312711D5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S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tain with 0.75% orange G for 2 min at RT.</w:t>
            </w:r>
          </w:p>
          <w:p w14:paraId="42E3EFD2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Wash with 1% acetic acid.</w:t>
            </w:r>
          </w:p>
        </w:tc>
        <w:tc>
          <w:tcPr>
            <w:tcW w:w="4930" w:type="dxa"/>
            <w:tcBorders>
              <w:top w:val="nil"/>
              <w:bottom w:val="nil"/>
            </w:tcBorders>
          </w:tcPr>
          <w:p w14:paraId="3D742428" w14:textId="77777777" w:rsidR="00CB0D45" w:rsidRPr="004031BA" w:rsidRDefault="00CB0D45" w:rsidP="00967F01">
            <w:pPr>
              <w:pStyle w:val="a4"/>
              <w:spacing w:line="340" w:lineRule="exact"/>
              <w:ind w:leftChars="0" w:left="318"/>
              <w:rPr>
                <w:rFonts w:ascii="Times New Roman" w:eastAsia="ＭＳ 明朝" w:hAnsi="Times New Roman"/>
                <w:sz w:val="24"/>
                <w:szCs w:val="24"/>
              </w:rPr>
            </w:pPr>
          </w:p>
        </w:tc>
      </w:tr>
      <w:tr w:rsidR="00CB0D45" w14:paraId="606CB689" w14:textId="77777777" w:rsidTr="00B872F2">
        <w:trPr>
          <w:trHeight w:val="454"/>
        </w:trPr>
        <w:tc>
          <w:tcPr>
            <w:tcW w:w="2560" w:type="dxa"/>
            <w:tcBorders>
              <w:top w:val="nil"/>
              <w:bottom w:val="nil"/>
            </w:tcBorders>
          </w:tcPr>
          <w:p w14:paraId="147AB035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Mineralized bone staining</w:t>
            </w:r>
          </w:p>
        </w:tc>
        <w:tc>
          <w:tcPr>
            <w:tcW w:w="6512" w:type="dxa"/>
            <w:tcBorders>
              <w:top w:val="nil"/>
              <w:bottom w:val="nil"/>
            </w:tcBorders>
          </w:tcPr>
          <w:p w14:paraId="41C6AA9C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Stain with 0.5% </w:t>
            </w:r>
            <w:proofErr w:type="spellStart"/>
            <w:r>
              <w:rPr>
                <w:rFonts w:ascii="Times New Roman" w:eastAsia="ＭＳ 明朝" w:hAnsi="Times New Roman" w:hint="eastAsia"/>
                <w:sz w:val="24"/>
                <w:szCs w:val="24"/>
              </w:rPr>
              <w:t>P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icro</w:t>
            </w:r>
            <w:proofErr w:type="spellEnd"/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-</w:t>
            </w:r>
            <w:r>
              <w:rPr>
                <w:rFonts w:ascii="Times New Roman" w:eastAsia="ＭＳ 明朝" w:hAnsi="Times New Roman" w:hint="eastAsia"/>
                <w:sz w:val="24"/>
                <w:szCs w:val="24"/>
              </w:rPr>
              <w:t>L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ight </w:t>
            </w:r>
            <w:r>
              <w:rPr>
                <w:rFonts w:ascii="Times New Roman" w:eastAsia="ＭＳ 明朝" w:hAnsi="Times New Roman" w:hint="eastAsia"/>
                <w:sz w:val="24"/>
                <w:szCs w:val="24"/>
              </w:rPr>
              <w:t>G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reen for 3 min at RT.</w:t>
            </w:r>
          </w:p>
          <w:p w14:paraId="7D8BF5D7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Wash with 1% acetic acid.</w:t>
            </w:r>
          </w:p>
        </w:tc>
        <w:tc>
          <w:tcPr>
            <w:tcW w:w="4930" w:type="dxa"/>
            <w:tcBorders>
              <w:top w:val="nil"/>
              <w:bottom w:val="nil"/>
            </w:tcBorders>
          </w:tcPr>
          <w:p w14:paraId="7D632AC5" w14:textId="77777777" w:rsidR="00CB0D45" w:rsidRPr="004031BA" w:rsidRDefault="00CB0D45" w:rsidP="00967F01">
            <w:pPr>
              <w:pStyle w:val="a4"/>
              <w:spacing w:line="340" w:lineRule="exact"/>
              <w:ind w:leftChars="0" w:left="318"/>
              <w:rPr>
                <w:rFonts w:ascii="Times New Roman" w:eastAsia="ＭＳ 明朝" w:hAnsi="Times New Roman"/>
                <w:sz w:val="24"/>
                <w:szCs w:val="24"/>
              </w:rPr>
            </w:pPr>
          </w:p>
        </w:tc>
      </w:tr>
      <w:tr w:rsidR="00CB0D45" w14:paraId="71DD39F0" w14:textId="77777777" w:rsidTr="00B872F2">
        <w:trPr>
          <w:trHeight w:val="454"/>
        </w:trPr>
        <w:tc>
          <w:tcPr>
            <w:tcW w:w="2560" w:type="dxa"/>
            <w:tcBorders>
              <w:top w:val="nil"/>
              <w:bottom w:val="nil"/>
            </w:tcBorders>
          </w:tcPr>
          <w:p w14:paraId="45A3800F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Osteoid staining</w:t>
            </w:r>
          </w:p>
        </w:tc>
        <w:tc>
          <w:tcPr>
            <w:tcW w:w="6512" w:type="dxa"/>
            <w:tcBorders>
              <w:top w:val="nil"/>
              <w:bottom w:val="nil"/>
            </w:tcBorders>
          </w:tcPr>
          <w:p w14:paraId="2C749492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Stain with 0.04% </w:t>
            </w:r>
            <w:r>
              <w:rPr>
                <w:rFonts w:ascii="Times New Roman" w:eastAsia="ＭＳ 明朝" w:hAnsi="Times New Roman" w:hint="eastAsia"/>
                <w:sz w:val="24"/>
                <w:szCs w:val="24"/>
              </w:rPr>
              <w:t>P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icrosirius red solution for 5–</w:t>
            </w: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8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 min at RT.</w:t>
            </w:r>
          </w:p>
          <w:p w14:paraId="0F7465B5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Wash with 1% acetic acid.</w:t>
            </w:r>
          </w:p>
        </w:tc>
        <w:tc>
          <w:tcPr>
            <w:tcW w:w="4930" w:type="dxa"/>
            <w:tcBorders>
              <w:top w:val="nil"/>
              <w:bottom w:val="nil"/>
            </w:tcBorders>
          </w:tcPr>
          <w:p w14:paraId="7F6E7ADC" w14:textId="77777777" w:rsidR="00CB0D45" w:rsidRPr="004031BA" w:rsidRDefault="00CB0D45" w:rsidP="00967F01">
            <w:pPr>
              <w:pStyle w:val="a4"/>
              <w:numPr>
                <w:ilvl w:val="0"/>
                <w:numId w:val="2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Shorten this process in case </w:t>
            </w: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o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f intense red color.</w:t>
            </w:r>
          </w:p>
          <w:p w14:paraId="4C6C4D45" w14:textId="77777777" w:rsidR="00CB0D45" w:rsidRPr="004031BA" w:rsidRDefault="00CB0D45" w:rsidP="00967F01">
            <w:pPr>
              <w:pStyle w:val="a4"/>
              <w:numPr>
                <w:ilvl w:val="0"/>
                <w:numId w:val="2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Lengthen this process in case of intense green color.</w:t>
            </w:r>
          </w:p>
        </w:tc>
      </w:tr>
      <w:tr w:rsidR="00CB0D45" w14:paraId="1B13CE82" w14:textId="77777777" w:rsidTr="00B872F2">
        <w:trPr>
          <w:trHeight w:val="454"/>
        </w:trPr>
        <w:tc>
          <w:tcPr>
            <w:tcW w:w="2560" w:type="dxa"/>
            <w:tcBorders>
              <w:top w:val="nil"/>
              <w:bottom w:val="nil"/>
            </w:tcBorders>
          </w:tcPr>
          <w:p w14:paraId="4F049F47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D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ehydration</w:t>
            </w:r>
          </w:p>
        </w:tc>
        <w:tc>
          <w:tcPr>
            <w:tcW w:w="6512" w:type="dxa"/>
            <w:tcBorders>
              <w:top w:val="nil"/>
              <w:bottom w:val="nil"/>
            </w:tcBorders>
          </w:tcPr>
          <w:p w14:paraId="7F5F40A1" w14:textId="75F6C562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 xml:space="preserve">Dehydrate using 100% ethanol series for 3 </w:t>
            </w:r>
            <w:r w:rsidR="00CA2A97">
              <w:rPr>
                <w:rFonts w:ascii="Times New Roman" w:eastAsia="ＭＳ 明朝" w:hAnsi="Times New Roman" w:hint="eastAsia"/>
                <w:sz w:val="24"/>
                <w:szCs w:val="24"/>
              </w:rPr>
              <w:t xml:space="preserve">to 5 </w:t>
            </w: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min in total, followed by xylene.</w:t>
            </w:r>
          </w:p>
        </w:tc>
        <w:tc>
          <w:tcPr>
            <w:tcW w:w="4930" w:type="dxa"/>
            <w:tcBorders>
              <w:top w:val="nil"/>
              <w:bottom w:val="nil"/>
            </w:tcBorders>
          </w:tcPr>
          <w:p w14:paraId="043F5887" w14:textId="77777777" w:rsidR="00CB0D45" w:rsidRDefault="00CB0D45" w:rsidP="00967F01">
            <w:pPr>
              <w:pStyle w:val="a4"/>
              <w:numPr>
                <w:ilvl w:val="0"/>
                <w:numId w:val="2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1708CD">
              <w:rPr>
                <w:rFonts w:ascii="Times New Roman" w:eastAsia="ＭＳ 明朝" w:hAnsi="Times New Roman"/>
                <w:sz w:val="24"/>
                <w:szCs w:val="24"/>
              </w:rPr>
              <w:t>Short dehydration time leaves residual picric acid, causing yellowish specimens</w:t>
            </w:r>
            <w:r>
              <w:rPr>
                <w:rFonts w:ascii="Times New Roman" w:eastAsia="ＭＳ 明朝" w:hAnsi="Times New Roman" w:hint="eastAsia"/>
                <w:sz w:val="24"/>
                <w:szCs w:val="24"/>
              </w:rPr>
              <w:t>.</w:t>
            </w:r>
          </w:p>
          <w:p w14:paraId="0D33E639" w14:textId="77777777" w:rsidR="00CB0D45" w:rsidRPr="004031BA" w:rsidRDefault="00CB0D45" w:rsidP="00967F01">
            <w:pPr>
              <w:pStyle w:val="a4"/>
              <w:numPr>
                <w:ilvl w:val="0"/>
                <w:numId w:val="2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 xml:space="preserve">Immerse 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the</w:t>
            </w: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 xml:space="preserve"> specimen in 70% ethanol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 xml:space="preserve"> in case of intense green color.</w:t>
            </w:r>
          </w:p>
        </w:tc>
      </w:tr>
      <w:tr w:rsidR="00CB0D45" w14:paraId="057EFE83" w14:textId="77777777" w:rsidTr="00B872F2">
        <w:trPr>
          <w:trHeight w:val="454"/>
        </w:trPr>
        <w:tc>
          <w:tcPr>
            <w:tcW w:w="2560" w:type="dxa"/>
            <w:tcBorders>
              <w:top w:val="nil"/>
            </w:tcBorders>
          </w:tcPr>
          <w:p w14:paraId="61E614BC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C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overslip</w:t>
            </w:r>
          </w:p>
        </w:tc>
        <w:tc>
          <w:tcPr>
            <w:tcW w:w="6512" w:type="dxa"/>
            <w:tcBorders>
              <w:top w:val="nil"/>
            </w:tcBorders>
          </w:tcPr>
          <w:p w14:paraId="52B66363" w14:textId="77777777" w:rsidR="00CB0D45" w:rsidRPr="004031BA" w:rsidRDefault="00CB0D45" w:rsidP="00967F01">
            <w:pPr>
              <w:pStyle w:val="a4"/>
              <w:numPr>
                <w:ilvl w:val="0"/>
                <w:numId w:val="1"/>
              </w:numPr>
              <w:spacing w:line="340" w:lineRule="exact"/>
              <w:ind w:leftChars="0" w:left="318" w:hanging="318"/>
              <w:jc w:val="left"/>
              <w:rPr>
                <w:rFonts w:ascii="Times New Roman" w:eastAsia="ＭＳ 明朝" w:hAnsi="Times New Roman"/>
                <w:sz w:val="24"/>
                <w:szCs w:val="24"/>
              </w:rPr>
            </w:pPr>
            <w:r w:rsidRPr="004031BA">
              <w:rPr>
                <w:rFonts w:ascii="Times New Roman" w:eastAsia="ＭＳ 明朝" w:hAnsi="Times New Roman" w:hint="eastAsia"/>
                <w:sz w:val="24"/>
                <w:szCs w:val="24"/>
              </w:rPr>
              <w:t>C</w:t>
            </w:r>
            <w:r w:rsidRPr="004031BA">
              <w:rPr>
                <w:rFonts w:ascii="Times New Roman" w:eastAsia="ＭＳ 明朝" w:hAnsi="Times New Roman"/>
                <w:sz w:val="24"/>
                <w:szCs w:val="24"/>
              </w:rPr>
              <w:t>overslip using a non-aqueous mounting media.</w:t>
            </w:r>
          </w:p>
        </w:tc>
        <w:tc>
          <w:tcPr>
            <w:tcW w:w="4930" w:type="dxa"/>
            <w:tcBorders>
              <w:top w:val="nil"/>
            </w:tcBorders>
          </w:tcPr>
          <w:p w14:paraId="3A0FA6CE" w14:textId="77777777" w:rsidR="00CB0D45" w:rsidRPr="004031BA" w:rsidRDefault="00CB0D45" w:rsidP="00967F01">
            <w:pPr>
              <w:spacing w:line="340" w:lineRule="exact"/>
              <w:rPr>
                <w:rFonts w:ascii="Times New Roman" w:eastAsia="ＭＳ 明朝" w:hAnsi="Times New Roman"/>
                <w:sz w:val="24"/>
                <w:szCs w:val="24"/>
              </w:rPr>
            </w:pPr>
          </w:p>
        </w:tc>
      </w:tr>
    </w:tbl>
    <w:p w14:paraId="3074031B" w14:textId="2E9DDD35" w:rsidR="00616855" w:rsidRPr="00CB0D45" w:rsidRDefault="00CB0D45" w:rsidP="00967F01">
      <w:pPr>
        <w:spacing w:line="340" w:lineRule="exact"/>
      </w:pPr>
      <w:r w:rsidRPr="004031BA">
        <w:rPr>
          <w:rFonts w:ascii="Times New Roman" w:eastAsia="ＭＳ 明朝" w:hAnsi="Times New Roman" w:hint="eastAsia"/>
          <w:sz w:val="24"/>
          <w:szCs w:val="24"/>
        </w:rPr>
        <w:t xml:space="preserve">This protocol is optimized for </w:t>
      </w:r>
      <w:r w:rsidRPr="004031BA">
        <w:rPr>
          <w:rFonts w:ascii="Times New Roman" w:eastAsia="ＭＳ 明朝" w:hAnsi="Times New Roman"/>
          <w:sz w:val="24"/>
          <w:szCs w:val="24"/>
        </w:rPr>
        <w:t>bone sections at 4-μm thickness.</w:t>
      </w:r>
      <w:r w:rsidRPr="004031BA">
        <w:rPr>
          <w:rFonts w:ascii="Times New Roman" w:eastAsia="ＭＳ 明朝" w:hAnsi="Times New Roman" w:hint="eastAsia"/>
          <w:sz w:val="24"/>
          <w:szCs w:val="24"/>
        </w:rPr>
        <w:t xml:space="preserve"> Thicker and thinner sections tend</w:t>
      </w:r>
      <w:r w:rsidRPr="004031BA">
        <w:rPr>
          <w:rFonts w:ascii="Times New Roman" w:eastAsia="ＭＳ 明朝" w:hAnsi="Times New Roman"/>
          <w:sz w:val="24"/>
          <w:szCs w:val="24"/>
        </w:rPr>
        <w:t xml:space="preserve"> to increase green and red colors, respectively. Decalcification methods do</w:t>
      </w:r>
      <w:r w:rsidRPr="004031BA">
        <w:rPr>
          <w:rFonts w:ascii="Times New Roman" w:eastAsia="ＭＳ 明朝" w:hAnsi="Times New Roman" w:hint="eastAsia"/>
          <w:sz w:val="24"/>
          <w:szCs w:val="24"/>
        </w:rPr>
        <w:t xml:space="preserve"> not influence </w:t>
      </w:r>
      <w:r w:rsidRPr="004031BA">
        <w:rPr>
          <w:rFonts w:ascii="Times New Roman" w:eastAsia="ＭＳ 明朝" w:hAnsi="Times New Roman"/>
          <w:sz w:val="24"/>
          <w:szCs w:val="24"/>
        </w:rPr>
        <w:t>the outcome</w:t>
      </w:r>
      <w:r w:rsidRPr="004031BA">
        <w:rPr>
          <w:rFonts w:ascii="Times New Roman" w:eastAsia="ＭＳ 明朝" w:hAnsi="Times New Roman" w:hint="eastAsia"/>
          <w:sz w:val="24"/>
          <w:szCs w:val="24"/>
        </w:rPr>
        <w:t xml:space="preserve"> of </w:t>
      </w:r>
      <w:r w:rsidRPr="004031BA">
        <w:rPr>
          <w:rFonts w:ascii="Times New Roman" w:eastAsia="ＭＳ 明朝" w:hAnsi="Times New Roman"/>
          <w:sz w:val="24"/>
          <w:szCs w:val="24"/>
        </w:rPr>
        <w:t xml:space="preserve">the staining characteristics, although over-decalcification fades nuclear staining. RT: room temperature. 0.75% orange G: dissolve orange G in distilled water. 0.5% </w:t>
      </w:r>
      <w:proofErr w:type="spellStart"/>
      <w:r w:rsidRPr="004031BA">
        <w:rPr>
          <w:rFonts w:ascii="Times New Roman" w:eastAsia="ＭＳ 明朝" w:hAnsi="Times New Roman"/>
          <w:sz w:val="24"/>
          <w:szCs w:val="24"/>
        </w:rPr>
        <w:t>picro</w:t>
      </w:r>
      <w:proofErr w:type="spellEnd"/>
      <w:r w:rsidRPr="004031BA">
        <w:rPr>
          <w:rFonts w:ascii="Times New Roman" w:eastAsia="ＭＳ 明朝" w:hAnsi="Times New Roman"/>
          <w:sz w:val="24"/>
          <w:szCs w:val="24"/>
        </w:rPr>
        <w:t xml:space="preserve">-light green: dilute 2% light green SF solution with saturated picric acid. Solution of 0.04% picrosirius red: dilute 1% </w:t>
      </w:r>
      <w:proofErr w:type="spellStart"/>
      <w:r w:rsidRPr="004031BA">
        <w:rPr>
          <w:rFonts w:ascii="Times New Roman" w:eastAsia="ＭＳ 明朝" w:hAnsi="Times New Roman"/>
          <w:sz w:val="24"/>
          <w:szCs w:val="24"/>
        </w:rPr>
        <w:t>sirius</w:t>
      </w:r>
      <w:proofErr w:type="spellEnd"/>
      <w:r w:rsidRPr="004031BA">
        <w:rPr>
          <w:rFonts w:ascii="Times New Roman" w:eastAsia="ＭＳ 明朝" w:hAnsi="Times New Roman"/>
          <w:sz w:val="24"/>
          <w:szCs w:val="24"/>
        </w:rPr>
        <w:t xml:space="preserve"> red solution with saturated picric acid.</w:t>
      </w:r>
    </w:p>
    <w:sectPr w:rsidR="00616855" w:rsidRPr="00CB0D45" w:rsidSect="00967F01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1BAE" w14:textId="77777777" w:rsidR="00B64AB0" w:rsidRDefault="00B64AB0" w:rsidP="00263C51">
      <w:r>
        <w:separator/>
      </w:r>
    </w:p>
  </w:endnote>
  <w:endnote w:type="continuationSeparator" w:id="0">
    <w:p w14:paraId="4929BD75" w14:textId="77777777" w:rsidR="00B64AB0" w:rsidRDefault="00B64AB0" w:rsidP="0026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416D" w14:textId="77777777" w:rsidR="00B64AB0" w:rsidRDefault="00B64AB0" w:rsidP="00263C51">
      <w:r>
        <w:separator/>
      </w:r>
    </w:p>
  </w:footnote>
  <w:footnote w:type="continuationSeparator" w:id="0">
    <w:p w14:paraId="225F3E4F" w14:textId="77777777" w:rsidR="00B64AB0" w:rsidRDefault="00B64AB0" w:rsidP="00263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5279"/>
    <w:multiLevelType w:val="hybridMultilevel"/>
    <w:tmpl w:val="68BEDF3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E739B1"/>
    <w:multiLevelType w:val="hybridMultilevel"/>
    <w:tmpl w:val="6AE4461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4173138">
    <w:abstractNumId w:val="1"/>
  </w:num>
  <w:num w:numId="2" w16cid:durableId="114566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B8F"/>
    <w:rsid w:val="00031478"/>
    <w:rsid w:val="000372D2"/>
    <w:rsid w:val="00080A67"/>
    <w:rsid w:val="000862C7"/>
    <w:rsid w:val="000A42F7"/>
    <w:rsid w:val="000C6A8C"/>
    <w:rsid w:val="0011091C"/>
    <w:rsid w:val="00112F77"/>
    <w:rsid w:val="00123D05"/>
    <w:rsid w:val="00182AB2"/>
    <w:rsid w:val="001F1D14"/>
    <w:rsid w:val="002202B9"/>
    <w:rsid w:val="00224E27"/>
    <w:rsid w:val="00254899"/>
    <w:rsid w:val="00263C51"/>
    <w:rsid w:val="00283F76"/>
    <w:rsid w:val="002903EA"/>
    <w:rsid w:val="002A1F8D"/>
    <w:rsid w:val="002A4540"/>
    <w:rsid w:val="002D1CB3"/>
    <w:rsid w:val="002E700B"/>
    <w:rsid w:val="003147FA"/>
    <w:rsid w:val="00336664"/>
    <w:rsid w:val="00355380"/>
    <w:rsid w:val="00370E1B"/>
    <w:rsid w:val="00387ADF"/>
    <w:rsid w:val="003A08FC"/>
    <w:rsid w:val="003E1029"/>
    <w:rsid w:val="004468D8"/>
    <w:rsid w:val="00464F23"/>
    <w:rsid w:val="004909FE"/>
    <w:rsid w:val="00490C52"/>
    <w:rsid w:val="00496A44"/>
    <w:rsid w:val="004B040F"/>
    <w:rsid w:val="004D7BC0"/>
    <w:rsid w:val="004E543A"/>
    <w:rsid w:val="004F1340"/>
    <w:rsid w:val="00506511"/>
    <w:rsid w:val="0052308A"/>
    <w:rsid w:val="00531C9D"/>
    <w:rsid w:val="00541309"/>
    <w:rsid w:val="0055682F"/>
    <w:rsid w:val="00571BF4"/>
    <w:rsid w:val="005969A2"/>
    <w:rsid w:val="00596C8A"/>
    <w:rsid w:val="005E7D51"/>
    <w:rsid w:val="00602482"/>
    <w:rsid w:val="00611583"/>
    <w:rsid w:val="00616855"/>
    <w:rsid w:val="00631592"/>
    <w:rsid w:val="0063358C"/>
    <w:rsid w:val="006577C5"/>
    <w:rsid w:val="00663EE7"/>
    <w:rsid w:val="00664F1D"/>
    <w:rsid w:val="00692654"/>
    <w:rsid w:val="006A1A09"/>
    <w:rsid w:val="006B005E"/>
    <w:rsid w:val="006B6B7D"/>
    <w:rsid w:val="00731117"/>
    <w:rsid w:val="00766788"/>
    <w:rsid w:val="00770D09"/>
    <w:rsid w:val="007F4E95"/>
    <w:rsid w:val="007F7F10"/>
    <w:rsid w:val="008400F5"/>
    <w:rsid w:val="008557D6"/>
    <w:rsid w:val="0086051C"/>
    <w:rsid w:val="00860790"/>
    <w:rsid w:val="00876AEF"/>
    <w:rsid w:val="008B682D"/>
    <w:rsid w:val="008F530D"/>
    <w:rsid w:val="008F64BD"/>
    <w:rsid w:val="00942566"/>
    <w:rsid w:val="00967F01"/>
    <w:rsid w:val="0097630B"/>
    <w:rsid w:val="00982901"/>
    <w:rsid w:val="0099218D"/>
    <w:rsid w:val="009940CE"/>
    <w:rsid w:val="009A40CD"/>
    <w:rsid w:val="009C0D09"/>
    <w:rsid w:val="009D18D8"/>
    <w:rsid w:val="009E1BE1"/>
    <w:rsid w:val="009F324C"/>
    <w:rsid w:val="00A37211"/>
    <w:rsid w:val="00A611F2"/>
    <w:rsid w:val="00A67EBE"/>
    <w:rsid w:val="00AA6912"/>
    <w:rsid w:val="00AB1CEC"/>
    <w:rsid w:val="00AB222B"/>
    <w:rsid w:val="00B4342D"/>
    <w:rsid w:val="00B5193F"/>
    <w:rsid w:val="00B64AB0"/>
    <w:rsid w:val="00B6728B"/>
    <w:rsid w:val="00B87131"/>
    <w:rsid w:val="00BA16FE"/>
    <w:rsid w:val="00BC4572"/>
    <w:rsid w:val="00BE1C16"/>
    <w:rsid w:val="00C06DF1"/>
    <w:rsid w:val="00C06DF7"/>
    <w:rsid w:val="00C30959"/>
    <w:rsid w:val="00C3463D"/>
    <w:rsid w:val="00C94738"/>
    <w:rsid w:val="00CA2A97"/>
    <w:rsid w:val="00CA3F22"/>
    <w:rsid w:val="00CB0D45"/>
    <w:rsid w:val="00CE0AFD"/>
    <w:rsid w:val="00CE553F"/>
    <w:rsid w:val="00D15B6C"/>
    <w:rsid w:val="00D25D3D"/>
    <w:rsid w:val="00D35842"/>
    <w:rsid w:val="00D35CFA"/>
    <w:rsid w:val="00D428C6"/>
    <w:rsid w:val="00D43053"/>
    <w:rsid w:val="00D436D0"/>
    <w:rsid w:val="00DB3A53"/>
    <w:rsid w:val="00DB5B68"/>
    <w:rsid w:val="00DC4B8F"/>
    <w:rsid w:val="00DD28E8"/>
    <w:rsid w:val="00DE2282"/>
    <w:rsid w:val="00DE30E8"/>
    <w:rsid w:val="00DF6ABA"/>
    <w:rsid w:val="00E540B0"/>
    <w:rsid w:val="00E61328"/>
    <w:rsid w:val="00EB7017"/>
    <w:rsid w:val="00EE75CA"/>
    <w:rsid w:val="00F00969"/>
    <w:rsid w:val="00F23A1F"/>
    <w:rsid w:val="00F358A8"/>
    <w:rsid w:val="00F416B0"/>
    <w:rsid w:val="00F61C99"/>
    <w:rsid w:val="00F72C23"/>
    <w:rsid w:val="00F85776"/>
    <w:rsid w:val="00F9423E"/>
    <w:rsid w:val="00FC1E1E"/>
    <w:rsid w:val="00FE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4A5B5"/>
  <w15:chartTrackingRefBased/>
  <w15:docId w15:val="{7CAF8149-1009-4496-A7C3-0277F83F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C4B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9423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63C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3C51"/>
  </w:style>
  <w:style w:type="paragraph" w:styleId="a7">
    <w:name w:val="footer"/>
    <w:basedOn w:val="a"/>
    <w:link w:val="a8"/>
    <w:uiPriority w:val="99"/>
    <w:unhideWhenUsed/>
    <w:rsid w:val="00263C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3C51"/>
  </w:style>
  <w:style w:type="character" w:styleId="a9">
    <w:name w:val="Hyperlink"/>
    <w:basedOn w:val="a0"/>
    <w:uiPriority w:val="99"/>
    <w:unhideWhenUsed/>
    <w:rsid w:val="00C3095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3095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F4E95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D28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D28E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99218D"/>
  </w:style>
  <w:style w:type="character" w:styleId="ae">
    <w:name w:val="Unresolved Mention"/>
    <w:basedOn w:val="a0"/>
    <w:uiPriority w:val="99"/>
    <w:semiHidden/>
    <w:unhideWhenUsed/>
    <w:rsid w:val="00571BF4"/>
    <w:rPr>
      <w:color w:val="605E5C"/>
      <w:shd w:val="clear" w:color="auto" w:fill="E1DFDD"/>
    </w:rPr>
  </w:style>
  <w:style w:type="character" w:styleId="af">
    <w:name w:val="line number"/>
    <w:basedOn w:val="a0"/>
    <w:uiPriority w:val="99"/>
    <w:semiHidden/>
    <w:unhideWhenUsed/>
    <w:rsid w:val="00CB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akamurate@vetmed.hokudai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jfrl</dc:creator>
  <cp:keywords/>
  <dc:description/>
  <cp:lastModifiedBy>Teppei NAKAMURA</cp:lastModifiedBy>
  <cp:revision>2</cp:revision>
  <cp:lastPrinted>2021-08-08T04:04:00Z</cp:lastPrinted>
  <dcterms:created xsi:type="dcterms:W3CDTF">2025-06-24T10:13:00Z</dcterms:created>
  <dcterms:modified xsi:type="dcterms:W3CDTF">2025-06-24T10:13:00Z</dcterms:modified>
</cp:coreProperties>
</file>